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060"/>
        <w:spacing w:after="0"/>
        <w:rPr>
          <w:sz w:val="20"/>
          <w:szCs w:val="20"/>
          <w:color w:val="auto"/>
        </w:rPr>
      </w:pPr>
      <w:r>
        <w:rPr>
          <w:rFonts w:ascii="Arial" w:cs="Arial" w:eastAsia="Arial" w:hAnsi="Arial"/>
          <w:sz w:val="16"/>
          <w:szCs w:val="16"/>
          <w:b w:val="1"/>
          <w:bCs w:val="1"/>
          <w:color w:val="auto"/>
        </w:rPr>
        <w:t>UNITED STATES</w:t>
      </w:r>
    </w:p>
    <w:p>
      <w:pPr>
        <w:spacing w:after="0" w:line="39" w:lineRule="exact"/>
        <w:rPr>
          <w:sz w:val="24"/>
          <w:szCs w:val="24"/>
          <w:color w:val="auto"/>
        </w:rPr>
      </w:pPr>
    </w:p>
    <w:p>
      <w:pPr>
        <w:jc w:val="center"/>
        <w:ind w:right="-1060"/>
        <w:spacing w:after="0"/>
        <w:rPr>
          <w:sz w:val="20"/>
          <w:szCs w:val="20"/>
          <w:color w:val="auto"/>
        </w:rPr>
      </w:pPr>
      <w:r>
        <w:rPr>
          <w:rFonts w:ascii="Arial" w:cs="Arial" w:eastAsia="Arial" w:hAnsi="Arial"/>
          <w:sz w:val="16"/>
          <w:szCs w:val="16"/>
          <w:b w:val="1"/>
          <w:bCs w:val="1"/>
          <w:color w:val="auto"/>
        </w:rPr>
        <w:t>SECURITIES AND EXCHANGE COMMISSION</w:t>
      </w:r>
    </w:p>
    <w:p>
      <w:pPr>
        <w:spacing w:after="0" w:line="32" w:lineRule="exact"/>
        <w:rPr>
          <w:sz w:val="24"/>
          <w:szCs w:val="24"/>
          <w:color w:val="auto"/>
        </w:rPr>
      </w:pPr>
    </w:p>
    <w:p>
      <w:pPr>
        <w:jc w:val="center"/>
        <w:ind w:right="-1100"/>
        <w:spacing w:after="0"/>
        <w:rPr>
          <w:sz w:val="20"/>
          <w:szCs w:val="20"/>
          <w:color w:val="auto"/>
        </w:rPr>
      </w:pPr>
      <w:r>
        <w:rPr>
          <w:rFonts w:ascii="Arial" w:cs="Arial" w:eastAsia="Arial" w:hAnsi="Arial"/>
          <w:sz w:val="16"/>
          <w:szCs w:val="16"/>
          <w:b w:val="1"/>
          <w:bCs w:val="1"/>
          <w:color w:val="auto"/>
        </w:rPr>
        <w:t>Washington, D.C. 20549</w:t>
      </w:r>
    </w:p>
    <w:p>
      <w:pPr>
        <w:spacing w:after="0" w:line="120" w:lineRule="exact"/>
        <w:rPr>
          <w:sz w:val="24"/>
          <w:szCs w:val="24"/>
          <w:color w:val="auto"/>
        </w:rPr>
      </w:pPr>
    </w:p>
    <w:p>
      <w:pPr>
        <w:jc w:val="right"/>
        <w:ind w:right="3919"/>
        <w:spacing w:after="0"/>
        <w:rPr>
          <w:sz w:val="20"/>
          <w:szCs w:val="20"/>
          <w:color w:val="auto"/>
        </w:rPr>
      </w:pPr>
      <w:r>
        <w:rPr>
          <w:rFonts w:ascii="Arial" w:cs="Arial" w:eastAsia="Arial" w:hAnsi="Arial"/>
          <w:sz w:val="16"/>
          <w:szCs w:val="16"/>
          <w:b w:val="1"/>
          <w:bCs w:val="1"/>
          <w:color w:val="auto"/>
        </w:rPr>
        <w:t>SCHEDULE 14A</w:t>
      </w:r>
    </w:p>
    <w:p>
      <w:pPr>
        <w:spacing w:after="0" w:line="39" w:lineRule="exact"/>
        <w:rPr>
          <w:sz w:val="24"/>
          <w:szCs w:val="24"/>
          <w:color w:val="auto"/>
        </w:rPr>
      </w:pPr>
    </w:p>
    <w:p>
      <w:pPr>
        <w:jc w:val="right"/>
        <w:ind w:right="3959"/>
        <w:spacing w:after="0"/>
        <w:rPr>
          <w:sz w:val="20"/>
          <w:szCs w:val="20"/>
          <w:color w:val="auto"/>
        </w:rPr>
      </w:pPr>
      <w:r>
        <w:rPr>
          <w:rFonts w:ascii="Arial" w:cs="Arial" w:eastAsia="Arial" w:hAnsi="Arial"/>
          <w:sz w:val="16"/>
          <w:szCs w:val="16"/>
          <w:b w:val="1"/>
          <w:bCs w:val="1"/>
          <w:color w:val="auto"/>
        </w:rPr>
        <w:t>(Rule 14a-101)</w:t>
      </w:r>
    </w:p>
    <w:p>
      <w:pPr>
        <w:spacing w:after="0" w:line="120" w:lineRule="exact"/>
        <w:rPr>
          <w:sz w:val="24"/>
          <w:szCs w:val="24"/>
          <w:color w:val="auto"/>
        </w:rPr>
      </w:pPr>
    </w:p>
    <w:p>
      <w:pPr>
        <w:ind w:left="3680"/>
        <w:spacing w:after="0"/>
        <w:rPr>
          <w:sz w:val="20"/>
          <w:szCs w:val="20"/>
          <w:color w:val="auto"/>
        </w:rPr>
      </w:pPr>
      <w:r>
        <w:rPr>
          <w:rFonts w:ascii="Arial" w:cs="Arial" w:eastAsia="Arial" w:hAnsi="Arial"/>
          <w:sz w:val="16"/>
          <w:szCs w:val="16"/>
          <w:b w:val="1"/>
          <w:bCs w:val="1"/>
          <w:color w:val="auto"/>
        </w:rPr>
        <w:t>INFORMATION REQUIRED IN PROXY STATEMENT</w:t>
      </w:r>
    </w:p>
    <w:p>
      <w:pPr>
        <w:spacing w:after="0" w:line="140" w:lineRule="exact"/>
        <w:rPr>
          <w:sz w:val="24"/>
          <w:szCs w:val="24"/>
          <w:color w:val="auto"/>
        </w:rPr>
      </w:pPr>
    </w:p>
    <w:p>
      <w:pPr>
        <w:ind w:left="4400"/>
        <w:spacing w:after="0"/>
        <w:rPr>
          <w:sz w:val="20"/>
          <w:szCs w:val="20"/>
          <w:color w:val="auto"/>
        </w:rPr>
      </w:pPr>
      <w:r>
        <w:rPr>
          <w:rFonts w:ascii="Arial" w:cs="Arial" w:eastAsia="Arial" w:hAnsi="Arial"/>
          <w:sz w:val="16"/>
          <w:szCs w:val="16"/>
          <w:b w:val="1"/>
          <w:bCs w:val="1"/>
          <w:color w:val="auto"/>
        </w:rPr>
        <w:t>SCHEDULE 14A INFORMATION</w:t>
      </w:r>
    </w:p>
    <w:p>
      <w:pPr>
        <w:spacing w:after="0" w:line="140" w:lineRule="exact"/>
        <w:rPr>
          <w:sz w:val="24"/>
          <w:szCs w:val="24"/>
          <w:color w:val="auto"/>
        </w:rPr>
      </w:pPr>
    </w:p>
    <w:p>
      <w:pPr>
        <w:jc w:val="right"/>
        <w:ind w:right="2239"/>
        <w:spacing w:after="0"/>
        <w:rPr>
          <w:sz w:val="20"/>
          <w:szCs w:val="20"/>
          <w:color w:val="auto"/>
        </w:rPr>
      </w:pPr>
      <w:r>
        <w:rPr>
          <w:rFonts w:ascii="Arial" w:cs="Arial" w:eastAsia="Arial" w:hAnsi="Arial"/>
          <w:sz w:val="16"/>
          <w:szCs w:val="16"/>
          <w:b w:val="1"/>
          <w:bCs w:val="1"/>
          <w:color w:val="auto"/>
        </w:rPr>
        <w:t>Proxy Statement Pursuant to Section 14(a) of the Securities</w:t>
      </w:r>
    </w:p>
    <w:p>
      <w:pPr>
        <w:spacing w:after="0" w:line="35" w:lineRule="exact"/>
        <w:rPr>
          <w:sz w:val="24"/>
          <w:szCs w:val="24"/>
          <w:color w:val="auto"/>
        </w:rPr>
      </w:pPr>
    </w:p>
    <w:p>
      <w:pPr>
        <w:ind w:left="4740"/>
        <w:spacing w:after="0"/>
        <w:rPr>
          <w:sz w:val="20"/>
          <w:szCs w:val="20"/>
          <w:color w:val="auto"/>
        </w:rPr>
      </w:pPr>
      <w:r>
        <w:rPr>
          <w:rFonts w:ascii="Arial" w:cs="Arial" w:eastAsia="Arial" w:hAnsi="Arial"/>
          <w:sz w:val="16"/>
          <w:szCs w:val="16"/>
          <w:b w:val="1"/>
          <w:bCs w:val="1"/>
          <w:color w:val="auto"/>
        </w:rPr>
        <w:t>Exchange Act of 1934</w:t>
      </w:r>
    </w:p>
    <w:p>
      <w:pPr>
        <w:spacing w:after="0" w:line="23" w:lineRule="exact"/>
        <w:rPr>
          <w:sz w:val="24"/>
          <w:szCs w:val="24"/>
          <w:color w:val="auto"/>
        </w:rPr>
      </w:pPr>
    </w:p>
    <w:p>
      <w:pPr>
        <w:ind w:left="4900"/>
        <w:spacing w:after="0"/>
        <w:rPr>
          <w:sz w:val="20"/>
          <w:szCs w:val="20"/>
          <w:color w:val="auto"/>
        </w:rPr>
      </w:pPr>
      <w:r>
        <w:rPr>
          <w:rFonts w:ascii="Arial" w:cs="Arial" w:eastAsia="Arial" w:hAnsi="Arial"/>
          <w:sz w:val="16"/>
          <w:szCs w:val="16"/>
          <w:b w:val="1"/>
          <w:bCs w:val="1"/>
          <w:color w:val="auto"/>
        </w:rPr>
        <w:t>(Amendment No. )</w:t>
      </w:r>
    </w:p>
    <w:p>
      <w:pPr>
        <w:spacing w:after="0" w:line="237" w:lineRule="exact"/>
        <w:rPr>
          <w:sz w:val="24"/>
          <w:szCs w:val="24"/>
          <w:color w:val="auto"/>
        </w:rPr>
      </w:pPr>
    </w:p>
    <w:p>
      <w:pPr>
        <w:spacing w:after="0" w:line="184" w:lineRule="exact"/>
        <w:tabs>
          <w:tab w:leader="none" w:pos="1840" w:val="left"/>
        </w:tabs>
        <w:rPr>
          <w:sz w:val="20"/>
          <w:szCs w:val="20"/>
          <w:color w:val="auto"/>
        </w:rPr>
      </w:pPr>
      <w:r>
        <w:rPr>
          <w:rFonts w:ascii="Arial" w:cs="Arial" w:eastAsia="Arial" w:hAnsi="Arial"/>
          <w:sz w:val="16"/>
          <w:szCs w:val="16"/>
          <w:color w:val="auto"/>
        </w:rPr>
        <w:t>Filed by the Registrant</w:t>
      </w:r>
      <w:r>
        <w:rPr>
          <w:sz w:val="20"/>
          <w:szCs w:val="20"/>
          <w:color w:val="auto"/>
        </w:rPr>
        <w:tab/>
      </w:r>
      <w:r>
        <w:rPr>
          <w:rFonts w:ascii="MS PGothic" w:cs="MS PGothic" w:eastAsia="MS PGothic" w:hAnsi="MS PGothic"/>
          <w:sz w:val="16"/>
          <w:szCs w:val="16"/>
          <w:color w:val="auto"/>
        </w:rPr>
        <w:t>☑</w:t>
      </w:r>
    </w:p>
    <w:p>
      <w:pPr>
        <w:spacing w:after="0" w:line="302" w:lineRule="exact"/>
        <w:rPr>
          <w:sz w:val="24"/>
          <w:szCs w:val="24"/>
          <w:color w:val="auto"/>
        </w:rPr>
      </w:pPr>
    </w:p>
    <w:p>
      <w:pPr>
        <w:spacing w:after="0" w:line="184" w:lineRule="exact"/>
        <w:tabs>
          <w:tab w:leader="none" w:pos="3140" w:val="left"/>
        </w:tabs>
        <w:rPr>
          <w:sz w:val="20"/>
          <w:szCs w:val="20"/>
          <w:color w:val="auto"/>
        </w:rPr>
      </w:pPr>
      <w:r>
        <w:rPr>
          <w:rFonts w:ascii="Arial" w:cs="Arial" w:eastAsia="Arial" w:hAnsi="Arial"/>
          <w:sz w:val="16"/>
          <w:szCs w:val="16"/>
          <w:color w:val="auto"/>
        </w:rPr>
        <w:t>Filed by a party other than the Registrant</w:t>
      </w:r>
      <w:r>
        <w:rPr>
          <w:sz w:val="20"/>
          <w:szCs w:val="20"/>
          <w:color w:val="auto"/>
        </w:rPr>
        <w:tab/>
      </w:r>
      <w:r>
        <w:rPr>
          <w:rFonts w:ascii="MS PGothic" w:cs="MS PGothic" w:eastAsia="MS PGothic" w:hAnsi="MS PGothic"/>
          <w:sz w:val="16"/>
          <w:szCs w:val="16"/>
          <w:color w:val="auto"/>
        </w:rPr>
        <w:t>☐</w:t>
      </w:r>
    </w:p>
    <w:p>
      <w:pPr>
        <w:spacing w:after="0" w:line="200" w:lineRule="exact"/>
        <w:rPr>
          <w:sz w:val="24"/>
          <w:szCs w:val="24"/>
          <w:color w:val="auto"/>
        </w:rPr>
      </w:pPr>
    </w:p>
    <w:p>
      <w:pPr>
        <w:spacing w:after="0" w:line="376" w:lineRule="exact"/>
        <w:rPr>
          <w:sz w:val="24"/>
          <w:szCs w:val="24"/>
          <w:color w:val="auto"/>
        </w:rPr>
      </w:pPr>
    </w:p>
    <w:p>
      <w:pPr>
        <w:spacing w:after="0"/>
        <w:rPr>
          <w:sz w:val="20"/>
          <w:szCs w:val="20"/>
          <w:color w:val="auto"/>
        </w:rPr>
      </w:pPr>
      <w:r>
        <w:rPr>
          <w:rFonts w:ascii="Arial" w:cs="Arial" w:eastAsia="Arial" w:hAnsi="Arial"/>
          <w:sz w:val="16"/>
          <w:szCs w:val="16"/>
          <w:color w:val="auto"/>
        </w:rPr>
        <w:t>Check the appropriate box:</w:t>
      </w:r>
    </w:p>
    <w:p>
      <w:pPr>
        <w:spacing w:after="0" w:line="275" w:lineRule="exact"/>
        <w:rPr>
          <w:sz w:val="24"/>
          <w:szCs w:val="24"/>
          <w:color w:val="auto"/>
        </w:rPr>
      </w:pPr>
    </w:p>
    <w:p>
      <w:pPr>
        <w:ind w:left="420" w:hanging="414"/>
        <w:spacing w:after="0"/>
        <w:tabs>
          <w:tab w:leader="none" w:pos="420" w:val="left"/>
        </w:tabs>
        <w:numPr>
          <w:ilvl w:val="0"/>
          <w:numId w:val="1"/>
        </w:numPr>
        <w:rPr>
          <w:rFonts w:ascii="MS PGothic" w:cs="MS PGothic" w:eastAsia="MS PGothic" w:hAnsi="MS PGothic"/>
          <w:sz w:val="18"/>
          <w:szCs w:val="18"/>
          <w:color w:val="auto"/>
        </w:rPr>
      </w:pPr>
      <w:r>
        <w:rPr>
          <w:rFonts w:ascii="Arial" w:cs="Arial" w:eastAsia="Arial" w:hAnsi="Arial"/>
          <w:sz w:val="16"/>
          <w:szCs w:val="16"/>
          <w:color w:val="auto"/>
        </w:rPr>
        <w:t>Preliminary Proxy Statement</w:t>
      </w:r>
    </w:p>
    <w:p>
      <w:pPr>
        <w:spacing w:after="0" w:line="270" w:lineRule="exact"/>
        <w:rPr>
          <w:rFonts w:ascii="MS PGothic" w:cs="MS PGothic" w:eastAsia="MS PGothic" w:hAnsi="MS PGothic"/>
          <w:sz w:val="18"/>
          <w:szCs w:val="18"/>
          <w:color w:val="auto"/>
        </w:rPr>
      </w:pPr>
    </w:p>
    <w:p>
      <w:pPr>
        <w:ind w:left="420" w:hanging="414"/>
        <w:spacing w:after="0"/>
        <w:tabs>
          <w:tab w:leader="none" w:pos="420" w:val="left"/>
        </w:tabs>
        <w:numPr>
          <w:ilvl w:val="0"/>
          <w:numId w:val="1"/>
        </w:numPr>
        <w:rPr>
          <w:rFonts w:ascii="MS PGothic" w:cs="MS PGothic" w:eastAsia="MS PGothic" w:hAnsi="MS PGothic"/>
          <w:sz w:val="18"/>
          <w:szCs w:val="18"/>
          <w:color w:val="auto"/>
        </w:rPr>
      </w:pPr>
      <w:r>
        <w:rPr>
          <w:rFonts w:ascii="Arial" w:cs="Arial" w:eastAsia="Arial" w:hAnsi="Arial"/>
          <w:sz w:val="16"/>
          <w:szCs w:val="16"/>
          <w:b w:val="1"/>
          <w:bCs w:val="1"/>
          <w:color w:val="auto"/>
        </w:rPr>
        <w:t>Confidential, For Use of the Commission Only (as permitted by Rule 14a-6(e)(2))</w:t>
      </w:r>
    </w:p>
    <w:p>
      <w:pPr>
        <w:spacing w:after="0" w:line="270" w:lineRule="exact"/>
        <w:rPr>
          <w:sz w:val="24"/>
          <w:szCs w:val="24"/>
          <w:color w:val="auto"/>
        </w:rPr>
      </w:pPr>
    </w:p>
    <w:p>
      <w:pPr>
        <w:ind w:left="420" w:hanging="414"/>
        <w:spacing w:after="0"/>
        <w:tabs>
          <w:tab w:leader="none" w:pos="420" w:val="left"/>
        </w:tabs>
        <w:numPr>
          <w:ilvl w:val="0"/>
          <w:numId w:val="2"/>
        </w:numPr>
        <w:rPr>
          <w:rFonts w:ascii="MS PGothic" w:cs="MS PGothic" w:eastAsia="MS PGothic" w:hAnsi="MS PGothic"/>
          <w:sz w:val="18"/>
          <w:szCs w:val="18"/>
          <w:color w:val="auto"/>
        </w:rPr>
      </w:pPr>
      <w:r>
        <w:rPr>
          <w:rFonts w:ascii="Arial" w:cs="Arial" w:eastAsia="Arial" w:hAnsi="Arial"/>
          <w:sz w:val="16"/>
          <w:szCs w:val="16"/>
          <w:color w:val="auto"/>
        </w:rPr>
        <w:t>Definitive Proxy Statement</w:t>
      </w:r>
    </w:p>
    <w:p>
      <w:pPr>
        <w:spacing w:after="0" w:line="270" w:lineRule="exact"/>
        <w:rPr>
          <w:sz w:val="24"/>
          <w:szCs w:val="24"/>
          <w:color w:val="auto"/>
        </w:rPr>
      </w:pPr>
    </w:p>
    <w:p>
      <w:pPr>
        <w:ind w:left="420" w:hanging="414"/>
        <w:spacing w:after="0"/>
        <w:tabs>
          <w:tab w:leader="none" w:pos="420" w:val="left"/>
        </w:tabs>
        <w:numPr>
          <w:ilvl w:val="0"/>
          <w:numId w:val="3"/>
        </w:numPr>
        <w:rPr>
          <w:rFonts w:ascii="MS PGothic" w:cs="MS PGothic" w:eastAsia="MS PGothic" w:hAnsi="MS PGothic"/>
          <w:sz w:val="18"/>
          <w:szCs w:val="18"/>
          <w:color w:val="auto"/>
        </w:rPr>
      </w:pPr>
      <w:r>
        <w:rPr>
          <w:rFonts w:ascii="Arial" w:cs="Arial" w:eastAsia="Arial" w:hAnsi="Arial"/>
          <w:sz w:val="16"/>
          <w:szCs w:val="16"/>
          <w:color w:val="auto"/>
        </w:rPr>
        <w:t>Definitive Additional Materials</w:t>
      </w:r>
    </w:p>
    <w:p>
      <w:pPr>
        <w:spacing w:after="0" w:line="270" w:lineRule="exact"/>
        <w:rPr>
          <w:rFonts w:ascii="MS PGothic" w:cs="MS PGothic" w:eastAsia="MS PGothic" w:hAnsi="MS PGothic"/>
          <w:sz w:val="18"/>
          <w:szCs w:val="18"/>
          <w:color w:val="auto"/>
        </w:rPr>
      </w:pPr>
    </w:p>
    <w:p>
      <w:pPr>
        <w:ind w:left="420" w:hanging="414"/>
        <w:spacing w:after="0"/>
        <w:tabs>
          <w:tab w:leader="none" w:pos="420" w:val="left"/>
        </w:tabs>
        <w:numPr>
          <w:ilvl w:val="0"/>
          <w:numId w:val="3"/>
        </w:numPr>
        <w:rPr>
          <w:rFonts w:ascii="MS PGothic" w:cs="MS PGothic" w:eastAsia="MS PGothic" w:hAnsi="MS PGothic"/>
          <w:sz w:val="18"/>
          <w:szCs w:val="18"/>
          <w:color w:val="auto"/>
        </w:rPr>
      </w:pPr>
      <w:r>
        <w:rPr>
          <w:rFonts w:ascii="Arial" w:cs="Arial" w:eastAsia="Arial" w:hAnsi="Arial"/>
          <w:sz w:val="16"/>
          <w:szCs w:val="16"/>
          <w:color w:val="auto"/>
        </w:rPr>
        <w:t>Soliciting Material under §240.14a-12</w:t>
      </w:r>
    </w:p>
    <w:p>
      <w:pPr>
        <w:spacing w:after="0" w:line="338" w:lineRule="exact"/>
        <w:rPr>
          <w:sz w:val="24"/>
          <w:szCs w:val="24"/>
          <w:color w:val="auto"/>
        </w:rPr>
      </w:pPr>
    </w:p>
    <w:p>
      <w:pPr>
        <w:jc w:val="center"/>
        <w:ind w:right="-1100"/>
        <w:spacing w:after="0"/>
        <w:rPr>
          <w:sz w:val="20"/>
          <w:szCs w:val="20"/>
          <w:color w:val="auto"/>
        </w:rPr>
      </w:pPr>
      <w:r>
        <w:rPr>
          <w:rFonts w:ascii="Arial" w:cs="Arial" w:eastAsia="Arial" w:hAnsi="Arial"/>
          <w:sz w:val="16"/>
          <w:szCs w:val="16"/>
          <w:b w:val="1"/>
          <w:bCs w:val="1"/>
          <w:color w:val="auto"/>
        </w:rPr>
        <w:t>Analog Devices,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38100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64" w:lineRule="exact"/>
        <w:rPr>
          <w:sz w:val="24"/>
          <w:szCs w:val="24"/>
          <w:color w:val="auto"/>
        </w:rPr>
      </w:pPr>
    </w:p>
    <w:p>
      <w:pPr>
        <w:ind w:left="4280"/>
        <w:spacing w:after="0"/>
        <w:rPr>
          <w:sz w:val="20"/>
          <w:szCs w:val="20"/>
          <w:color w:val="auto"/>
        </w:rPr>
      </w:pPr>
      <w:r>
        <w:rPr>
          <w:rFonts w:ascii="Arial" w:cs="Arial" w:eastAsia="Arial" w:hAnsi="Arial"/>
          <w:sz w:val="13"/>
          <w:szCs w:val="13"/>
          <w:i w:val="1"/>
          <w:iCs w:val="1"/>
          <w:color w:val="auto"/>
        </w:rPr>
        <w:t>(Name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240665</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384" w:lineRule="exact"/>
        <w:rPr>
          <w:sz w:val="24"/>
          <w:szCs w:val="24"/>
          <w:color w:val="auto"/>
        </w:rPr>
      </w:pPr>
    </w:p>
    <w:p>
      <w:pPr>
        <w:ind w:left="3580"/>
        <w:spacing w:after="0"/>
        <w:rPr>
          <w:sz w:val="20"/>
          <w:szCs w:val="20"/>
          <w:color w:val="auto"/>
        </w:rPr>
      </w:pPr>
      <w:r>
        <w:rPr>
          <w:rFonts w:ascii="Arial" w:cs="Arial" w:eastAsia="Arial" w:hAnsi="Arial"/>
          <w:sz w:val="13"/>
          <w:szCs w:val="13"/>
          <w:i w:val="1"/>
          <w:iCs w:val="1"/>
          <w:color w:val="auto"/>
        </w:rPr>
        <w:t>(Name of Person(s) Filing Proxy Statement, if Other Than the Registrant)</w:t>
      </w:r>
    </w:p>
    <w:p>
      <w:pPr>
        <w:spacing w:after="0" w:line="190"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Payment of Filing Fee (Check all boxes that apply):</w:t>
      </w:r>
    </w:p>
    <w:p>
      <w:pPr>
        <w:spacing w:after="0" w:line="140" w:lineRule="exact"/>
        <w:rPr>
          <w:sz w:val="24"/>
          <w:szCs w:val="24"/>
          <w:color w:val="auto"/>
        </w:rPr>
      </w:pPr>
    </w:p>
    <w:p>
      <w:pPr>
        <w:ind w:left="480" w:hanging="474"/>
        <w:spacing w:after="0"/>
        <w:tabs>
          <w:tab w:leader="none" w:pos="480" w:val="left"/>
        </w:tabs>
        <w:numPr>
          <w:ilvl w:val="0"/>
          <w:numId w:val="4"/>
        </w:numPr>
        <w:rPr>
          <w:rFonts w:ascii="MS PGothic" w:cs="MS PGothic" w:eastAsia="MS PGothic" w:hAnsi="MS PGothic"/>
          <w:sz w:val="18"/>
          <w:szCs w:val="18"/>
          <w:color w:val="auto"/>
        </w:rPr>
      </w:pPr>
      <w:r>
        <w:rPr>
          <w:rFonts w:ascii="Arial" w:cs="Arial" w:eastAsia="Arial" w:hAnsi="Arial"/>
          <w:sz w:val="16"/>
          <w:szCs w:val="16"/>
          <w:color w:val="auto"/>
        </w:rPr>
        <w:t>No fee required</w:t>
      </w:r>
    </w:p>
    <w:p>
      <w:pPr>
        <w:spacing w:after="0" w:line="135" w:lineRule="exact"/>
        <w:rPr>
          <w:sz w:val="24"/>
          <w:szCs w:val="24"/>
          <w:color w:val="auto"/>
        </w:rPr>
      </w:pPr>
    </w:p>
    <w:p>
      <w:pPr>
        <w:ind w:left="480" w:hanging="474"/>
        <w:spacing w:after="0"/>
        <w:tabs>
          <w:tab w:leader="none" w:pos="480" w:val="left"/>
        </w:tabs>
        <w:numPr>
          <w:ilvl w:val="0"/>
          <w:numId w:val="5"/>
        </w:numPr>
        <w:rPr>
          <w:rFonts w:ascii="MS PGothic" w:cs="MS PGothic" w:eastAsia="MS PGothic" w:hAnsi="MS PGothic"/>
          <w:sz w:val="18"/>
          <w:szCs w:val="18"/>
          <w:color w:val="auto"/>
        </w:rPr>
      </w:pPr>
      <w:r>
        <w:rPr>
          <w:rFonts w:ascii="Arial" w:cs="Arial" w:eastAsia="Arial" w:hAnsi="Arial"/>
          <w:sz w:val="16"/>
          <w:szCs w:val="16"/>
          <w:color w:val="auto"/>
        </w:rPr>
        <w:t>Fee paid previously with preliminary materials</w:t>
      </w:r>
    </w:p>
    <w:p>
      <w:pPr>
        <w:spacing w:after="0" w:line="135" w:lineRule="exact"/>
        <w:rPr>
          <w:rFonts w:ascii="MS PGothic" w:cs="MS PGothic" w:eastAsia="MS PGothic" w:hAnsi="MS PGothic"/>
          <w:sz w:val="18"/>
          <w:szCs w:val="18"/>
          <w:color w:val="auto"/>
        </w:rPr>
      </w:pPr>
    </w:p>
    <w:p>
      <w:pPr>
        <w:ind w:left="480" w:hanging="474"/>
        <w:spacing w:after="0"/>
        <w:tabs>
          <w:tab w:leader="none" w:pos="480" w:val="left"/>
        </w:tabs>
        <w:numPr>
          <w:ilvl w:val="0"/>
          <w:numId w:val="5"/>
        </w:numPr>
        <w:rPr>
          <w:rFonts w:ascii="MS PGothic" w:cs="MS PGothic" w:eastAsia="MS PGothic" w:hAnsi="MS PGothic"/>
          <w:sz w:val="18"/>
          <w:szCs w:val="18"/>
          <w:color w:val="auto"/>
        </w:rPr>
      </w:pPr>
      <w:r>
        <w:rPr>
          <w:rFonts w:ascii="Arial" w:cs="Arial" w:eastAsia="Arial" w:hAnsi="Arial"/>
          <w:sz w:val="16"/>
          <w:szCs w:val="16"/>
          <w:color w:val="auto"/>
        </w:rPr>
        <w:t>Fee computed on table in exhibit required by Item 25(b) per Exchange Act Rules 14a-6(i)(1) and 0-11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-19685</wp:posOffset>
            </wp:positionH>
            <wp:positionV relativeFrom="paragraph">
              <wp:posOffset>699770</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19"/>
          </w:cols>
          <w:pgMar w:left="340" w:top="1178" w:right="1440" w:bottom="1440" w:gutter="0" w:footer="0" w:header="0"/>
        </w:sectPr>
      </w:pPr>
    </w:p>
    <w:bookmarkStart w:id="1" w:name="page2"/>
    <w:bookmarkEnd w:id="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380365</wp:posOffset>
            </wp:positionV>
            <wp:extent cx="7157720" cy="921067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921067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 w:name="page3"/>
    <w:bookmarkEnd w:id="2"/>
    <w:p>
      <w:pPr>
        <w:spacing w:after="0"/>
        <w:rPr>
          <w:sz w:val="20"/>
          <w:szCs w:val="20"/>
          <w:color w:val="auto"/>
        </w:rPr>
      </w:pPr>
      <w:r>
        <w:rPr>
          <w:rFonts w:ascii="Arial" w:cs="Arial" w:eastAsia="Arial" w:hAnsi="Arial"/>
          <w:sz w:val="58"/>
          <w:szCs w:val="58"/>
          <w:color w:val="auto"/>
        </w:rPr>
        <w:t>Letter from our Lead Independent Director</w:t>
      </w:r>
    </w:p>
    <w:p>
      <w:pPr>
        <w:spacing w:after="0" w:line="130" w:lineRule="exact"/>
        <w:rPr>
          <w:sz w:val="20"/>
          <w:szCs w:val="20"/>
          <w:color w:val="auto"/>
        </w:rPr>
      </w:pPr>
    </w:p>
    <w:p>
      <w:pPr>
        <w:spacing w:after="0"/>
        <w:rPr>
          <w:sz w:val="20"/>
          <w:szCs w:val="20"/>
          <w:color w:val="auto"/>
        </w:rPr>
      </w:pPr>
      <w:r>
        <w:rPr>
          <w:rFonts w:ascii="Arial" w:cs="Arial" w:eastAsia="Arial" w:hAnsi="Arial"/>
          <w:sz w:val="41"/>
          <w:szCs w:val="41"/>
          <w:b w:val="1"/>
          <w:bCs w:val="1"/>
          <w:color w:val="0067B3"/>
        </w:rPr>
        <w:t>Dear Fellow Shareholders,</w:t>
      </w:r>
    </w:p>
    <w:p>
      <w:pPr>
        <w:spacing w:after="0" w:line="156" w:lineRule="exact"/>
        <w:rPr>
          <w:sz w:val="20"/>
          <w:szCs w:val="20"/>
          <w:color w:val="auto"/>
        </w:rPr>
      </w:pPr>
    </w:p>
    <w:p>
      <w:pPr>
        <w:ind w:right="40"/>
        <w:spacing w:after="0" w:line="287" w:lineRule="auto"/>
        <w:rPr>
          <w:sz w:val="20"/>
          <w:szCs w:val="20"/>
          <w:color w:val="auto"/>
        </w:rPr>
      </w:pPr>
      <w:r>
        <w:rPr>
          <w:rFonts w:ascii="Arial" w:cs="Arial" w:eastAsia="Arial" w:hAnsi="Arial"/>
          <w:sz w:val="18"/>
          <w:szCs w:val="18"/>
          <w:color w:val="auto"/>
        </w:rPr>
        <w:t>On behalf of the Board of Directors, I am pleased to present our annual Proxy Statement and provide an update on the Board’s key activities and areas of focus in pursuit of enhancing and extending ADI’s long-term value for shareholders.</w:t>
      </w:r>
    </w:p>
    <w:p>
      <w:pPr>
        <w:spacing w:after="0" w:line="31"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ADI’s investments and focused execution enabled the company to rebound from the 2024 semiconductor industry downturn, accelerating throughout 2025 with clear direction and velocity. ADI’s sharp attention to the entire value continuum – from creation to delivery to capture – resulted in strong double-digit growth in revenue and earnings per share and set the stage for a strong 2026. This performance is even more impressive considering the difficult geopolitical and macroeconomic backdrop against which these results were obtained.</w:t>
      </w:r>
    </w:p>
    <w:p>
      <w:pPr>
        <w:spacing w:after="0" w:line="62" w:lineRule="exact"/>
        <w:rPr>
          <w:sz w:val="20"/>
          <w:szCs w:val="20"/>
          <w:color w:val="auto"/>
        </w:rPr>
      </w:pPr>
    </w:p>
    <w:p>
      <w:pPr>
        <w:ind w:right="60"/>
        <w:spacing w:after="0" w:line="251" w:lineRule="auto"/>
        <w:rPr>
          <w:sz w:val="20"/>
          <w:szCs w:val="20"/>
          <w:color w:val="auto"/>
        </w:rPr>
      </w:pPr>
      <w:r>
        <w:rPr>
          <w:rFonts w:ascii="Arial" w:cs="Arial" w:eastAsia="Arial" w:hAnsi="Arial"/>
          <w:sz w:val="18"/>
          <w:szCs w:val="18"/>
          <w:color w:val="auto"/>
        </w:rPr>
        <w:t>The Board worked collaboratively with ADI’s management team to navigate the year’s challenges and refine corporate strategy and execution to achieve our business goals and meet our commitments to ADI’s shareholders. We worked closely to understand, mitigate, and adapt our operations to the risks represented by global trade and regulatory turbulence. Cybersecurity and operational resilience, perennial and ever-growing concerns in the digital era, remained a core oversight area. And helping ADI best assess and grasp the opportunities of AI while managing risk was yet another key area of focus in 2025.</w:t>
      </w:r>
    </w:p>
    <w:p>
      <w:pPr>
        <w:spacing w:after="0" w:line="65" w:lineRule="exact"/>
        <w:rPr>
          <w:sz w:val="20"/>
          <w:szCs w:val="20"/>
          <w:color w:val="auto"/>
        </w:rPr>
      </w:pPr>
    </w:p>
    <w:p>
      <w:pPr>
        <w:ind w:right="80"/>
        <w:spacing w:after="0" w:line="248" w:lineRule="auto"/>
        <w:rPr>
          <w:sz w:val="20"/>
          <w:szCs w:val="20"/>
          <w:color w:val="auto"/>
        </w:rPr>
      </w:pPr>
      <w:r>
        <w:rPr>
          <w:rFonts w:ascii="Arial" w:cs="Arial" w:eastAsia="Arial" w:hAnsi="Arial"/>
          <w:sz w:val="18"/>
          <w:szCs w:val="18"/>
          <w:color w:val="auto"/>
        </w:rPr>
        <w:t>Over the years, ADI has extended up the stack, incorporating additional layers of analog, mixed signal, and digital hardware and software to deliver more complete solutions to customer challenges. Increasingly, those more complete offerings are embedding neural nets and other technologies to deliver AI capabilities at the Intelligent Edge in customer solutions. ADI is placing AI in and around its products to enhance and make them easier for customers to adopt and deploy. ADI is also leveraging AI within its operations to secure productivity and operational efficiency improvements. But we are ever mindful that AI is not a panacea, and the Board has worked closely with ADI to ensure a tight fit between AI strategy and achievement of business goals.</w:t>
      </w:r>
    </w:p>
    <w:p>
      <w:pPr>
        <w:spacing w:after="0" w:line="67" w:lineRule="exact"/>
        <w:rPr>
          <w:sz w:val="20"/>
          <w:szCs w:val="20"/>
          <w:color w:val="auto"/>
        </w:rPr>
      </w:pPr>
    </w:p>
    <w:p>
      <w:pPr>
        <w:spacing w:after="0" w:line="247" w:lineRule="auto"/>
        <w:rPr>
          <w:sz w:val="20"/>
          <w:szCs w:val="20"/>
          <w:color w:val="auto"/>
        </w:rPr>
      </w:pPr>
      <w:r>
        <w:rPr>
          <w:rFonts w:ascii="Arial" w:cs="Arial" w:eastAsia="Arial" w:hAnsi="Arial"/>
          <w:sz w:val="18"/>
          <w:szCs w:val="18"/>
          <w:color w:val="auto"/>
        </w:rPr>
        <w:t>The Board is committed to continuing to refresh and enhance itself to maintain our ability to provide superior governance and oversight in the midst of these rapidly evolving times. To that end, we were pleased to add Yoky Matsuoka as a director in January 2026, gaining her significant experience in robotics and artificial intelligence, having worked across industries including healthcare, consumer electronics, and academia. The Board continues to engage in a robust director education program that we have reinvigorated over the last few years to include networking and education opportunities aligned with ADI’s industry and strategy.</w:t>
      </w:r>
    </w:p>
    <w:p>
      <w:pPr>
        <w:spacing w:after="0" w:line="82" w:lineRule="exact"/>
        <w:rPr>
          <w:sz w:val="20"/>
          <w:szCs w:val="20"/>
          <w:color w:val="auto"/>
        </w:rPr>
      </w:pPr>
    </w:p>
    <w:p>
      <w:pPr>
        <w:ind w:right="100"/>
        <w:spacing w:after="0" w:line="245" w:lineRule="auto"/>
        <w:rPr>
          <w:sz w:val="20"/>
          <w:szCs w:val="20"/>
          <w:color w:val="auto"/>
        </w:rPr>
      </w:pPr>
      <w:r>
        <w:rPr>
          <w:rFonts w:ascii="Arial" w:cs="Arial" w:eastAsia="Arial" w:hAnsi="Arial"/>
          <w:sz w:val="18"/>
          <w:szCs w:val="18"/>
          <w:color w:val="auto"/>
        </w:rPr>
        <w:t>Recognizing the critical role the Board plays in achieving our shareholders’ goals, we reach out regularly to investors to ensure alignment with those goals. In 2025, we met with investors representing approximately 25% of ADI shares outstanding. Investor conversations provide valuable insights and perspective to our governance practices, influencing decisions such as this year’s ownership threshold reduction for shareholders to call a special meeting under our Bylaws from 80% to 25% of outstanding shares. This move strikes the right balance between enabling shareholders to act on matters of importance to them while protecting the larger base of investors against the risk that a small number of shareholders might create disruption to our business and achievement of our shareholder commitments.</w:t>
      </w:r>
    </w:p>
    <w:p>
      <w:pPr>
        <w:spacing w:after="0" w:line="82" w:lineRule="exact"/>
        <w:rPr>
          <w:sz w:val="20"/>
          <w:szCs w:val="20"/>
          <w:color w:val="auto"/>
        </w:rPr>
      </w:pPr>
    </w:p>
    <w:p>
      <w:pPr>
        <w:ind w:right="200"/>
        <w:spacing w:after="0" w:line="252" w:lineRule="auto"/>
        <w:rPr>
          <w:sz w:val="20"/>
          <w:szCs w:val="20"/>
          <w:color w:val="auto"/>
        </w:rPr>
      </w:pPr>
      <w:r>
        <w:rPr>
          <w:rFonts w:ascii="Arial" w:cs="Arial" w:eastAsia="Arial" w:hAnsi="Arial"/>
          <w:sz w:val="18"/>
          <w:szCs w:val="18"/>
          <w:color w:val="auto"/>
        </w:rPr>
        <w:t>One of the areas addressed in our investor conversations this year, as in every year, is the question of executive and employee compensation. Following this year’s discussions, we are asking shareholders to approve an Amended and Restated 2020 Equity Incentive Plan to strengthen our ability to remain a center of gravity for the world’s leading talent (see Proposal 4). This vote offers shareholders an opportunity to provide direct feedback on our Plan for the first time since it was originally adopted in 2020.</w:t>
      </w:r>
    </w:p>
    <w:p>
      <w:pPr>
        <w:spacing w:after="0" w:line="62" w:lineRule="exact"/>
        <w:rPr>
          <w:sz w:val="20"/>
          <w:szCs w:val="20"/>
          <w:color w:val="auto"/>
        </w:rPr>
      </w:pPr>
    </w:p>
    <w:p>
      <w:pPr>
        <w:ind w:right="160"/>
        <w:spacing w:after="0" w:line="252" w:lineRule="auto"/>
        <w:rPr>
          <w:sz w:val="20"/>
          <w:szCs w:val="20"/>
          <w:color w:val="auto"/>
        </w:rPr>
      </w:pPr>
      <w:r>
        <w:rPr>
          <w:rFonts w:ascii="Arial" w:cs="Arial" w:eastAsia="Arial" w:hAnsi="Arial"/>
          <w:sz w:val="18"/>
          <w:szCs w:val="18"/>
          <w:color w:val="auto"/>
        </w:rPr>
        <w:t>As we head into 2026, we do so with momentum and confidence in our ability to successfully navigate the multiple technological, business, macroeconomic, and geopolitical challenges of our era. These near-term issues are minor compared to ADI’s vast long-term growth potential. The Board, management team, and I remain deeply committed to pressing our advantages to continue pioneering the possible at the intersection of the physical and digital worlds and delivering long-term value for our shareholders.</w:t>
      </w:r>
    </w:p>
    <w:p>
      <w:pPr>
        <w:spacing w:after="0" w:line="62" w:lineRule="exact"/>
        <w:rPr>
          <w:sz w:val="20"/>
          <w:szCs w:val="20"/>
          <w:color w:val="auto"/>
        </w:rPr>
      </w:pPr>
    </w:p>
    <w:p>
      <w:pPr>
        <w:ind w:right="140"/>
        <w:spacing w:after="0" w:line="271" w:lineRule="auto"/>
        <w:rPr>
          <w:sz w:val="20"/>
          <w:szCs w:val="20"/>
          <w:color w:val="auto"/>
        </w:rPr>
      </w:pPr>
      <w:r>
        <w:rPr>
          <w:rFonts w:ascii="Arial" w:cs="Arial" w:eastAsia="Arial" w:hAnsi="Arial"/>
          <w:sz w:val="18"/>
          <w:szCs w:val="18"/>
          <w:color w:val="auto"/>
        </w:rPr>
        <w:t>We are grateful for your commitment to and investment in ADI and will continue to work to earn your trust and deliver the shareholder value that you expect in 2026 and beyond.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135255</wp:posOffset>
            </wp:positionV>
            <wp:extent cx="1903095" cy="8483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903095" cy="8483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ind w:left="1680"/>
        <w:spacing w:after="0"/>
        <w:rPr>
          <w:sz w:val="20"/>
          <w:szCs w:val="20"/>
          <w:color w:val="auto"/>
        </w:rPr>
      </w:pPr>
      <w:r>
        <w:rPr>
          <w:rFonts w:ascii="Arial" w:cs="Arial" w:eastAsia="Arial" w:hAnsi="Arial"/>
          <w:sz w:val="18"/>
          <w:szCs w:val="18"/>
          <w:b w:val="1"/>
          <w:bCs w:val="1"/>
          <w:color w:val="0067B3"/>
        </w:rPr>
        <w:t>STEPHEN M. JENNINGS</w:t>
      </w:r>
    </w:p>
    <w:p>
      <w:pPr>
        <w:spacing w:after="0" w:line="27" w:lineRule="exact"/>
        <w:rPr>
          <w:sz w:val="20"/>
          <w:szCs w:val="20"/>
          <w:color w:val="auto"/>
        </w:rPr>
      </w:pPr>
    </w:p>
    <w:p>
      <w:pPr>
        <w:ind w:left="1680"/>
        <w:spacing w:after="0"/>
        <w:rPr>
          <w:sz w:val="20"/>
          <w:szCs w:val="20"/>
          <w:color w:val="auto"/>
        </w:rPr>
      </w:pPr>
      <w:r>
        <w:rPr>
          <w:rFonts w:ascii="Arial" w:cs="Arial" w:eastAsia="Arial" w:hAnsi="Arial"/>
          <w:sz w:val="18"/>
          <w:szCs w:val="18"/>
          <w:color w:val="auto"/>
        </w:rPr>
        <w:t>Lead Independent Director and</w:t>
      </w:r>
    </w:p>
    <w:p>
      <w:pPr>
        <w:spacing w:after="0" w:line="9" w:lineRule="exact"/>
        <w:rPr>
          <w:sz w:val="20"/>
          <w:szCs w:val="20"/>
          <w:color w:val="auto"/>
        </w:rPr>
      </w:pPr>
    </w:p>
    <w:p>
      <w:pPr>
        <w:ind w:left="1680"/>
        <w:spacing w:after="0"/>
        <w:rPr>
          <w:sz w:val="20"/>
          <w:szCs w:val="20"/>
          <w:color w:val="auto"/>
        </w:rPr>
      </w:pPr>
      <w:r>
        <w:rPr>
          <w:rFonts w:ascii="Arial" w:cs="Arial" w:eastAsia="Arial" w:hAnsi="Arial"/>
          <w:sz w:val="18"/>
          <w:szCs w:val="18"/>
          <w:color w:val="auto"/>
        </w:rPr>
        <w:t>Chair of the Nominating and</w:t>
      </w:r>
    </w:p>
    <w:p>
      <w:pPr>
        <w:spacing w:after="0" w:line="9" w:lineRule="exact"/>
        <w:rPr>
          <w:sz w:val="20"/>
          <w:szCs w:val="20"/>
          <w:color w:val="auto"/>
        </w:rPr>
      </w:pPr>
    </w:p>
    <w:p>
      <w:pPr>
        <w:ind w:left="1680"/>
        <w:spacing w:after="0"/>
        <w:rPr>
          <w:sz w:val="20"/>
          <w:szCs w:val="20"/>
          <w:color w:val="auto"/>
        </w:rPr>
      </w:pPr>
      <w:r>
        <w:rPr>
          <w:rFonts w:ascii="Arial" w:cs="Arial" w:eastAsia="Arial" w:hAnsi="Arial"/>
          <w:sz w:val="18"/>
          <w:szCs w:val="18"/>
          <w:color w:val="auto"/>
        </w:rPr>
        <w:t>Corporate Governance 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679450</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26" w:right="379" w:bottom="1440" w:gutter="0" w:footer="0" w:header="0"/>
        </w:sectPr>
      </w:pPr>
    </w:p>
    <w:bookmarkStart w:id="3" w:name="page4"/>
    <w:bookmarkEnd w:id="3"/>
    <w:p>
      <w:pPr>
        <w:ind w:right="3320"/>
        <w:spacing w:after="0" w:line="263" w:lineRule="auto"/>
        <w:rPr>
          <w:sz w:val="20"/>
          <w:szCs w:val="20"/>
          <w:color w:val="auto"/>
        </w:rPr>
      </w:pPr>
      <w:r>
        <w:rPr>
          <w:rFonts w:ascii="Arial" w:cs="Arial" w:eastAsia="Arial" w:hAnsi="Arial"/>
          <w:sz w:val="58"/>
          <w:szCs w:val="58"/>
          <w:color w:val="auto"/>
        </w:rPr>
        <w:t>Notice of 2026 Annual Meeting of Shareholders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1530985</wp:posOffset>
            </wp:positionH>
            <wp:positionV relativeFrom="paragraph">
              <wp:posOffset>279400</wp:posOffset>
            </wp:positionV>
            <wp:extent cx="8890" cy="697801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8890" cy="6978015"/>
                    </a:xfrm>
                    <a:prstGeom prst="rect">
                      <a:avLst/>
                    </a:prstGeom>
                    <a:noFill/>
                  </pic:spPr>
                </pic:pic>
              </a:graphicData>
            </a:graphic>
          </wp:anchor>
        </w:drawing>
      </w:r>
    </w:p>
    <w:p>
      <w:pPr>
        <w:sectPr>
          <w:pgSz w:w="11900" w:h="16838" w:orient="portrait"/>
          <w:cols w:equalWidth="0" w:num="1">
            <w:col w:w="11200"/>
          </w:cols>
          <w:pgMar w:left="320" w:top="1126" w:right="379" w:bottom="1440" w:gutter="0" w:footer="0" w:header="0"/>
        </w:sectPr>
      </w:pPr>
    </w:p>
    <w:p>
      <w:pPr>
        <w:spacing w:after="0" w:line="200" w:lineRule="exact"/>
        <w:rPr>
          <w:sz w:val="20"/>
          <w:szCs w:val="20"/>
          <w:color w:val="auto"/>
        </w:rPr>
      </w:pPr>
    </w:p>
    <w:p>
      <w:pPr>
        <w:spacing w:after="0" w:line="397"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0067B3"/>
        </w:rPr>
        <w:t>DATE AND TIME</w:t>
      </w:r>
    </w:p>
    <w:p>
      <w:pPr>
        <w:spacing w:after="0" w:line="117" w:lineRule="exact"/>
        <w:rPr>
          <w:sz w:val="20"/>
          <w:szCs w:val="20"/>
          <w:color w:val="auto"/>
        </w:rPr>
      </w:pPr>
    </w:p>
    <w:p>
      <w:pPr>
        <w:ind w:left="20" w:right="60"/>
        <w:spacing w:after="0" w:line="318" w:lineRule="auto"/>
        <w:rPr>
          <w:sz w:val="20"/>
          <w:szCs w:val="20"/>
          <w:color w:val="auto"/>
        </w:rPr>
      </w:pPr>
      <w:r>
        <w:rPr>
          <w:rFonts w:ascii="Arial" w:cs="Arial" w:eastAsia="Arial" w:hAnsi="Arial"/>
          <w:sz w:val="16"/>
          <w:szCs w:val="16"/>
          <w:color w:val="auto"/>
        </w:rPr>
        <w:t>Wednesday</w:t>
      </w:r>
      <w:r>
        <w:rPr>
          <w:rFonts w:ascii="Arial" w:cs="Arial" w:eastAsia="Arial" w:hAnsi="Arial"/>
          <w:sz w:val="17"/>
          <w:szCs w:val="17"/>
          <w:color w:val="auto"/>
        </w:rPr>
        <w:t>, March 11, 2026</w:t>
      </w:r>
      <w:r>
        <w:rPr>
          <w:rFonts w:ascii="Arial" w:cs="Arial" w:eastAsia="Arial" w:hAnsi="Arial"/>
          <w:sz w:val="16"/>
          <w:szCs w:val="16"/>
          <w:color w:val="auto"/>
        </w:rPr>
        <w:t xml:space="preserve"> </w:t>
      </w:r>
      <w:r>
        <w:rPr>
          <w:rFonts w:ascii="Arial" w:cs="Arial" w:eastAsia="Arial" w:hAnsi="Arial"/>
          <w:sz w:val="17"/>
          <w:szCs w:val="17"/>
          <w:color w:val="auto"/>
        </w:rPr>
        <w:t>9:00 a.m. local time</w:t>
      </w:r>
    </w:p>
    <w:p>
      <w:pPr>
        <w:spacing w:after="0" w:line="62"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0067B3"/>
        </w:rPr>
        <w:t>PLACE</w:t>
      </w:r>
    </w:p>
    <w:p>
      <w:pPr>
        <w:spacing w:after="0" w:line="117" w:lineRule="exact"/>
        <w:rPr>
          <w:sz w:val="20"/>
          <w:szCs w:val="20"/>
          <w:color w:val="auto"/>
        </w:rPr>
      </w:pPr>
    </w:p>
    <w:p>
      <w:pPr>
        <w:ind w:left="20" w:right="700"/>
        <w:spacing w:after="0" w:line="318" w:lineRule="auto"/>
        <w:rPr>
          <w:sz w:val="20"/>
          <w:szCs w:val="20"/>
          <w:color w:val="auto"/>
        </w:rPr>
      </w:pPr>
      <w:r>
        <w:rPr>
          <w:rFonts w:ascii="Arial" w:cs="Arial" w:eastAsia="Arial" w:hAnsi="Arial"/>
          <w:sz w:val="17"/>
          <w:szCs w:val="17"/>
          <w:color w:val="auto"/>
        </w:rPr>
        <w:t>125 Summer Street Boston, MA 02110</w:t>
      </w:r>
    </w:p>
    <w:p>
      <w:pPr>
        <w:spacing w:after="0" w:line="49"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0067B3"/>
        </w:rPr>
        <w:t>RECORD DATE</w:t>
      </w:r>
    </w:p>
    <w:p>
      <w:pPr>
        <w:spacing w:after="0" w:line="117" w:lineRule="exact"/>
        <w:rPr>
          <w:sz w:val="20"/>
          <w:szCs w:val="20"/>
          <w:color w:val="auto"/>
        </w:rPr>
      </w:pPr>
    </w:p>
    <w:p>
      <w:pPr>
        <w:ind w:left="20"/>
        <w:spacing w:after="0"/>
        <w:rPr>
          <w:sz w:val="20"/>
          <w:szCs w:val="20"/>
          <w:color w:val="auto"/>
        </w:rPr>
      </w:pPr>
      <w:r>
        <w:rPr>
          <w:rFonts w:ascii="Arial" w:cs="Arial" w:eastAsia="Arial" w:hAnsi="Arial"/>
          <w:sz w:val="18"/>
          <w:szCs w:val="18"/>
          <w:color w:val="auto"/>
        </w:rPr>
        <w:t>Thursday, January 8, 2026</w:t>
      </w:r>
    </w:p>
    <w:p>
      <w:pPr>
        <w:spacing w:after="0" w:line="386" w:lineRule="exact"/>
        <w:rPr>
          <w:sz w:val="20"/>
          <w:szCs w:val="20"/>
          <w:color w:val="auto"/>
        </w:rPr>
      </w:pPr>
    </w:p>
    <w:p>
      <w:pPr>
        <w:ind w:left="20" w:right="280"/>
        <w:spacing w:after="0" w:line="284" w:lineRule="auto"/>
        <w:rPr>
          <w:sz w:val="20"/>
          <w:szCs w:val="20"/>
          <w:color w:val="auto"/>
        </w:rPr>
      </w:pPr>
      <w:r>
        <w:rPr>
          <w:rFonts w:ascii="Arial" w:cs="Arial" w:eastAsia="Arial" w:hAnsi="Arial"/>
          <w:sz w:val="23"/>
          <w:szCs w:val="23"/>
          <w:b w:val="1"/>
          <w:bCs w:val="1"/>
          <w:color w:val="auto"/>
        </w:rPr>
        <w:t>How to vote: Your vote is important</w:t>
      </w:r>
    </w:p>
    <w:p>
      <w:pPr>
        <w:spacing w:after="0" w:line="36"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0067B3"/>
        </w:rPr>
        <w:t>VOTE BY PROXY:</w:t>
      </w:r>
    </w:p>
    <w:p>
      <w:pPr>
        <w:spacing w:after="0" w:line="158"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0067B3"/>
        </w:rPr>
        <w:t>BY INTERNET</w:t>
      </w:r>
    </w:p>
    <w:p>
      <w:pPr>
        <w:spacing w:after="0" w:line="117" w:lineRule="exact"/>
        <w:rPr>
          <w:sz w:val="20"/>
          <w:szCs w:val="20"/>
          <w:color w:val="auto"/>
        </w:rPr>
      </w:pPr>
    </w:p>
    <w:p>
      <w:pPr>
        <w:ind w:left="20"/>
        <w:spacing w:after="0"/>
        <w:rPr>
          <w:sz w:val="20"/>
          <w:szCs w:val="20"/>
          <w:color w:val="auto"/>
        </w:rPr>
      </w:pPr>
      <w:r>
        <w:rPr>
          <w:rFonts w:ascii="Arial" w:cs="Arial" w:eastAsia="Arial" w:hAnsi="Arial"/>
          <w:sz w:val="18"/>
          <w:szCs w:val="18"/>
          <w:color w:val="auto"/>
        </w:rPr>
        <w:t xml:space="preserve">Go to </w:t>
      </w:r>
      <w:r>
        <w:rPr>
          <w:rFonts w:ascii="Arial" w:cs="Arial" w:eastAsia="Arial" w:hAnsi="Arial"/>
          <w:sz w:val="18"/>
          <w:szCs w:val="18"/>
          <w:color w:val="0067B3"/>
        </w:rPr>
        <w:t>www.proxyvote.com</w:t>
      </w:r>
    </w:p>
    <w:p>
      <w:pPr>
        <w:spacing w:after="0" w:line="117" w:lineRule="exact"/>
        <w:rPr>
          <w:sz w:val="20"/>
          <w:szCs w:val="20"/>
          <w:color w:val="auto"/>
        </w:rPr>
      </w:pPr>
    </w:p>
    <w:p>
      <w:pPr>
        <w:ind w:left="20"/>
        <w:spacing w:after="0" w:line="262" w:lineRule="auto"/>
        <w:rPr>
          <w:sz w:val="20"/>
          <w:szCs w:val="20"/>
          <w:color w:val="auto"/>
        </w:rPr>
      </w:pPr>
      <w:r>
        <w:rPr>
          <w:rFonts w:ascii="Arial" w:cs="Arial" w:eastAsia="Arial" w:hAnsi="Arial"/>
          <w:sz w:val="18"/>
          <w:szCs w:val="18"/>
          <w:color w:val="auto"/>
        </w:rPr>
        <w:t>You will need the 16-digit control number that appears on your proxy card or the Notice.</w:t>
      </w:r>
    </w:p>
    <w:p>
      <w:pPr>
        <w:spacing w:after="0" w:line="109"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0067B3"/>
        </w:rPr>
        <w:t>BY TELEPHONE</w:t>
      </w:r>
    </w:p>
    <w:p>
      <w:pPr>
        <w:spacing w:after="0" w:line="117" w:lineRule="exact"/>
        <w:rPr>
          <w:sz w:val="20"/>
          <w:szCs w:val="20"/>
          <w:color w:val="auto"/>
        </w:rPr>
      </w:pPr>
    </w:p>
    <w:p>
      <w:pPr>
        <w:ind w:left="20"/>
        <w:spacing w:after="0"/>
        <w:rPr>
          <w:sz w:val="20"/>
          <w:szCs w:val="20"/>
          <w:color w:val="auto"/>
        </w:rPr>
      </w:pPr>
      <w:r>
        <w:rPr>
          <w:rFonts w:ascii="Arial" w:cs="Arial" w:eastAsia="Arial" w:hAnsi="Arial"/>
          <w:sz w:val="18"/>
          <w:szCs w:val="18"/>
          <w:color w:val="auto"/>
        </w:rPr>
        <w:t>Call 1-800-690-6903</w:t>
      </w:r>
    </w:p>
    <w:p>
      <w:pPr>
        <w:spacing w:after="0" w:line="117" w:lineRule="exact"/>
        <w:rPr>
          <w:sz w:val="20"/>
          <w:szCs w:val="20"/>
          <w:color w:val="auto"/>
        </w:rPr>
      </w:pPr>
    </w:p>
    <w:p>
      <w:pPr>
        <w:ind w:left="20"/>
        <w:spacing w:after="0" w:line="262" w:lineRule="auto"/>
        <w:rPr>
          <w:sz w:val="20"/>
          <w:szCs w:val="20"/>
          <w:color w:val="auto"/>
        </w:rPr>
      </w:pPr>
      <w:r>
        <w:rPr>
          <w:rFonts w:ascii="Arial" w:cs="Arial" w:eastAsia="Arial" w:hAnsi="Arial"/>
          <w:sz w:val="18"/>
          <w:szCs w:val="18"/>
          <w:color w:val="auto"/>
        </w:rPr>
        <w:t>You will need the 16-digit control number that appears on your proxy card or the Notice.</w:t>
      </w:r>
    </w:p>
    <w:p>
      <w:pPr>
        <w:spacing w:after="0" w:line="95"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0067B3"/>
        </w:rPr>
        <w:t>BY MAIL</w:t>
      </w:r>
    </w:p>
    <w:p>
      <w:pPr>
        <w:spacing w:after="0" w:line="117" w:lineRule="exact"/>
        <w:rPr>
          <w:sz w:val="20"/>
          <w:szCs w:val="20"/>
          <w:color w:val="auto"/>
        </w:rPr>
      </w:pPr>
    </w:p>
    <w:p>
      <w:pPr>
        <w:ind w:left="20"/>
        <w:spacing w:after="0" w:line="259" w:lineRule="auto"/>
        <w:rPr>
          <w:sz w:val="20"/>
          <w:szCs w:val="20"/>
          <w:color w:val="auto"/>
        </w:rPr>
      </w:pPr>
      <w:r>
        <w:rPr>
          <w:rFonts w:ascii="Arial" w:cs="Arial" w:eastAsia="Arial" w:hAnsi="Arial"/>
          <w:sz w:val="18"/>
          <w:szCs w:val="18"/>
          <w:color w:val="auto"/>
        </w:rPr>
        <w:t>Mark, sign, date, and mail your proxy card or your voting instruction form. No postage is required if mailed in the United States.</w:t>
      </w:r>
    </w:p>
    <w:p>
      <w:pPr>
        <w:spacing w:after="0" w:line="112"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0067B3"/>
        </w:rPr>
        <w:t>VOTE DURING THE</w:t>
      </w:r>
    </w:p>
    <w:p>
      <w:pPr>
        <w:spacing w:after="0" w:line="27"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0067B3"/>
        </w:rPr>
        <w:t>ANNUAL MEETING:</w:t>
      </w:r>
    </w:p>
    <w:p>
      <w:pPr>
        <w:spacing w:after="0" w:line="99" w:lineRule="exact"/>
        <w:rPr>
          <w:sz w:val="20"/>
          <w:szCs w:val="20"/>
          <w:color w:val="auto"/>
        </w:rPr>
      </w:pPr>
    </w:p>
    <w:p>
      <w:pPr>
        <w:ind w:left="20" w:right="100"/>
        <w:spacing w:after="0" w:line="259" w:lineRule="auto"/>
        <w:rPr>
          <w:sz w:val="20"/>
          <w:szCs w:val="20"/>
          <w:color w:val="auto"/>
        </w:rPr>
      </w:pPr>
      <w:r>
        <w:rPr>
          <w:rFonts w:ascii="Arial" w:cs="Arial" w:eastAsia="Arial" w:hAnsi="Arial"/>
          <w:sz w:val="18"/>
          <w:szCs w:val="18"/>
          <w:color w:val="auto"/>
        </w:rPr>
        <w:t xml:space="preserve">For details on voting your shares during the Annual Meeting, see </w:t>
      </w:r>
      <w:r>
        <w:rPr>
          <w:rFonts w:ascii="Arial" w:cs="Arial" w:eastAsia="Arial" w:hAnsi="Arial"/>
          <w:sz w:val="18"/>
          <w:szCs w:val="18"/>
          <w:i w:val="1"/>
          <w:iCs w:val="1"/>
          <w:color w:val="auto"/>
        </w:rPr>
        <w:t>Q&amp;A About</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Annual Meeting and Voting </w:t>
      </w:r>
      <w:r>
        <w:rPr>
          <w:rFonts w:ascii="Arial" w:cs="Arial" w:eastAsia="Arial" w:hAnsi="Arial"/>
          <w:sz w:val="18"/>
          <w:szCs w:val="18"/>
          <w:color w:val="auto"/>
        </w:rPr>
        <w:t>on page 93.</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Arial" w:cs="Arial" w:eastAsia="Arial" w:hAnsi="Arial"/>
          <w:sz w:val="41"/>
          <w:szCs w:val="41"/>
          <w:b w:val="1"/>
          <w:bCs w:val="1"/>
          <w:color w:val="0067B3"/>
        </w:rPr>
        <w:t>Items of Business</w:t>
      </w:r>
    </w:p>
    <w:p>
      <w:pPr>
        <w:spacing w:after="0" w:line="174" w:lineRule="exact"/>
        <w:rPr>
          <w:sz w:val="20"/>
          <w:szCs w:val="20"/>
          <w:color w:val="auto"/>
        </w:rPr>
      </w:pPr>
    </w:p>
    <w:p>
      <w:pPr>
        <w:spacing w:after="0" w:line="266" w:lineRule="auto"/>
        <w:rPr>
          <w:sz w:val="20"/>
          <w:szCs w:val="20"/>
          <w:color w:val="auto"/>
        </w:rPr>
      </w:pPr>
      <w:r>
        <w:rPr>
          <w:rFonts w:ascii="Arial" w:cs="Arial" w:eastAsia="Arial" w:hAnsi="Arial"/>
          <w:sz w:val="16"/>
          <w:szCs w:val="16"/>
          <w:color w:val="auto"/>
        </w:rPr>
        <w:t>The 2026 Annual Meeting of Shareholders (Annual Meeting) of Analog Devices, Inc. (ADI) will be held at our offices located at 125 Summer Street, Boston, Massachusetts 02110, on Wednesday, March 11, 2026 at 9:00 a.m. local time. At the Annual Meeting, shareholders will consider and vote on the following matters:</w:t>
      </w:r>
    </w:p>
    <w:p>
      <w:pPr>
        <w:spacing w:after="0" w:line="77" w:lineRule="exact"/>
        <w:rPr>
          <w:sz w:val="20"/>
          <w:szCs w:val="20"/>
          <w:color w:val="auto"/>
        </w:rPr>
      </w:pPr>
    </w:p>
    <w:p>
      <w:pPr>
        <w:ind w:left="260" w:right="280" w:hanging="254"/>
        <w:spacing w:after="0" w:line="286" w:lineRule="auto"/>
        <w:tabs>
          <w:tab w:leader="none" w:pos="285" w:val="left"/>
        </w:tabs>
        <w:numPr>
          <w:ilvl w:val="0"/>
          <w:numId w:val="6"/>
        </w:numPr>
        <w:rPr>
          <w:rFonts w:ascii="Arial" w:cs="Arial" w:eastAsia="Arial" w:hAnsi="Arial"/>
          <w:sz w:val="16"/>
          <w:szCs w:val="16"/>
          <w:b w:val="1"/>
          <w:bCs w:val="1"/>
          <w:color w:val="0067B3"/>
        </w:rPr>
      </w:pPr>
      <w:r>
        <w:rPr>
          <w:rFonts w:ascii="Arial" w:cs="Arial" w:eastAsia="Arial" w:hAnsi="Arial"/>
          <w:sz w:val="16"/>
          <w:szCs w:val="16"/>
          <w:color w:val="auto"/>
        </w:rPr>
        <w:t>To elect the 10 director nominees named in this Proxy Statement to our Board of Directors, each to serve for a term expiring at the next annual meeting of shareholders;</w:t>
      </w:r>
    </w:p>
    <w:p>
      <w:pPr>
        <w:spacing w:after="0" w:line="20" w:lineRule="exact"/>
        <w:rPr>
          <w:rFonts w:ascii="Arial" w:cs="Arial" w:eastAsia="Arial" w:hAnsi="Arial"/>
          <w:sz w:val="16"/>
          <w:szCs w:val="16"/>
          <w:b w:val="1"/>
          <w:bCs w:val="1"/>
          <w:color w:val="0067B3"/>
        </w:rPr>
      </w:pPr>
    </w:p>
    <w:p>
      <w:pPr>
        <w:ind w:left="260" w:right="120" w:hanging="254"/>
        <w:spacing w:after="0" w:line="275" w:lineRule="auto"/>
        <w:tabs>
          <w:tab w:leader="none" w:pos="258" w:val="left"/>
        </w:tabs>
        <w:numPr>
          <w:ilvl w:val="0"/>
          <w:numId w:val="6"/>
        </w:numPr>
        <w:rPr>
          <w:rFonts w:ascii="Arial" w:cs="Arial" w:eastAsia="Arial" w:hAnsi="Arial"/>
          <w:sz w:val="16"/>
          <w:szCs w:val="16"/>
          <w:b w:val="1"/>
          <w:bCs w:val="1"/>
          <w:color w:val="0067B3"/>
        </w:rPr>
      </w:pPr>
      <w:r>
        <w:rPr>
          <w:rFonts w:ascii="Arial" w:cs="Arial" w:eastAsia="Arial" w:hAnsi="Arial"/>
          <w:sz w:val="16"/>
          <w:szCs w:val="16"/>
          <w:color w:val="auto"/>
        </w:rPr>
        <w:t xml:space="preserve">To approve, by a non-binding “say-on-pay” vote, the compensation of our named executive officers, as described in the </w:t>
      </w:r>
      <w:r>
        <w:rPr>
          <w:rFonts w:ascii="Arial" w:cs="Arial" w:eastAsia="Arial" w:hAnsi="Arial"/>
          <w:sz w:val="16"/>
          <w:szCs w:val="16"/>
          <w:i w:val="1"/>
          <w:iCs w:val="1"/>
          <w:color w:val="auto"/>
        </w:rPr>
        <w:t>Compensation Discussion and Analysis,</w:t>
      </w:r>
      <w:r>
        <w:rPr>
          <w:rFonts w:ascii="Arial" w:cs="Arial" w:eastAsia="Arial" w:hAnsi="Arial"/>
          <w:sz w:val="16"/>
          <w:szCs w:val="16"/>
          <w:color w:val="auto"/>
        </w:rPr>
        <w:t xml:space="preserve"> executive compensation tables, and accompanying narrative disclosures in this Proxy Statement;</w:t>
      </w:r>
    </w:p>
    <w:p>
      <w:pPr>
        <w:spacing w:after="0" w:line="15" w:lineRule="exact"/>
        <w:rPr>
          <w:rFonts w:ascii="Arial" w:cs="Arial" w:eastAsia="Arial" w:hAnsi="Arial"/>
          <w:sz w:val="16"/>
          <w:szCs w:val="16"/>
          <w:b w:val="1"/>
          <w:bCs w:val="1"/>
          <w:color w:val="0067B3"/>
        </w:rPr>
      </w:pPr>
    </w:p>
    <w:p>
      <w:pPr>
        <w:ind w:left="260" w:right="340" w:hanging="254"/>
        <w:spacing w:after="0" w:line="304" w:lineRule="auto"/>
        <w:tabs>
          <w:tab w:leader="none" w:pos="258" w:val="left"/>
        </w:tabs>
        <w:numPr>
          <w:ilvl w:val="0"/>
          <w:numId w:val="6"/>
        </w:numPr>
        <w:rPr>
          <w:rFonts w:ascii="Arial" w:cs="Arial" w:eastAsia="Arial" w:hAnsi="Arial"/>
          <w:sz w:val="16"/>
          <w:szCs w:val="16"/>
          <w:b w:val="1"/>
          <w:bCs w:val="1"/>
          <w:color w:val="0067B3"/>
        </w:rPr>
      </w:pPr>
      <w:r>
        <w:rPr>
          <w:rFonts w:ascii="Arial" w:cs="Arial" w:eastAsia="Arial" w:hAnsi="Arial"/>
          <w:sz w:val="16"/>
          <w:szCs w:val="16"/>
          <w:color w:val="auto"/>
        </w:rPr>
        <w:t>To ratify the selection of Ernst &amp; Young LLP as our independent registered public accounting firm for the fiscal year ending October 31, 2026;</w:t>
      </w:r>
    </w:p>
    <w:p>
      <w:pPr>
        <w:spacing w:after="0" w:line="6" w:lineRule="exact"/>
        <w:rPr>
          <w:rFonts w:ascii="Arial" w:cs="Arial" w:eastAsia="Arial" w:hAnsi="Arial"/>
          <w:sz w:val="16"/>
          <w:szCs w:val="16"/>
          <w:b w:val="1"/>
          <w:bCs w:val="1"/>
          <w:color w:val="0067B3"/>
        </w:rPr>
      </w:pPr>
    </w:p>
    <w:p>
      <w:pPr>
        <w:ind w:left="240" w:hanging="234"/>
        <w:spacing w:after="0"/>
        <w:tabs>
          <w:tab w:leader="none" w:pos="240" w:val="left"/>
        </w:tabs>
        <w:numPr>
          <w:ilvl w:val="0"/>
          <w:numId w:val="6"/>
        </w:numPr>
        <w:rPr>
          <w:rFonts w:ascii="Arial" w:cs="Arial" w:eastAsia="Arial" w:hAnsi="Arial"/>
          <w:sz w:val="16"/>
          <w:szCs w:val="16"/>
          <w:b w:val="1"/>
          <w:bCs w:val="1"/>
          <w:color w:val="0067B3"/>
        </w:rPr>
      </w:pPr>
      <w:r>
        <w:rPr>
          <w:rFonts w:ascii="Arial" w:cs="Arial" w:eastAsia="Arial" w:hAnsi="Arial"/>
          <w:sz w:val="16"/>
          <w:szCs w:val="16"/>
          <w:color w:val="auto"/>
        </w:rPr>
        <w:t>To approve the Amended and Restated Analog Devices, Inc. 2020 Equity Incentive Plan; and</w:t>
      </w:r>
    </w:p>
    <w:p>
      <w:pPr>
        <w:spacing w:after="0" w:line="113" w:lineRule="exact"/>
        <w:rPr>
          <w:rFonts w:ascii="Arial" w:cs="Arial" w:eastAsia="Arial" w:hAnsi="Arial"/>
          <w:sz w:val="16"/>
          <w:szCs w:val="16"/>
          <w:b w:val="1"/>
          <w:bCs w:val="1"/>
          <w:color w:val="0067B3"/>
        </w:rPr>
      </w:pPr>
    </w:p>
    <w:p>
      <w:pPr>
        <w:ind w:left="260" w:hanging="254"/>
        <w:spacing w:after="0"/>
        <w:tabs>
          <w:tab w:leader="none" w:pos="260" w:val="left"/>
        </w:tabs>
        <w:numPr>
          <w:ilvl w:val="0"/>
          <w:numId w:val="6"/>
        </w:numPr>
        <w:rPr>
          <w:rFonts w:ascii="Arial" w:cs="Arial" w:eastAsia="Arial" w:hAnsi="Arial"/>
          <w:sz w:val="16"/>
          <w:szCs w:val="16"/>
          <w:b w:val="1"/>
          <w:bCs w:val="1"/>
          <w:color w:val="0067B3"/>
        </w:rPr>
      </w:pPr>
      <w:r>
        <w:rPr>
          <w:rFonts w:ascii="Arial" w:cs="Arial" w:eastAsia="Arial" w:hAnsi="Arial"/>
          <w:sz w:val="16"/>
          <w:szCs w:val="16"/>
          <w:color w:val="auto"/>
        </w:rPr>
        <w:t>To consider a shareholder proposal, if properly presented at the Annual Meeting.</w:t>
      </w:r>
    </w:p>
    <w:p>
      <w:pPr>
        <w:spacing w:after="0" w:line="154" w:lineRule="exact"/>
        <w:rPr>
          <w:sz w:val="20"/>
          <w:szCs w:val="20"/>
          <w:color w:val="auto"/>
        </w:rPr>
      </w:pPr>
    </w:p>
    <w:p>
      <w:pPr>
        <w:spacing w:after="0"/>
        <w:rPr>
          <w:sz w:val="20"/>
          <w:szCs w:val="20"/>
          <w:color w:val="auto"/>
        </w:rPr>
      </w:pPr>
      <w:r>
        <w:rPr>
          <w:rFonts w:ascii="Arial" w:cs="Arial" w:eastAsia="Arial" w:hAnsi="Arial"/>
          <w:sz w:val="16"/>
          <w:szCs w:val="16"/>
          <w:color w:val="auto"/>
        </w:rPr>
        <w:t>The shareholders will also act on any other business that may properly come before the Annual Meeting.</w:t>
      </w:r>
    </w:p>
    <w:p>
      <w:pPr>
        <w:spacing w:after="0" w:line="113" w:lineRule="exact"/>
        <w:rPr>
          <w:sz w:val="20"/>
          <w:szCs w:val="20"/>
          <w:color w:val="auto"/>
        </w:rPr>
      </w:pPr>
    </w:p>
    <w:p>
      <w:pPr>
        <w:jc w:val="both"/>
        <w:ind w:right="120"/>
        <w:spacing w:after="0" w:line="304" w:lineRule="auto"/>
        <w:rPr>
          <w:sz w:val="20"/>
          <w:szCs w:val="20"/>
          <w:color w:val="auto"/>
        </w:rPr>
      </w:pPr>
      <w:r>
        <w:rPr>
          <w:rFonts w:ascii="Arial" w:cs="Arial" w:eastAsia="Arial" w:hAnsi="Arial"/>
          <w:sz w:val="16"/>
          <w:szCs w:val="16"/>
          <w:color w:val="auto"/>
        </w:rPr>
        <w:t>Our Board of Directors recommends that you vote FOR each director nominee included in Proposal 1, FOR each of Proposals 2, 3, and 4, and AGAINST Proposal 5. The full text of these proposals is set forth in this Proxy Statement.</w:t>
      </w:r>
    </w:p>
    <w:p>
      <w:pPr>
        <w:spacing w:after="0" w:line="33" w:lineRule="exact"/>
        <w:rPr>
          <w:sz w:val="20"/>
          <w:szCs w:val="20"/>
          <w:color w:val="auto"/>
        </w:rPr>
      </w:pPr>
    </w:p>
    <w:p>
      <w:pPr>
        <w:jc w:val="both"/>
        <w:ind w:right="300"/>
        <w:spacing w:after="0" w:line="275" w:lineRule="auto"/>
        <w:rPr>
          <w:sz w:val="20"/>
          <w:szCs w:val="20"/>
          <w:color w:val="auto"/>
        </w:rPr>
      </w:pPr>
      <w:r>
        <w:rPr>
          <w:rFonts w:ascii="Arial" w:cs="Arial" w:eastAsia="Arial" w:hAnsi="Arial"/>
          <w:sz w:val="16"/>
          <w:szCs w:val="16"/>
          <w:color w:val="auto"/>
        </w:rPr>
        <w:t>Please note that we are furnishing proxy materials and access to our Proxy Statement to our shareholders via our website instead of mailing printed copies to each of our shareholders. By doing so, we save costs and reduce our impact on the environment.</w:t>
      </w:r>
    </w:p>
    <w:p>
      <w:pPr>
        <w:spacing w:after="0" w:line="56" w:lineRule="exact"/>
        <w:rPr>
          <w:sz w:val="20"/>
          <w:szCs w:val="20"/>
          <w:color w:val="auto"/>
        </w:rPr>
      </w:pPr>
    </w:p>
    <w:p>
      <w:pPr>
        <w:ind w:right="80"/>
        <w:spacing w:after="0" w:line="262" w:lineRule="auto"/>
        <w:rPr>
          <w:sz w:val="20"/>
          <w:szCs w:val="20"/>
          <w:color w:val="auto"/>
        </w:rPr>
      </w:pPr>
      <w:r>
        <w:rPr>
          <w:rFonts w:ascii="Arial" w:cs="Arial" w:eastAsia="Arial" w:hAnsi="Arial"/>
          <w:sz w:val="16"/>
          <w:szCs w:val="16"/>
          <w:color w:val="auto"/>
        </w:rPr>
        <w:t>Beginning on January 23, 2026, we will mail to our shareholders a Notice of Internet Availability of Proxy Materials (Notice), which contains instructions on how to access our proxy materials and vote by proxy. The Notice also contains instructions on how each of our shareholders can receive a paper copy of our proxy materials, including this Proxy Statement, our 2025 Annual Report, and a form of proxy card or voting instruction form. All shareholders who do not receive the Notice, including shareholders who have previously requested to receive paper copies of proxy materials, will receive a paper copy of the proxy materials by mail unless they have previously requested delivery of proxy materials electronically.</w:t>
      </w:r>
    </w:p>
    <w:p>
      <w:pPr>
        <w:spacing w:after="0" w:line="66" w:lineRule="exact"/>
        <w:rPr>
          <w:sz w:val="20"/>
          <w:szCs w:val="20"/>
          <w:color w:val="auto"/>
        </w:rPr>
      </w:pPr>
    </w:p>
    <w:p>
      <w:pPr>
        <w:ind w:right="480"/>
        <w:spacing w:after="0" w:line="286" w:lineRule="auto"/>
        <w:rPr>
          <w:sz w:val="20"/>
          <w:szCs w:val="20"/>
          <w:color w:val="auto"/>
        </w:rPr>
      </w:pPr>
      <w:r>
        <w:rPr>
          <w:rFonts w:ascii="Arial" w:cs="Arial" w:eastAsia="Arial" w:hAnsi="Arial"/>
          <w:sz w:val="16"/>
          <w:szCs w:val="16"/>
          <w:color w:val="auto"/>
        </w:rPr>
        <w:t>Shareholders of record at the close of business on the record date of January 8, 2026 are entitled to vote at the Annual Meeting.</w:t>
      </w:r>
    </w:p>
    <w:p>
      <w:pPr>
        <w:spacing w:after="0" w:line="61" w:lineRule="exact"/>
        <w:rPr>
          <w:sz w:val="20"/>
          <w:szCs w:val="20"/>
          <w:color w:val="auto"/>
        </w:rPr>
      </w:pPr>
    </w:p>
    <w:p>
      <w:pPr>
        <w:ind w:right="180"/>
        <w:spacing w:after="0" w:line="286" w:lineRule="auto"/>
        <w:rPr>
          <w:sz w:val="20"/>
          <w:szCs w:val="20"/>
          <w:color w:val="auto"/>
        </w:rPr>
      </w:pPr>
      <w:r>
        <w:rPr>
          <w:rFonts w:ascii="Arial" w:cs="Arial" w:eastAsia="Arial" w:hAnsi="Arial"/>
          <w:sz w:val="16"/>
          <w:szCs w:val="16"/>
          <w:color w:val="auto"/>
        </w:rPr>
        <w:t>Your vote is important no matter how many shares you own, and we encourage you to vote promptly whether or not you plan to attend the Annual Meeting.</w:t>
      </w:r>
    </w:p>
    <w:p>
      <w:pPr>
        <w:spacing w:after="0" w:line="61" w:lineRule="exact"/>
        <w:rPr>
          <w:sz w:val="20"/>
          <w:szCs w:val="20"/>
          <w:color w:val="auto"/>
        </w:rPr>
      </w:pPr>
    </w:p>
    <w:p>
      <w:pPr>
        <w:spacing w:after="0"/>
        <w:rPr>
          <w:sz w:val="20"/>
          <w:szCs w:val="20"/>
          <w:color w:val="auto"/>
        </w:rPr>
      </w:pPr>
      <w:r>
        <w:rPr>
          <w:rFonts w:ascii="Arial" w:cs="Arial" w:eastAsia="Arial" w:hAnsi="Arial"/>
          <w:sz w:val="16"/>
          <w:szCs w:val="16"/>
          <w:color w:val="auto"/>
        </w:rPr>
        <w:t>By Order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114935</wp:posOffset>
            </wp:positionV>
            <wp:extent cx="1722755" cy="84836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722755" cy="8483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ind w:left="1880"/>
        <w:spacing w:after="0"/>
        <w:rPr>
          <w:sz w:val="20"/>
          <w:szCs w:val="20"/>
          <w:color w:val="auto"/>
        </w:rPr>
      </w:pPr>
      <w:r>
        <w:rPr>
          <w:rFonts w:ascii="Arial" w:cs="Arial" w:eastAsia="Arial" w:hAnsi="Arial"/>
          <w:sz w:val="18"/>
          <w:szCs w:val="18"/>
          <w:b w:val="1"/>
          <w:bCs w:val="1"/>
          <w:color w:val="0067B3"/>
        </w:rPr>
        <w:t>JANENE ASGEIRSSON</w:t>
      </w:r>
    </w:p>
    <w:p>
      <w:pPr>
        <w:spacing w:after="0" w:line="77" w:lineRule="exact"/>
        <w:rPr>
          <w:sz w:val="20"/>
          <w:szCs w:val="20"/>
          <w:color w:val="auto"/>
        </w:rPr>
      </w:pPr>
    </w:p>
    <w:p>
      <w:pPr>
        <w:ind w:left="1880"/>
        <w:spacing w:after="0"/>
        <w:rPr>
          <w:sz w:val="20"/>
          <w:szCs w:val="20"/>
          <w:color w:val="auto"/>
        </w:rPr>
      </w:pPr>
      <w:r>
        <w:rPr>
          <w:rFonts w:ascii="Arial" w:cs="Arial" w:eastAsia="Arial" w:hAnsi="Arial"/>
          <w:sz w:val="18"/>
          <w:szCs w:val="18"/>
          <w:color w:val="auto"/>
        </w:rPr>
        <w:t>Chief Legal Officer and Corporate Secretary</w:t>
      </w:r>
    </w:p>
    <w:p>
      <w:pPr>
        <w:spacing w:after="0" w:line="27" w:lineRule="exact"/>
        <w:rPr>
          <w:sz w:val="20"/>
          <w:szCs w:val="20"/>
          <w:color w:val="auto"/>
        </w:rPr>
      </w:pPr>
    </w:p>
    <w:p>
      <w:pPr>
        <w:ind w:left="1880"/>
        <w:spacing w:after="0"/>
        <w:rPr>
          <w:sz w:val="20"/>
          <w:szCs w:val="20"/>
          <w:color w:val="auto"/>
        </w:rPr>
      </w:pPr>
      <w:r>
        <w:rPr>
          <w:rFonts w:ascii="Arial" w:cs="Arial" w:eastAsia="Arial" w:hAnsi="Arial"/>
          <w:sz w:val="18"/>
          <w:szCs w:val="18"/>
          <w:color w:val="auto"/>
        </w:rPr>
        <w:t>January 23,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203200</wp:posOffset>
            </wp:positionV>
            <wp:extent cx="5391785" cy="7200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391785" cy="720090"/>
                    </a:xfrm>
                    <a:prstGeom prst="rect">
                      <a:avLst/>
                    </a:prstGeom>
                    <a:noFill/>
                  </pic:spPr>
                </pic:pic>
              </a:graphicData>
            </a:graphic>
          </wp:anchor>
        </w:drawing>
      </w:r>
    </w:p>
    <w:p>
      <w:pPr>
        <w:spacing w:after="0" w:line="200" w:lineRule="exact"/>
        <w:rPr>
          <w:sz w:val="20"/>
          <w:szCs w:val="20"/>
          <w:color w:val="auto"/>
        </w:rPr>
      </w:pPr>
    </w:p>
    <w:p>
      <w:pPr>
        <w:spacing w:after="0" w:line="325" w:lineRule="exact"/>
        <w:rPr>
          <w:sz w:val="20"/>
          <w:szCs w:val="20"/>
          <w:color w:val="auto"/>
        </w:rPr>
      </w:pPr>
    </w:p>
    <w:p>
      <w:pPr>
        <w:ind w:left="140" w:right="240"/>
        <w:spacing w:after="0" w:line="291" w:lineRule="auto"/>
        <w:rPr>
          <w:sz w:val="20"/>
          <w:szCs w:val="20"/>
          <w:color w:val="auto"/>
        </w:rPr>
      </w:pPr>
      <w:r>
        <w:rPr>
          <w:rFonts w:ascii="Arial" w:cs="Arial" w:eastAsia="Arial" w:hAnsi="Arial"/>
          <w:sz w:val="17"/>
          <w:szCs w:val="17"/>
          <w:color w:val="0067B3"/>
        </w:rPr>
        <w:t>Important Notice Regarding the Availability of Proxy Materials for the Annual Meeting of Shareholders to be Held on March 11, 2026: This Proxy Statement and the 2025 Annual Report are available for viewing, printing, and downloading at https://investor.analog.com/financial-info/annual-reports.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-1759585</wp:posOffset>
            </wp:positionH>
            <wp:positionV relativeFrom="paragraph">
              <wp:posOffset>868045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2">
            <w:col w:w="2280" w:space="480"/>
            <w:col w:w="8440"/>
          </w:cols>
          <w:pgMar w:left="320" w:top="1126" w:right="379" w:bottom="1440" w:gutter="0" w:footer="0" w:header="0"/>
          <w:type w:val="continuous"/>
        </w:sectPr>
      </w:pPr>
    </w:p>
    <w:bookmarkStart w:id="4" w:name="page5"/>
    <w:bookmarkEnd w:id="4"/>
    <w:p>
      <w:pPr>
        <w:spacing w:after="0" w:line="141"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Web links throughout this document are provided for convenience only, and the content on the referenced websites does not constitute a part of this Proxy Statement.</w:t>
      </w:r>
    </w:p>
    <w:p>
      <w:pPr>
        <w:spacing w:after="0" w:line="75"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The sum and/or computation of individual numerical amounts or percentages disclosed in this Proxy Statement may not equal the total due to rounding.</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41"/>
          <w:szCs w:val="41"/>
          <w:b w:val="1"/>
          <w:bCs w:val="1"/>
          <w:color w:val="0067B3"/>
        </w:rPr>
        <w:t>Forward-Looking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-187325</wp:posOffset>
            </wp:positionH>
            <wp:positionV relativeFrom="paragraph">
              <wp:posOffset>-282575</wp:posOffset>
            </wp:positionV>
            <wp:extent cx="8255" cy="572643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8255" cy="5726430"/>
                    </a:xfrm>
                    <a:prstGeom prst="rect">
                      <a:avLst/>
                    </a:prstGeom>
                    <a:noFill/>
                  </pic:spPr>
                </pic:pic>
              </a:graphicData>
            </a:graphic>
          </wp:anchor>
        </w:drawing>
      </w:r>
    </w:p>
    <w:p>
      <w:pPr>
        <w:spacing w:after="0" w:line="149" w:lineRule="exact"/>
        <w:rPr>
          <w:sz w:val="20"/>
          <w:szCs w:val="20"/>
          <w:color w:val="auto"/>
        </w:rPr>
      </w:pPr>
    </w:p>
    <w:p>
      <w:pPr>
        <w:spacing w:after="0" w:line="267" w:lineRule="auto"/>
        <w:rPr>
          <w:sz w:val="20"/>
          <w:szCs w:val="20"/>
          <w:color w:val="auto"/>
        </w:rPr>
      </w:pPr>
      <w:r>
        <w:rPr>
          <w:rFonts w:ascii="Arial" w:cs="Arial" w:eastAsia="Arial" w:hAnsi="Arial"/>
          <w:sz w:val="17"/>
          <w:szCs w:val="17"/>
          <w:color w:val="auto"/>
        </w:rPr>
        <w:t>This Proxy Statement contains forward-looking statements regarding future events and our future results that are subject to the safe harbor created under the Private Securities Litigation Reform Act of 1995 and other safe harbors under the Securities Act of 1933 and the Securities Exchange Act of 1934. All statements other than statements of historical fact are statements that could be deemed forward-looking statements. These statements are based on current expectations, estimates, forecasts, and projections about the industries in which we operate and the beliefs and assumptions of our management. Words such as “expects,” “anticipates,” “targets,” “goals,” “projects,” “intends,” “plans,” “believes,” “seeks,” “estimates,” “continues,” “may,” “could” and “will,” and variations of such words and similar expressions are intended to identify such forward-looking statements. In addition, any statements that refer to projections regarding our future financial performance and our long-term financial model, including future free cash flow return and capital strategy; our strategy; the effects of business, economic, political, legal, and regulatory impacts or conflicts upon our global operations; anticipated growth and trends in our industry, markets, and businesses; new or improved innovative solutions, products, and technologies, including those related to digital, software, artificial intelligence, and the Intelligent Edge; recruiting or retaining our key personnel; changes to our compensation programs; our future liquidity, capital needs, and capital expenditures; our future market position; the importance of our product offerings and technologies to our customers; our expected tax rate; environmental, social, and governance related goals, commitments, and progress towards such goals and commitments; and other characterizations of future events or circumstances are forward-looking statements. The following important factors and uncertainties, among others, could cause actual results to differ materially from those described in these forward-looking statements: economic, political, legal and regulatory uncertainty or conflicts; recently announced and future tariffs and other trade restrictions; changes in export classifications, import and export regulations or duties and tariffs; changes in demand for semiconductor products; performance of independent distributors; manufacturing delays, product and raw materials availability and supply chain disruptions; products may be diverted from our authorized distribution channels; our development of technologies and research and development investments; our ability to compete successfully in the markets in which we operate; our future liquidity, capital needs and capital expenditures; our ability to recruit and retain key personnel; risks related to acquisitions or other strategic transactions; security breaches or other cyber incidents; risks related to the use of artificial intelligence in our business operations, products, and services; adverse results in litigation matters; reputational damage; changes in our estimates of our expected tax rates based on current tax</w:t>
      </w:r>
    </w:p>
    <w:p>
      <w:pPr>
        <w:spacing w:after="0" w:line="214" w:lineRule="exact"/>
        <w:rPr>
          <w:sz w:val="20"/>
          <w:szCs w:val="20"/>
          <w:color w:val="auto"/>
        </w:rPr>
      </w:pPr>
    </w:p>
    <w:p>
      <w:pPr>
        <w:ind w:right="40"/>
        <w:spacing w:after="0" w:line="272" w:lineRule="auto"/>
        <w:rPr>
          <w:sz w:val="20"/>
          <w:szCs w:val="20"/>
          <w:color w:val="auto"/>
        </w:rPr>
      </w:pPr>
      <w:r>
        <w:rPr>
          <w:rFonts w:ascii="Arial" w:cs="Arial" w:eastAsia="Arial" w:hAnsi="Arial"/>
          <w:sz w:val="17"/>
          <w:szCs w:val="17"/>
          <w:color w:val="auto"/>
        </w:rPr>
        <w:t>law; risks related to our indebtedness; the discretion of our Board of Directors to declare dividends and our ability to pay dividends in the future; factors impacting our ability to repurchase shares; and uncertainty as to the long-term value of our common stock. For additional information about factors that could cause actual results to differ materially from those described in the forward-looking statements, please refer to our filings with the Securities and Exchange Commission (SEC), including the risk factors contained in our most recent Annual Report on Form 10-K. Forward-looking statements represent management’s current expectations and are inherently uncertain. Except as required by law, we do not undertake any obligation to update forward-looking statements made by us to reflect subsequent events or circumstances.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-1734185</wp:posOffset>
            </wp:positionH>
            <wp:positionV relativeFrom="paragraph">
              <wp:posOffset>811530</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2">
            <w:col w:w="2100" w:space="600"/>
            <w:col w:w="8500"/>
          </w:cols>
          <w:pgMar w:left="340" w:top="1410" w:right="359" w:bottom="1440" w:gutter="0" w:footer="0" w:header="0"/>
        </w:sectPr>
      </w:pPr>
    </w:p>
    <w:bookmarkStart w:id="5" w:name="page6"/>
    <w:bookmarkEnd w:id="5"/>
    <w:p>
      <w:pPr>
        <w:spacing w:after="0"/>
        <w:rPr>
          <w:sz w:val="20"/>
          <w:szCs w:val="20"/>
          <w:color w:val="auto"/>
        </w:rPr>
      </w:pPr>
      <w:r>
        <w:rPr>
          <w:rFonts w:ascii="Arial" w:cs="Arial" w:eastAsia="Arial" w:hAnsi="Arial"/>
          <w:sz w:val="58"/>
          <w:szCs w:val="58"/>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297"/>
        </w:trPr>
        <w:tc>
          <w:tcPr>
            <w:tcW w:w="4940" w:type="dxa"/>
            <w:vAlign w:val="bottom"/>
          </w:tcPr>
          <w:p>
            <w:pPr>
              <w:ind w:left="20"/>
              <w:spacing w:after="0"/>
              <w:rPr>
                <w:sz w:val="20"/>
                <w:szCs w:val="20"/>
                <w:color w:val="auto"/>
              </w:rPr>
            </w:pPr>
            <w:r>
              <w:rPr>
                <w:rFonts w:ascii="Arial" w:cs="Arial" w:eastAsia="Arial" w:hAnsi="Arial"/>
                <w:sz w:val="22"/>
                <w:szCs w:val="22"/>
                <w:b w:val="1"/>
                <w:bCs w:val="1"/>
                <w:color w:val="0067B3"/>
              </w:rPr>
              <w:t>Proxy Summary</w:t>
            </w:r>
          </w:p>
        </w:tc>
        <w:tc>
          <w:tcPr>
            <w:tcW w:w="500" w:type="dxa"/>
            <w:vAlign w:val="bottom"/>
          </w:tcPr>
          <w:p>
            <w:pPr>
              <w:jc w:val="center"/>
              <w:spacing w:after="0"/>
              <w:rPr>
                <w:sz w:val="20"/>
                <w:szCs w:val="20"/>
                <w:color w:val="auto"/>
              </w:rPr>
            </w:pPr>
            <w:r>
              <w:rPr>
                <w:rFonts w:ascii="Arial" w:cs="Arial" w:eastAsia="Arial" w:hAnsi="Arial"/>
                <w:sz w:val="18"/>
                <w:szCs w:val="18"/>
                <w:color w:val="auto"/>
                <w:w w:val="99"/>
              </w:rPr>
              <w:t>1</w:t>
            </w:r>
          </w:p>
        </w:tc>
      </w:tr>
      <w:tr>
        <w:trPr>
          <w:trHeight w:val="109"/>
        </w:trPr>
        <w:tc>
          <w:tcPr>
            <w:tcW w:w="4940" w:type="dxa"/>
            <w:vAlign w:val="bottom"/>
            <w:tcBorders>
              <w:bottom w:val="single" w:sz="8" w:color="939598"/>
            </w:tcBorders>
          </w:tcPr>
          <w:p>
            <w:pPr>
              <w:spacing w:after="0"/>
              <w:rPr>
                <w:sz w:val="9"/>
                <w:szCs w:val="9"/>
                <w:color w:val="auto"/>
              </w:rPr>
            </w:pPr>
          </w:p>
        </w:tc>
        <w:tc>
          <w:tcPr>
            <w:tcW w:w="500" w:type="dxa"/>
            <w:vAlign w:val="bottom"/>
            <w:tcBorders>
              <w:bottom w:val="single" w:sz="8" w:color="939598"/>
            </w:tcBorders>
          </w:tcPr>
          <w:p>
            <w:pPr>
              <w:spacing w:after="0"/>
              <w:rPr>
                <w:sz w:val="9"/>
                <w:szCs w:val="9"/>
                <w:color w:val="auto"/>
              </w:rPr>
            </w:pPr>
          </w:p>
        </w:tc>
      </w:tr>
      <w:tr>
        <w:trPr>
          <w:trHeight w:val="411"/>
        </w:trPr>
        <w:tc>
          <w:tcPr>
            <w:tcW w:w="4940" w:type="dxa"/>
            <w:vAlign w:val="bottom"/>
          </w:tcPr>
          <w:p>
            <w:pPr>
              <w:ind w:left="20"/>
              <w:spacing w:after="0"/>
              <w:rPr>
                <w:sz w:val="20"/>
                <w:szCs w:val="20"/>
                <w:color w:val="auto"/>
              </w:rPr>
            </w:pPr>
            <w:r>
              <w:rPr>
                <w:rFonts w:ascii="Arial" w:cs="Arial" w:eastAsia="Arial" w:hAnsi="Arial"/>
                <w:sz w:val="22"/>
                <w:szCs w:val="22"/>
                <w:b w:val="1"/>
                <w:bCs w:val="1"/>
                <w:color w:val="0067B3"/>
              </w:rPr>
              <w:t>Board of Directors</w:t>
            </w:r>
          </w:p>
        </w:tc>
        <w:tc>
          <w:tcPr>
            <w:tcW w:w="500" w:type="dxa"/>
            <w:vAlign w:val="bottom"/>
          </w:tcPr>
          <w:p>
            <w:pPr>
              <w:jc w:val="center"/>
              <w:spacing w:after="0"/>
              <w:rPr>
                <w:sz w:val="20"/>
                <w:szCs w:val="20"/>
                <w:color w:val="auto"/>
              </w:rPr>
            </w:pPr>
            <w:r>
              <w:rPr>
                <w:rFonts w:ascii="Arial" w:cs="Arial" w:eastAsia="Arial" w:hAnsi="Arial"/>
                <w:sz w:val="18"/>
                <w:szCs w:val="18"/>
                <w:color w:val="auto"/>
                <w:w w:val="99"/>
              </w:rPr>
              <w:t>8</w:t>
            </w:r>
          </w:p>
        </w:tc>
      </w:tr>
      <w:tr>
        <w:trPr>
          <w:trHeight w:val="109"/>
        </w:trPr>
        <w:tc>
          <w:tcPr>
            <w:tcW w:w="4940" w:type="dxa"/>
            <w:vAlign w:val="bottom"/>
            <w:tcBorders>
              <w:bottom w:val="single" w:sz="8" w:color="939598"/>
            </w:tcBorders>
          </w:tcPr>
          <w:p>
            <w:pPr>
              <w:spacing w:after="0"/>
              <w:rPr>
                <w:sz w:val="9"/>
                <w:szCs w:val="9"/>
                <w:color w:val="auto"/>
              </w:rPr>
            </w:pPr>
          </w:p>
        </w:tc>
        <w:tc>
          <w:tcPr>
            <w:tcW w:w="500" w:type="dxa"/>
            <w:vAlign w:val="bottom"/>
            <w:tcBorders>
              <w:bottom w:val="single" w:sz="8" w:color="939598"/>
            </w:tcBorders>
          </w:tcPr>
          <w:p>
            <w:pPr>
              <w:spacing w:after="0"/>
              <w:rPr>
                <w:sz w:val="9"/>
                <w:szCs w:val="9"/>
                <w:color w:val="auto"/>
              </w:rPr>
            </w:pPr>
          </w:p>
        </w:tc>
      </w:tr>
      <w:tr>
        <w:trPr>
          <w:trHeight w:val="546"/>
        </w:trPr>
        <w:tc>
          <w:tcPr>
            <w:tcW w:w="4940" w:type="dxa"/>
            <w:vAlign w:val="bottom"/>
          </w:tcPr>
          <w:p>
            <w:pPr>
              <w:ind w:left="440"/>
              <w:spacing w:after="0"/>
              <w:rPr>
                <w:sz w:val="20"/>
                <w:szCs w:val="20"/>
                <w:color w:val="auto"/>
              </w:rPr>
            </w:pPr>
            <w:r>
              <w:rPr>
                <w:rFonts w:ascii="Arial" w:cs="Arial" w:eastAsia="Arial" w:hAnsi="Arial"/>
                <w:sz w:val="22"/>
                <w:szCs w:val="22"/>
                <w:b w:val="1"/>
                <w:bCs w:val="1"/>
                <w:color w:val="0067B3"/>
              </w:rPr>
              <w:t>Proposal 1 — Election of Directors</w:t>
            </w:r>
          </w:p>
        </w:tc>
        <w:tc>
          <w:tcPr>
            <w:tcW w:w="500" w:type="dxa"/>
            <w:vAlign w:val="bottom"/>
          </w:tcPr>
          <w:p>
            <w:pPr>
              <w:jc w:val="center"/>
              <w:spacing w:after="0"/>
              <w:rPr>
                <w:sz w:val="20"/>
                <w:szCs w:val="20"/>
                <w:color w:val="auto"/>
              </w:rPr>
            </w:pPr>
            <w:r>
              <w:rPr>
                <w:rFonts w:ascii="Arial" w:cs="Arial" w:eastAsia="Arial" w:hAnsi="Arial"/>
                <w:sz w:val="22"/>
                <w:szCs w:val="22"/>
                <w:b w:val="1"/>
                <w:bCs w:val="1"/>
                <w:color w:val="0067B3"/>
                <w:w w:val="97"/>
              </w:rPr>
              <w:t>8</w:t>
            </w:r>
          </w:p>
        </w:tc>
      </w:tr>
      <w:tr>
        <w:trPr>
          <w:trHeight w:val="109"/>
        </w:trPr>
        <w:tc>
          <w:tcPr>
            <w:tcW w:w="4940" w:type="dxa"/>
            <w:vAlign w:val="bottom"/>
            <w:tcBorders>
              <w:bottom w:val="single" w:sz="8" w:color="0067B3"/>
            </w:tcBorders>
          </w:tcPr>
          <w:p>
            <w:pPr>
              <w:spacing w:after="0"/>
              <w:rPr>
                <w:sz w:val="9"/>
                <w:szCs w:val="9"/>
                <w:color w:val="auto"/>
              </w:rPr>
            </w:pPr>
          </w:p>
        </w:tc>
        <w:tc>
          <w:tcPr>
            <w:tcW w:w="500" w:type="dxa"/>
            <w:vAlign w:val="bottom"/>
            <w:tcBorders>
              <w:bottom w:val="single" w:sz="8" w:color="0067B3"/>
            </w:tcBorders>
          </w:tcPr>
          <w:p>
            <w:pPr>
              <w:spacing w:after="0"/>
              <w:rPr>
                <w:sz w:val="9"/>
                <w:szCs w:val="9"/>
                <w:color w:val="auto"/>
              </w:rPr>
            </w:pPr>
          </w:p>
        </w:tc>
      </w:tr>
      <w:tr>
        <w:trPr>
          <w:trHeight w:val="281"/>
        </w:trPr>
        <w:tc>
          <w:tcPr>
            <w:tcW w:w="4940" w:type="dxa"/>
            <w:vAlign w:val="bottom"/>
          </w:tcPr>
          <w:p>
            <w:pPr>
              <w:ind w:left="20"/>
              <w:spacing w:after="0"/>
              <w:rPr>
                <w:sz w:val="20"/>
                <w:szCs w:val="20"/>
                <w:color w:val="auto"/>
              </w:rPr>
            </w:pPr>
            <w:r>
              <w:rPr>
                <w:rFonts w:ascii="Arial" w:cs="Arial" w:eastAsia="Arial" w:hAnsi="Arial"/>
                <w:sz w:val="18"/>
                <w:szCs w:val="18"/>
                <w:color w:val="auto"/>
              </w:rPr>
              <w:t>Election Process</w:t>
            </w:r>
          </w:p>
        </w:tc>
        <w:tc>
          <w:tcPr>
            <w:tcW w:w="500" w:type="dxa"/>
            <w:vAlign w:val="bottom"/>
          </w:tcPr>
          <w:p>
            <w:pPr>
              <w:jc w:val="center"/>
              <w:spacing w:after="0"/>
              <w:rPr>
                <w:sz w:val="20"/>
                <w:szCs w:val="20"/>
                <w:color w:val="auto"/>
              </w:rPr>
            </w:pPr>
            <w:r>
              <w:rPr>
                <w:rFonts w:ascii="Arial" w:cs="Arial" w:eastAsia="Arial" w:hAnsi="Arial"/>
                <w:sz w:val="18"/>
                <w:szCs w:val="18"/>
                <w:color w:val="auto"/>
                <w:w w:val="99"/>
              </w:rPr>
              <w:t>8</w:t>
            </w:r>
          </w:p>
        </w:tc>
      </w:tr>
      <w:tr>
        <w:trPr>
          <w:trHeight w:val="270"/>
        </w:trPr>
        <w:tc>
          <w:tcPr>
            <w:tcW w:w="4940" w:type="dxa"/>
            <w:vAlign w:val="bottom"/>
          </w:tcPr>
          <w:p>
            <w:pPr>
              <w:ind w:left="20"/>
              <w:spacing w:after="0"/>
              <w:rPr>
                <w:sz w:val="20"/>
                <w:szCs w:val="20"/>
                <w:color w:val="auto"/>
              </w:rPr>
            </w:pPr>
            <w:r>
              <w:rPr>
                <w:rFonts w:ascii="Arial" w:cs="Arial" w:eastAsia="Arial" w:hAnsi="Arial"/>
                <w:sz w:val="18"/>
                <w:szCs w:val="18"/>
                <w:color w:val="auto"/>
              </w:rPr>
              <w:t>Director Criteria, Qualifications, and Experience</w:t>
            </w:r>
          </w:p>
        </w:tc>
        <w:tc>
          <w:tcPr>
            <w:tcW w:w="500" w:type="dxa"/>
            <w:vAlign w:val="bottom"/>
          </w:tcPr>
          <w:p>
            <w:pPr>
              <w:jc w:val="center"/>
              <w:spacing w:after="0"/>
              <w:rPr>
                <w:sz w:val="20"/>
                <w:szCs w:val="20"/>
                <w:color w:val="auto"/>
              </w:rPr>
            </w:pPr>
            <w:r>
              <w:rPr>
                <w:rFonts w:ascii="Arial" w:cs="Arial" w:eastAsia="Arial" w:hAnsi="Arial"/>
                <w:sz w:val="18"/>
                <w:szCs w:val="18"/>
                <w:color w:val="auto"/>
                <w:w w:val="99"/>
              </w:rPr>
              <w:t>9</w:t>
            </w:r>
          </w:p>
        </w:tc>
      </w:tr>
      <w:tr>
        <w:trPr>
          <w:trHeight w:val="270"/>
        </w:trPr>
        <w:tc>
          <w:tcPr>
            <w:tcW w:w="4940" w:type="dxa"/>
            <w:vAlign w:val="bottom"/>
          </w:tcPr>
          <w:p>
            <w:pPr>
              <w:ind w:left="20"/>
              <w:spacing w:after="0"/>
              <w:rPr>
                <w:sz w:val="20"/>
                <w:szCs w:val="20"/>
                <w:color w:val="auto"/>
              </w:rPr>
            </w:pPr>
            <w:r>
              <w:rPr>
                <w:rFonts w:ascii="Arial" w:cs="Arial" w:eastAsia="Arial" w:hAnsi="Arial"/>
                <w:sz w:val="18"/>
                <w:szCs w:val="18"/>
                <w:color w:val="auto"/>
              </w:rPr>
              <w:t>Director Nominee Biographies</w:t>
            </w:r>
          </w:p>
        </w:tc>
        <w:tc>
          <w:tcPr>
            <w:tcW w:w="500" w:type="dxa"/>
            <w:vAlign w:val="bottom"/>
          </w:tcPr>
          <w:p>
            <w:pPr>
              <w:jc w:val="center"/>
              <w:spacing w:after="0"/>
              <w:rPr>
                <w:sz w:val="20"/>
                <w:szCs w:val="20"/>
                <w:color w:val="auto"/>
              </w:rPr>
            </w:pPr>
            <w:r>
              <w:rPr>
                <w:rFonts w:ascii="Arial" w:cs="Arial" w:eastAsia="Arial" w:hAnsi="Arial"/>
                <w:sz w:val="18"/>
                <w:szCs w:val="18"/>
                <w:color w:val="auto"/>
                <w:w w:val="99"/>
              </w:rPr>
              <w:t>12</w:t>
            </w:r>
          </w:p>
        </w:tc>
      </w:tr>
      <w:tr>
        <w:trPr>
          <w:trHeight w:val="270"/>
        </w:trPr>
        <w:tc>
          <w:tcPr>
            <w:tcW w:w="4940" w:type="dxa"/>
            <w:vAlign w:val="bottom"/>
          </w:tcPr>
          <w:p>
            <w:pPr>
              <w:ind w:left="20"/>
              <w:spacing w:after="0"/>
              <w:rPr>
                <w:sz w:val="20"/>
                <w:szCs w:val="20"/>
                <w:color w:val="auto"/>
              </w:rPr>
            </w:pPr>
            <w:r>
              <w:rPr>
                <w:rFonts w:ascii="Arial" w:cs="Arial" w:eastAsia="Arial" w:hAnsi="Arial"/>
                <w:sz w:val="18"/>
                <w:szCs w:val="18"/>
                <w:color w:val="auto"/>
              </w:rPr>
              <w:t>Determination of Independence</w:t>
            </w:r>
          </w:p>
        </w:tc>
        <w:tc>
          <w:tcPr>
            <w:tcW w:w="500" w:type="dxa"/>
            <w:vAlign w:val="bottom"/>
          </w:tcPr>
          <w:p>
            <w:pPr>
              <w:jc w:val="center"/>
              <w:spacing w:after="0"/>
              <w:rPr>
                <w:sz w:val="20"/>
                <w:szCs w:val="20"/>
                <w:color w:val="auto"/>
              </w:rPr>
            </w:pPr>
            <w:r>
              <w:rPr>
                <w:rFonts w:ascii="Arial" w:cs="Arial" w:eastAsia="Arial" w:hAnsi="Arial"/>
                <w:sz w:val="18"/>
                <w:szCs w:val="18"/>
                <w:color w:val="auto"/>
                <w:w w:val="99"/>
              </w:rPr>
              <w:t>18</w:t>
            </w:r>
          </w:p>
        </w:tc>
      </w:tr>
      <w:tr>
        <w:trPr>
          <w:trHeight w:val="270"/>
        </w:trPr>
        <w:tc>
          <w:tcPr>
            <w:tcW w:w="4940" w:type="dxa"/>
            <w:vAlign w:val="bottom"/>
          </w:tcPr>
          <w:p>
            <w:pPr>
              <w:ind w:left="20"/>
              <w:spacing w:after="0"/>
              <w:rPr>
                <w:sz w:val="20"/>
                <w:szCs w:val="20"/>
                <w:color w:val="auto"/>
              </w:rPr>
            </w:pPr>
            <w:r>
              <w:rPr>
                <w:rFonts w:ascii="Arial" w:cs="Arial" w:eastAsia="Arial" w:hAnsi="Arial"/>
                <w:sz w:val="18"/>
                <w:szCs w:val="18"/>
                <w:color w:val="auto"/>
              </w:rPr>
              <w:t>Director Candidates</w:t>
            </w:r>
          </w:p>
        </w:tc>
        <w:tc>
          <w:tcPr>
            <w:tcW w:w="500" w:type="dxa"/>
            <w:vAlign w:val="bottom"/>
          </w:tcPr>
          <w:p>
            <w:pPr>
              <w:jc w:val="center"/>
              <w:spacing w:after="0"/>
              <w:rPr>
                <w:sz w:val="20"/>
                <w:szCs w:val="20"/>
                <w:color w:val="auto"/>
              </w:rPr>
            </w:pPr>
            <w:r>
              <w:rPr>
                <w:rFonts w:ascii="Arial" w:cs="Arial" w:eastAsia="Arial" w:hAnsi="Arial"/>
                <w:sz w:val="18"/>
                <w:szCs w:val="18"/>
                <w:color w:val="auto"/>
                <w:w w:val="99"/>
              </w:rPr>
              <w:t>18</w:t>
            </w:r>
          </w:p>
        </w:tc>
      </w:tr>
      <w:tr>
        <w:trPr>
          <w:trHeight w:val="440"/>
        </w:trPr>
        <w:tc>
          <w:tcPr>
            <w:tcW w:w="4940" w:type="dxa"/>
            <w:vAlign w:val="bottom"/>
          </w:tcPr>
          <w:p>
            <w:pPr>
              <w:ind w:left="20"/>
              <w:spacing w:after="0"/>
              <w:rPr>
                <w:sz w:val="20"/>
                <w:szCs w:val="20"/>
                <w:color w:val="auto"/>
              </w:rPr>
            </w:pPr>
            <w:r>
              <w:rPr>
                <w:rFonts w:ascii="Arial" w:cs="Arial" w:eastAsia="Arial" w:hAnsi="Arial"/>
                <w:sz w:val="22"/>
                <w:szCs w:val="22"/>
                <w:b w:val="1"/>
                <w:bCs w:val="1"/>
                <w:color w:val="0067B3"/>
              </w:rPr>
              <w:t>Corporate Governance</w:t>
            </w:r>
          </w:p>
        </w:tc>
        <w:tc>
          <w:tcPr>
            <w:tcW w:w="500" w:type="dxa"/>
            <w:vAlign w:val="bottom"/>
          </w:tcPr>
          <w:p>
            <w:pPr>
              <w:jc w:val="center"/>
              <w:spacing w:after="0"/>
              <w:rPr>
                <w:sz w:val="20"/>
                <w:szCs w:val="20"/>
                <w:color w:val="auto"/>
              </w:rPr>
            </w:pPr>
            <w:r>
              <w:rPr>
                <w:rFonts w:ascii="Arial" w:cs="Arial" w:eastAsia="Arial" w:hAnsi="Arial"/>
                <w:sz w:val="18"/>
                <w:szCs w:val="18"/>
                <w:color w:val="auto"/>
                <w:w w:val="99"/>
              </w:rPr>
              <w:t>20</w:t>
            </w:r>
          </w:p>
        </w:tc>
      </w:tr>
      <w:tr>
        <w:trPr>
          <w:trHeight w:val="109"/>
        </w:trPr>
        <w:tc>
          <w:tcPr>
            <w:tcW w:w="4940" w:type="dxa"/>
            <w:vAlign w:val="bottom"/>
            <w:tcBorders>
              <w:bottom w:val="single" w:sz="8" w:color="939598"/>
            </w:tcBorders>
          </w:tcPr>
          <w:p>
            <w:pPr>
              <w:spacing w:after="0"/>
              <w:rPr>
                <w:sz w:val="9"/>
                <w:szCs w:val="9"/>
                <w:color w:val="auto"/>
              </w:rPr>
            </w:pPr>
          </w:p>
        </w:tc>
        <w:tc>
          <w:tcPr>
            <w:tcW w:w="500" w:type="dxa"/>
            <w:vAlign w:val="bottom"/>
            <w:tcBorders>
              <w:bottom w:val="single" w:sz="8" w:color="939598"/>
            </w:tcBorders>
          </w:tcPr>
          <w:p>
            <w:pPr>
              <w:spacing w:after="0"/>
              <w:rPr>
                <w:sz w:val="9"/>
                <w:szCs w:val="9"/>
                <w:color w:val="auto"/>
              </w:rPr>
            </w:pPr>
          </w:p>
        </w:tc>
      </w:tr>
      <w:tr>
        <w:trPr>
          <w:trHeight w:val="281"/>
        </w:trPr>
        <w:tc>
          <w:tcPr>
            <w:tcW w:w="4940" w:type="dxa"/>
            <w:vAlign w:val="bottom"/>
          </w:tcPr>
          <w:p>
            <w:pPr>
              <w:ind w:left="20"/>
              <w:spacing w:after="0"/>
              <w:rPr>
                <w:sz w:val="20"/>
                <w:szCs w:val="20"/>
                <w:color w:val="auto"/>
              </w:rPr>
            </w:pPr>
            <w:r>
              <w:rPr>
                <w:rFonts w:ascii="Arial" w:cs="Arial" w:eastAsia="Arial" w:hAnsi="Arial"/>
                <w:sz w:val="18"/>
                <w:szCs w:val="18"/>
                <w:color w:val="auto"/>
              </w:rPr>
              <w:t>Board Policies and Practices</w:t>
            </w:r>
          </w:p>
        </w:tc>
        <w:tc>
          <w:tcPr>
            <w:tcW w:w="500" w:type="dxa"/>
            <w:vAlign w:val="bottom"/>
          </w:tcPr>
          <w:p>
            <w:pPr>
              <w:jc w:val="center"/>
              <w:spacing w:after="0"/>
              <w:rPr>
                <w:sz w:val="20"/>
                <w:szCs w:val="20"/>
                <w:color w:val="auto"/>
              </w:rPr>
            </w:pPr>
            <w:r>
              <w:rPr>
                <w:rFonts w:ascii="Arial" w:cs="Arial" w:eastAsia="Arial" w:hAnsi="Arial"/>
                <w:sz w:val="18"/>
                <w:szCs w:val="18"/>
                <w:color w:val="auto"/>
                <w:w w:val="99"/>
              </w:rPr>
              <w:t>20</w:t>
            </w:r>
          </w:p>
        </w:tc>
      </w:tr>
      <w:tr>
        <w:trPr>
          <w:trHeight w:val="270"/>
        </w:trPr>
        <w:tc>
          <w:tcPr>
            <w:tcW w:w="4940" w:type="dxa"/>
            <w:vAlign w:val="bottom"/>
          </w:tcPr>
          <w:p>
            <w:pPr>
              <w:ind w:left="20"/>
              <w:spacing w:after="0"/>
              <w:rPr>
                <w:sz w:val="20"/>
                <w:szCs w:val="20"/>
                <w:color w:val="auto"/>
              </w:rPr>
            </w:pPr>
            <w:r>
              <w:rPr>
                <w:rFonts w:ascii="Arial" w:cs="Arial" w:eastAsia="Arial" w:hAnsi="Arial"/>
                <w:sz w:val="18"/>
                <w:szCs w:val="18"/>
                <w:color w:val="auto"/>
              </w:rPr>
              <w:t>Board and Committee Structure</w:t>
            </w:r>
          </w:p>
        </w:tc>
        <w:tc>
          <w:tcPr>
            <w:tcW w:w="500" w:type="dxa"/>
            <w:vAlign w:val="bottom"/>
          </w:tcPr>
          <w:p>
            <w:pPr>
              <w:jc w:val="center"/>
              <w:spacing w:after="0"/>
              <w:rPr>
                <w:sz w:val="20"/>
                <w:szCs w:val="20"/>
                <w:color w:val="auto"/>
              </w:rPr>
            </w:pPr>
            <w:r>
              <w:rPr>
                <w:rFonts w:ascii="Arial" w:cs="Arial" w:eastAsia="Arial" w:hAnsi="Arial"/>
                <w:sz w:val="18"/>
                <w:szCs w:val="18"/>
                <w:color w:val="auto"/>
                <w:w w:val="99"/>
              </w:rPr>
              <w:t>22</w:t>
            </w:r>
          </w:p>
        </w:tc>
      </w:tr>
      <w:tr>
        <w:trPr>
          <w:trHeight w:val="270"/>
        </w:trPr>
        <w:tc>
          <w:tcPr>
            <w:tcW w:w="4940" w:type="dxa"/>
            <w:vAlign w:val="bottom"/>
          </w:tcPr>
          <w:p>
            <w:pPr>
              <w:ind w:left="20"/>
              <w:spacing w:after="0"/>
              <w:rPr>
                <w:sz w:val="20"/>
                <w:szCs w:val="20"/>
                <w:color w:val="auto"/>
              </w:rPr>
            </w:pPr>
            <w:r>
              <w:rPr>
                <w:rFonts w:ascii="Arial" w:cs="Arial" w:eastAsia="Arial" w:hAnsi="Arial"/>
                <w:sz w:val="18"/>
                <w:szCs w:val="18"/>
                <w:color w:val="auto"/>
              </w:rPr>
              <w:t>Oversight by Our Board</w:t>
            </w:r>
          </w:p>
        </w:tc>
        <w:tc>
          <w:tcPr>
            <w:tcW w:w="500" w:type="dxa"/>
            <w:vAlign w:val="bottom"/>
          </w:tcPr>
          <w:p>
            <w:pPr>
              <w:jc w:val="center"/>
              <w:spacing w:after="0"/>
              <w:rPr>
                <w:sz w:val="20"/>
                <w:szCs w:val="20"/>
                <w:color w:val="auto"/>
              </w:rPr>
            </w:pPr>
            <w:r>
              <w:rPr>
                <w:rFonts w:ascii="Arial" w:cs="Arial" w:eastAsia="Arial" w:hAnsi="Arial"/>
                <w:sz w:val="18"/>
                <w:szCs w:val="18"/>
                <w:color w:val="auto"/>
                <w:w w:val="99"/>
              </w:rPr>
              <w:t>28</w:t>
            </w:r>
          </w:p>
        </w:tc>
      </w:tr>
      <w:tr>
        <w:trPr>
          <w:trHeight w:val="270"/>
        </w:trPr>
        <w:tc>
          <w:tcPr>
            <w:tcW w:w="4940" w:type="dxa"/>
            <w:vAlign w:val="bottom"/>
          </w:tcPr>
          <w:p>
            <w:pPr>
              <w:ind w:left="20"/>
              <w:spacing w:after="0"/>
              <w:rPr>
                <w:sz w:val="20"/>
                <w:szCs w:val="20"/>
                <w:color w:val="auto"/>
              </w:rPr>
            </w:pPr>
            <w:r>
              <w:rPr>
                <w:rFonts w:ascii="Arial" w:cs="Arial" w:eastAsia="Arial" w:hAnsi="Arial"/>
                <w:sz w:val="18"/>
                <w:szCs w:val="18"/>
                <w:color w:val="auto"/>
              </w:rPr>
              <w:t>Other Governance Matters</w:t>
            </w:r>
          </w:p>
        </w:tc>
        <w:tc>
          <w:tcPr>
            <w:tcW w:w="500" w:type="dxa"/>
            <w:vAlign w:val="bottom"/>
          </w:tcPr>
          <w:p>
            <w:pPr>
              <w:jc w:val="center"/>
              <w:spacing w:after="0"/>
              <w:rPr>
                <w:sz w:val="20"/>
                <w:szCs w:val="20"/>
                <w:color w:val="auto"/>
              </w:rPr>
            </w:pPr>
            <w:r>
              <w:rPr>
                <w:rFonts w:ascii="Arial" w:cs="Arial" w:eastAsia="Arial" w:hAnsi="Arial"/>
                <w:sz w:val="18"/>
                <w:szCs w:val="18"/>
                <w:color w:val="auto"/>
                <w:w w:val="99"/>
              </w:rPr>
              <w:t>33</w:t>
            </w:r>
          </w:p>
        </w:tc>
      </w:tr>
      <w:tr>
        <w:trPr>
          <w:trHeight w:val="440"/>
        </w:trPr>
        <w:tc>
          <w:tcPr>
            <w:tcW w:w="4940" w:type="dxa"/>
            <w:vAlign w:val="bottom"/>
          </w:tcPr>
          <w:p>
            <w:pPr>
              <w:ind w:left="20"/>
              <w:spacing w:after="0"/>
              <w:rPr>
                <w:sz w:val="20"/>
                <w:szCs w:val="20"/>
                <w:color w:val="auto"/>
              </w:rPr>
            </w:pPr>
            <w:r>
              <w:rPr>
                <w:rFonts w:ascii="Arial" w:cs="Arial" w:eastAsia="Arial" w:hAnsi="Arial"/>
                <w:sz w:val="22"/>
                <w:szCs w:val="22"/>
                <w:b w:val="1"/>
                <w:bCs w:val="1"/>
                <w:color w:val="0067B3"/>
              </w:rPr>
              <w:t>Director Compensation</w:t>
            </w:r>
          </w:p>
        </w:tc>
        <w:tc>
          <w:tcPr>
            <w:tcW w:w="500" w:type="dxa"/>
            <w:vAlign w:val="bottom"/>
          </w:tcPr>
          <w:p>
            <w:pPr>
              <w:jc w:val="center"/>
              <w:spacing w:after="0"/>
              <w:rPr>
                <w:sz w:val="20"/>
                <w:szCs w:val="20"/>
                <w:color w:val="auto"/>
              </w:rPr>
            </w:pPr>
            <w:r>
              <w:rPr>
                <w:rFonts w:ascii="Arial" w:cs="Arial" w:eastAsia="Arial" w:hAnsi="Arial"/>
                <w:sz w:val="18"/>
                <w:szCs w:val="18"/>
                <w:color w:val="auto"/>
                <w:w w:val="99"/>
              </w:rPr>
              <w:t>35</w:t>
            </w:r>
          </w:p>
        </w:tc>
      </w:tr>
      <w:tr>
        <w:trPr>
          <w:trHeight w:val="109"/>
        </w:trPr>
        <w:tc>
          <w:tcPr>
            <w:tcW w:w="4940" w:type="dxa"/>
            <w:vAlign w:val="bottom"/>
            <w:tcBorders>
              <w:bottom w:val="single" w:sz="8" w:color="939598"/>
            </w:tcBorders>
          </w:tcPr>
          <w:p>
            <w:pPr>
              <w:spacing w:after="0"/>
              <w:rPr>
                <w:sz w:val="9"/>
                <w:szCs w:val="9"/>
                <w:color w:val="auto"/>
              </w:rPr>
            </w:pPr>
          </w:p>
        </w:tc>
        <w:tc>
          <w:tcPr>
            <w:tcW w:w="500" w:type="dxa"/>
            <w:vAlign w:val="bottom"/>
            <w:tcBorders>
              <w:bottom w:val="single" w:sz="8" w:color="939598"/>
            </w:tcBorders>
          </w:tcPr>
          <w:p>
            <w:pPr>
              <w:spacing w:after="0"/>
              <w:rPr>
                <w:sz w:val="9"/>
                <w:szCs w:val="9"/>
                <w:color w:val="auto"/>
              </w:rPr>
            </w:pPr>
          </w:p>
        </w:tc>
      </w:tr>
      <w:tr>
        <w:trPr>
          <w:trHeight w:val="281"/>
        </w:trPr>
        <w:tc>
          <w:tcPr>
            <w:tcW w:w="4940" w:type="dxa"/>
            <w:vAlign w:val="bottom"/>
          </w:tcPr>
          <w:p>
            <w:pPr>
              <w:ind w:left="20"/>
              <w:spacing w:after="0"/>
              <w:rPr>
                <w:sz w:val="20"/>
                <w:szCs w:val="20"/>
                <w:color w:val="auto"/>
              </w:rPr>
            </w:pPr>
            <w:r>
              <w:rPr>
                <w:rFonts w:ascii="Arial" w:cs="Arial" w:eastAsia="Arial" w:hAnsi="Arial"/>
                <w:sz w:val="18"/>
                <w:szCs w:val="18"/>
                <w:color w:val="auto"/>
              </w:rPr>
              <w:t>Annual Director Compensation</w:t>
            </w:r>
          </w:p>
        </w:tc>
        <w:tc>
          <w:tcPr>
            <w:tcW w:w="500" w:type="dxa"/>
            <w:vAlign w:val="bottom"/>
          </w:tcPr>
          <w:p>
            <w:pPr>
              <w:jc w:val="center"/>
              <w:spacing w:after="0"/>
              <w:rPr>
                <w:sz w:val="20"/>
                <w:szCs w:val="20"/>
                <w:color w:val="auto"/>
              </w:rPr>
            </w:pPr>
            <w:r>
              <w:rPr>
                <w:rFonts w:ascii="Arial" w:cs="Arial" w:eastAsia="Arial" w:hAnsi="Arial"/>
                <w:sz w:val="18"/>
                <w:szCs w:val="18"/>
                <w:color w:val="auto"/>
                <w:w w:val="99"/>
              </w:rPr>
              <w:t>35</w:t>
            </w:r>
          </w:p>
        </w:tc>
      </w:tr>
      <w:tr>
        <w:trPr>
          <w:trHeight w:val="270"/>
        </w:trPr>
        <w:tc>
          <w:tcPr>
            <w:tcW w:w="4940" w:type="dxa"/>
            <w:vAlign w:val="bottom"/>
          </w:tcPr>
          <w:p>
            <w:pPr>
              <w:ind w:left="20"/>
              <w:spacing w:after="0"/>
              <w:rPr>
                <w:sz w:val="20"/>
                <w:szCs w:val="20"/>
                <w:color w:val="auto"/>
              </w:rPr>
            </w:pPr>
            <w:r>
              <w:rPr>
                <w:rFonts w:ascii="Arial" w:cs="Arial" w:eastAsia="Arial" w:hAnsi="Arial"/>
                <w:sz w:val="18"/>
                <w:szCs w:val="18"/>
                <w:color w:val="auto"/>
              </w:rPr>
              <w:t>Fiscal Year 2025 Director Compensation</w:t>
            </w:r>
          </w:p>
        </w:tc>
        <w:tc>
          <w:tcPr>
            <w:tcW w:w="500" w:type="dxa"/>
            <w:vAlign w:val="bottom"/>
          </w:tcPr>
          <w:p>
            <w:pPr>
              <w:jc w:val="center"/>
              <w:spacing w:after="0"/>
              <w:rPr>
                <w:sz w:val="20"/>
                <w:szCs w:val="20"/>
                <w:color w:val="auto"/>
              </w:rPr>
            </w:pPr>
            <w:r>
              <w:rPr>
                <w:rFonts w:ascii="Arial" w:cs="Arial" w:eastAsia="Arial" w:hAnsi="Arial"/>
                <w:sz w:val="18"/>
                <w:szCs w:val="18"/>
                <w:color w:val="auto"/>
                <w:w w:val="99"/>
              </w:rPr>
              <w:t>36</w:t>
            </w:r>
          </w:p>
        </w:tc>
      </w:tr>
      <w:tr>
        <w:trPr>
          <w:trHeight w:val="270"/>
        </w:trPr>
        <w:tc>
          <w:tcPr>
            <w:tcW w:w="4940" w:type="dxa"/>
            <w:vAlign w:val="bottom"/>
          </w:tcPr>
          <w:p>
            <w:pPr>
              <w:ind w:left="20"/>
              <w:spacing w:after="0"/>
              <w:rPr>
                <w:sz w:val="20"/>
                <w:szCs w:val="20"/>
                <w:color w:val="auto"/>
              </w:rPr>
            </w:pPr>
            <w:r>
              <w:rPr>
                <w:rFonts w:ascii="Arial" w:cs="Arial" w:eastAsia="Arial" w:hAnsi="Arial"/>
                <w:sz w:val="18"/>
                <w:szCs w:val="18"/>
                <w:color w:val="auto"/>
              </w:rPr>
              <w:t>Stock Ownership Guidelines for Non-Employee Directors</w:t>
            </w:r>
          </w:p>
        </w:tc>
        <w:tc>
          <w:tcPr>
            <w:tcW w:w="500" w:type="dxa"/>
            <w:vAlign w:val="bottom"/>
          </w:tcPr>
          <w:p>
            <w:pPr>
              <w:jc w:val="center"/>
              <w:spacing w:after="0"/>
              <w:rPr>
                <w:sz w:val="20"/>
                <w:szCs w:val="20"/>
                <w:color w:val="auto"/>
              </w:rPr>
            </w:pPr>
            <w:r>
              <w:rPr>
                <w:rFonts w:ascii="Arial" w:cs="Arial" w:eastAsia="Arial" w:hAnsi="Arial"/>
                <w:sz w:val="18"/>
                <w:szCs w:val="18"/>
                <w:color w:val="auto"/>
                <w:w w:val="99"/>
              </w:rPr>
              <w:t>37</w:t>
            </w:r>
          </w:p>
        </w:tc>
      </w:tr>
      <w:tr>
        <w:trPr>
          <w:trHeight w:val="270"/>
        </w:trPr>
        <w:tc>
          <w:tcPr>
            <w:tcW w:w="4940" w:type="dxa"/>
            <w:vAlign w:val="bottom"/>
          </w:tcPr>
          <w:p>
            <w:pPr>
              <w:ind w:left="20"/>
              <w:spacing w:after="0"/>
              <w:rPr>
                <w:sz w:val="20"/>
                <w:szCs w:val="20"/>
                <w:color w:val="auto"/>
              </w:rPr>
            </w:pPr>
            <w:r>
              <w:rPr>
                <w:rFonts w:ascii="Arial" w:cs="Arial" w:eastAsia="Arial" w:hAnsi="Arial"/>
                <w:sz w:val="18"/>
                <w:szCs w:val="18"/>
                <w:color w:val="auto"/>
              </w:rPr>
              <w:t>Equity Award Grant Date Policy for Non-Employee Directors</w:t>
            </w:r>
          </w:p>
        </w:tc>
        <w:tc>
          <w:tcPr>
            <w:tcW w:w="500" w:type="dxa"/>
            <w:vAlign w:val="bottom"/>
          </w:tcPr>
          <w:p>
            <w:pPr>
              <w:jc w:val="center"/>
              <w:spacing w:after="0"/>
              <w:rPr>
                <w:sz w:val="20"/>
                <w:szCs w:val="20"/>
                <w:color w:val="auto"/>
              </w:rPr>
            </w:pPr>
            <w:r>
              <w:rPr>
                <w:rFonts w:ascii="Arial" w:cs="Arial" w:eastAsia="Arial" w:hAnsi="Arial"/>
                <w:sz w:val="18"/>
                <w:szCs w:val="18"/>
                <w:color w:val="auto"/>
                <w:w w:val="99"/>
              </w:rPr>
              <w:t>37</w:t>
            </w:r>
          </w:p>
        </w:tc>
      </w:tr>
      <w:tr>
        <w:trPr>
          <w:trHeight w:val="440"/>
        </w:trPr>
        <w:tc>
          <w:tcPr>
            <w:tcW w:w="4940" w:type="dxa"/>
            <w:vAlign w:val="bottom"/>
          </w:tcPr>
          <w:p>
            <w:pPr>
              <w:ind w:left="20"/>
              <w:spacing w:after="0"/>
              <w:rPr>
                <w:sz w:val="20"/>
                <w:szCs w:val="20"/>
                <w:color w:val="auto"/>
              </w:rPr>
            </w:pPr>
            <w:r>
              <w:rPr>
                <w:rFonts w:ascii="Arial" w:cs="Arial" w:eastAsia="Arial" w:hAnsi="Arial"/>
                <w:sz w:val="22"/>
                <w:szCs w:val="22"/>
                <w:b w:val="1"/>
                <w:bCs w:val="1"/>
                <w:color w:val="0067B3"/>
              </w:rPr>
              <w:t>Management Team</w:t>
            </w:r>
          </w:p>
        </w:tc>
        <w:tc>
          <w:tcPr>
            <w:tcW w:w="500" w:type="dxa"/>
            <w:vAlign w:val="bottom"/>
          </w:tcPr>
          <w:p>
            <w:pPr>
              <w:jc w:val="center"/>
              <w:spacing w:after="0"/>
              <w:rPr>
                <w:sz w:val="20"/>
                <w:szCs w:val="20"/>
                <w:color w:val="auto"/>
              </w:rPr>
            </w:pPr>
            <w:r>
              <w:rPr>
                <w:rFonts w:ascii="Arial" w:cs="Arial" w:eastAsia="Arial" w:hAnsi="Arial"/>
                <w:sz w:val="18"/>
                <w:szCs w:val="18"/>
                <w:color w:val="auto"/>
                <w:w w:val="99"/>
              </w:rPr>
              <w:t>38</w:t>
            </w:r>
          </w:p>
        </w:tc>
      </w:tr>
      <w:tr>
        <w:trPr>
          <w:trHeight w:val="109"/>
        </w:trPr>
        <w:tc>
          <w:tcPr>
            <w:tcW w:w="4940" w:type="dxa"/>
            <w:vAlign w:val="bottom"/>
            <w:tcBorders>
              <w:bottom w:val="single" w:sz="8" w:color="939598"/>
            </w:tcBorders>
          </w:tcPr>
          <w:p>
            <w:pPr>
              <w:spacing w:after="0"/>
              <w:rPr>
                <w:sz w:val="9"/>
                <w:szCs w:val="9"/>
                <w:color w:val="auto"/>
              </w:rPr>
            </w:pPr>
          </w:p>
        </w:tc>
        <w:tc>
          <w:tcPr>
            <w:tcW w:w="500" w:type="dxa"/>
            <w:vAlign w:val="bottom"/>
            <w:tcBorders>
              <w:bottom w:val="single" w:sz="8" w:color="939598"/>
            </w:tcBorders>
          </w:tcPr>
          <w:p>
            <w:pPr>
              <w:spacing w:after="0"/>
              <w:rPr>
                <w:sz w:val="9"/>
                <w:szCs w:val="9"/>
                <w:color w:val="auto"/>
              </w:rPr>
            </w:pPr>
          </w:p>
        </w:tc>
      </w:tr>
      <w:tr>
        <w:trPr>
          <w:trHeight w:val="451"/>
        </w:trPr>
        <w:tc>
          <w:tcPr>
            <w:tcW w:w="4940" w:type="dxa"/>
            <w:vAlign w:val="bottom"/>
          </w:tcPr>
          <w:p>
            <w:pPr>
              <w:ind w:left="20"/>
              <w:spacing w:after="0"/>
              <w:rPr>
                <w:sz w:val="20"/>
                <w:szCs w:val="20"/>
                <w:color w:val="auto"/>
              </w:rPr>
            </w:pPr>
            <w:r>
              <w:rPr>
                <w:rFonts w:ascii="Arial" w:cs="Arial" w:eastAsia="Arial" w:hAnsi="Arial"/>
                <w:sz w:val="22"/>
                <w:szCs w:val="22"/>
                <w:b w:val="1"/>
                <w:bCs w:val="1"/>
                <w:color w:val="0067B3"/>
              </w:rPr>
              <w:t>Executive Compensation</w:t>
            </w:r>
          </w:p>
        </w:tc>
        <w:tc>
          <w:tcPr>
            <w:tcW w:w="500" w:type="dxa"/>
            <w:vAlign w:val="bottom"/>
          </w:tcPr>
          <w:p>
            <w:pPr>
              <w:jc w:val="center"/>
              <w:spacing w:after="0"/>
              <w:rPr>
                <w:sz w:val="20"/>
                <w:szCs w:val="20"/>
                <w:color w:val="auto"/>
              </w:rPr>
            </w:pPr>
            <w:r>
              <w:rPr>
                <w:rFonts w:ascii="Arial" w:cs="Arial" w:eastAsia="Arial" w:hAnsi="Arial"/>
                <w:sz w:val="18"/>
                <w:szCs w:val="18"/>
                <w:color w:val="auto"/>
                <w:w w:val="99"/>
              </w:rPr>
              <w:t>41</w:t>
            </w:r>
          </w:p>
        </w:tc>
      </w:tr>
      <w:tr>
        <w:trPr>
          <w:trHeight w:val="109"/>
        </w:trPr>
        <w:tc>
          <w:tcPr>
            <w:tcW w:w="4940" w:type="dxa"/>
            <w:vAlign w:val="bottom"/>
            <w:tcBorders>
              <w:bottom w:val="single" w:sz="8" w:color="939598"/>
            </w:tcBorders>
          </w:tcPr>
          <w:p>
            <w:pPr>
              <w:spacing w:after="0"/>
              <w:rPr>
                <w:sz w:val="9"/>
                <w:szCs w:val="9"/>
                <w:color w:val="auto"/>
              </w:rPr>
            </w:pPr>
          </w:p>
        </w:tc>
        <w:tc>
          <w:tcPr>
            <w:tcW w:w="500" w:type="dxa"/>
            <w:vAlign w:val="bottom"/>
            <w:tcBorders>
              <w:bottom w:val="single" w:sz="8" w:color="939598"/>
            </w:tcBorders>
          </w:tcPr>
          <w:p>
            <w:pPr>
              <w:spacing w:after="0"/>
              <w:rPr>
                <w:sz w:val="9"/>
                <w:szCs w:val="9"/>
                <w:color w:val="auto"/>
              </w:rPr>
            </w:pPr>
          </w:p>
        </w:tc>
      </w:tr>
      <w:tr>
        <w:trPr>
          <w:trHeight w:val="451"/>
        </w:trPr>
        <w:tc>
          <w:tcPr>
            <w:tcW w:w="4940" w:type="dxa"/>
            <w:vAlign w:val="bottom"/>
          </w:tcPr>
          <w:p>
            <w:pPr>
              <w:ind w:left="440"/>
              <w:spacing w:after="0"/>
              <w:rPr>
                <w:sz w:val="20"/>
                <w:szCs w:val="20"/>
                <w:color w:val="auto"/>
              </w:rPr>
            </w:pPr>
            <w:r>
              <w:rPr>
                <w:rFonts w:ascii="Arial" w:cs="Arial" w:eastAsia="Arial" w:hAnsi="Arial"/>
                <w:sz w:val="22"/>
                <w:szCs w:val="22"/>
                <w:b w:val="1"/>
                <w:bCs w:val="1"/>
                <w:color w:val="0067B3"/>
              </w:rPr>
              <w:t>Proposal 2 — Advisory Approval of the</w:t>
            </w:r>
          </w:p>
        </w:tc>
        <w:tc>
          <w:tcPr>
            <w:tcW w:w="500" w:type="dxa"/>
            <w:vAlign w:val="bottom"/>
          </w:tcPr>
          <w:p>
            <w:pPr>
              <w:jc w:val="center"/>
              <w:spacing w:after="0"/>
              <w:rPr>
                <w:sz w:val="20"/>
                <w:szCs w:val="20"/>
                <w:color w:val="auto"/>
              </w:rPr>
            </w:pPr>
            <w:r>
              <w:rPr>
                <w:rFonts w:ascii="Arial" w:cs="Arial" w:eastAsia="Arial" w:hAnsi="Arial"/>
                <w:sz w:val="22"/>
                <w:szCs w:val="22"/>
                <w:b w:val="1"/>
                <w:bCs w:val="1"/>
                <w:color w:val="0067B3"/>
                <w:w w:val="97"/>
              </w:rPr>
              <w:t>41</w:t>
            </w:r>
          </w:p>
        </w:tc>
      </w:tr>
      <w:tr>
        <w:trPr>
          <w:trHeight w:val="256"/>
        </w:trPr>
        <w:tc>
          <w:tcPr>
            <w:tcW w:w="4940" w:type="dxa"/>
            <w:vAlign w:val="bottom"/>
          </w:tcPr>
          <w:p>
            <w:pPr>
              <w:ind w:left="440"/>
              <w:spacing w:after="0"/>
              <w:rPr>
                <w:sz w:val="20"/>
                <w:szCs w:val="20"/>
                <w:color w:val="auto"/>
              </w:rPr>
            </w:pPr>
            <w:r>
              <w:rPr>
                <w:rFonts w:ascii="Arial" w:cs="Arial" w:eastAsia="Arial" w:hAnsi="Arial"/>
                <w:sz w:val="22"/>
                <w:szCs w:val="22"/>
                <w:b w:val="1"/>
                <w:bCs w:val="1"/>
                <w:color w:val="0067B3"/>
              </w:rPr>
              <w:t>Compensation of ADI’s Named Executive</w:t>
            </w:r>
          </w:p>
        </w:tc>
        <w:tc>
          <w:tcPr>
            <w:tcW w:w="500" w:type="dxa"/>
            <w:vAlign w:val="bottom"/>
          </w:tcPr>
          <w:p>
            <w:pPr>
              <w:spacing w:after="0"/>
              <w:rPr>
                <w:sz w:val="22"/>
                <w:szCs w:val="22"/>
                <w:color w:val="auto"/>
              </w:rPr>
            </w:pPr>
          </w:p>
        </w:tc>
      </w:tr>
      <w:tr>
        <w:trPr>
          <w:trHeight w:val="297"/>
        </w:trPr>
        <w:tc>
          <w:tcPr>
            <w:tcW w:w="4940" w:type="dxa"/>
            <w:vAlign w:val="bottom"/>
          </w:tcPr>
          <w:p>
            <w:pPr>
              <w:ind w:left="440"/>
              <w:spacing w:after="0"/>
              <w:rPr>
                <w:sz w:val="20"/>
                <w:szCs w:val="20"/>
                <w:color w:val="auto"/>
              </w:rPr>
            </w:pPr>
            <w:r>
              <w:rPr>
                <w:rFonts w:ascii="Arial" w:cs="Arial" w:eastAsia="Arial" w:hAnsi="Arial"/>
                <w:sz w:val="22"/>
                <w:szCs w:val="22"/>
                <w:b w:val="1"/>
                <w:bCs w:val="1"/>
                <w:color w:val="0067B3"/>
              </w:rPr>
              <w:t>Officers</w:t>
            </w:r>
          </w:p>
        </w:tc>
        <w:tc>
          <w:tcPr>
            <w:tcW w:w="500" w:type="dxa"/>
            <w:vAlign w:val="bottom"/>
          </w:tcPr>
          <w:p>
            <w:pPr>
              <w:spacing w:after="0"/>
              <w:rPr>
                <w:sz w:val="24"/>
                <w:szCs w:val="24"/>
                <w:color w:val="auto"/>
              </w:rPr>
            </w:pPr>
          </w:p>
        </w:tc>
      </w:tr>
      <w:tr>
        <w:trPr>
          <w:trHeight w:val="123"/>
        </w:trPr>
        <w:tc>
          <w:tcPr>
            <w:tcW w:w="4940" w:type="dxa"/>
            <w:vAlign w:val="bottom"/>
            <w:tcBorders>
              <w:bottom w:val="single" w:sz="8" w:color="0067B3"/>
            </w:tcBorders>
          </w:tcPr>
          <w:p>
            <w:pPr>
              <w:spacing w:after="0"/>
              <w:rPr>
                <w:sz w:val="10"/>
                <w:szCs w:val="10"/>
                <w:color w:val="auto"/>
              </w:rPr>
            </w:pPr>
          </w:p>
        </w:tc>
        <w:tc>
          <w:tcPr>
            <w:tcW w:w="500" w:type="dxa"/>
            <w:vAlign w:val="bottom"/>
            <w:tcBorders>
              <w:bottom w:val="single" w:sz="8" w:color="0067B3"/>
            </w:tcBorders>
          </w:tcPr>
          <w:p>
            <w:pPr>
              <w:spacing w:after="0"/>
              <w:rPr>
                <w:sz w:val="10"/>
                <w:szCs w:val="10"/>
                <w:color w:val="auto"/>
              </w:rPr>
            </w:pPr>
          </w:p>
        </w:tc>
      </w:tr>
      <w:tr>
        <w:trPr>
          <w:trHeight w:val="281"/>
        </w:trPr>
        <w:tc>
          <w:tcPr>
            <w:tcW w:w="4940" w:type="dxa"/>
            <w:vAlign w:val="bottom"/>
          </w:tcPr>
          <w:p>
            <w:pPr>
              <w:ind w:left="20"/>
              <w:spacing w:after="0"/>
              <w:rPr>
                <w:sz w:val="20"/>
                <w:szCs w:val="20"/>
                <w:color w:val="auto"/>
              </w:rPr>
            </w:pPr>
            <w:r>
              <w:rPr>
                <w:rFonts w:ascii="Arial" w:cs="Arial" w:eastAsia="Arial" w:hAnsi="Arial"/>
                <w:sz w:val="18"/>
                <w:szCs w:val="18"/>
                <w:color w:val="auto"/>
              </w:rPr>
              <w:t>Compensation Discussion and Analysis</w:t>
            </w:r>
          </w:p>
        </w:tc>
        <w:tc>
          <w:tcPr>
            <w:tcW w:w="500" w:type="dxa"/>
            <w:vAlign w:val="bottom"/>
          </w:tcPr>
          <w:p>
            <w:pPr>
              <w:jc w:val="center"/>
              <w:spacing w:after="0"/>
              <w:rPr>
                <w:sz w:val="20"/>
                <w:szCs w:val="20"/>
                <w:color w:val="auto"/>
              </w:rPr>
            </w:pPr>
            <w:r>
              <w:rPr>
                <w:rFonts w:ascii="Arial" w:cs="Arial" w:eastAsia="Arial" w:hAnsi="Arial"/>
                <w:sz w:val="18"/>
                <w:szCs w:val="18"/>
                <w:color w:val="auto"/>
                <w:w w:val="99"/>
              </w:rPr>
              <w:t>42</w:t>
            </w:r>
          </w:p>
        </w:tc>
      </w:tr>
      <w:tr>
        <w:trPr>
          <w:trHeight w:val="270"/>
        </w:trPr>
        <w:tc>
          <w:tcPr>
            <w:tcW w:w="4940" w:type="dxa"/>
            <w:vAlign w:val="bottom"/>
          </w:tcPr>
          <w:p>
            <w:pPr>
              <w:ind w:left="20"/>
              <w:spacing w:after="0"/>
              <w:rPr>
                <w:sz w:val="20"/>
                <w:szCs w:val="20"/>
                <w:color w:val="auto"/>
              </w:rPr>
            </w:pPr>
            <w:r>
              <w:rPr>
                <w:rFonts w:ascii="Arial" w:cs="Arial" w:eastAsia="Arial" w:hAnsi="Arial"/>
                <w:sz w:val="18"/>
                <w:szCs w:val="18"/>
                <w:color w:val="auto"/>
              </w:rPr>
              <w:t>Compensation and Talent Committee Report</w:t>
            </w:r>
          </w:p>
        </w:tc>
        <w:tc>
          <w:tcPr>
            <w:tcW w:w="500" w:type="dxa"/>
            <w:vAlign w:val="bottom"/>
          </w:tcPr>
          <w:p>
            <w:pPr>
              <w:jc w:val="center"/>
              <w:spacing w:after="0"/>
              <w:rPr>
                <w:sz w:val="20"/>
                <w:szCs w:val="20"/>
                <w:color w:val="auto"/>
              </w:rPr>
            </w:pPr>
            <w:r>
              <w:rPr>
                <w:rFonts w:ascii="Arial" w:cs="Arial" w:eastAsia="Arial" w:hAnsi="Arial"/>
                <w:sz w:val="18"/>
                <w:szCs w:val="18"/>
                <w:color w:val="auto"/>
                <w:w w:val="99"/>
              </w:rPr>
              <w:t>58</w:t>
            </w:r>
          </w:p>
        </w:tc>
      </w:tr>
      <w:tr>
        <w:trPr>
          <w:trHeight w:val="247"/>
        </w:trPr>
        <w:tc>
          <w:tcPr>
            <w:tcW w:w="4940" w:type="dxa"/>
            <w:vAlign w:val="bottom"/>
          </w:tcPr>
          <w:p>
            <w:pPr>
              <w:ind w:left="20"/>
              <w:spacing w:after="0"/>
              <w:rPr>
                <w:sz w:val="20"/>
                <w:szCs w:val="20"/>
                <w:color w:val="auto"/>
              </w:rPr>
            </w:pPr>
            <w:r>
              <w:rPr>
                <w:rFonts w:ascii="Arial" w:cs="Arial" w:eastAsia="Arial" w:hAnsi="Arial"/>
                <w:sz w:val="18"/>
                <w:szCs w:val="18"/>
                <w:color w:val="auto"/>
              </w:rPr>
              <w:t>Compensation and Talent Committee Interlocks and</w:t>
            </w:r>
          </w:p>
        </w:tc>
        <w:tc>
          <w:tcPr>
            <w:tcW w:w="500" w:type="dxa"/>
            <w:vAlign w:val="bottom"/>
          </w:tcPr>
          <w:p>
            <w:pPr>
              <w:spacing w:after="0"/>
              <w:rPr>
                <w:sz w:val="21"/>
                <w:szCs w:val="21"/>
                <w:color w:val="auto"/>
              </w:rPr>
            </w:pPr>
          </w:p>
        </w:tc>
      </w:tr>
      <w:tr>
        <w:trPr>
          <w:trHeight w:val="239"/>
        </w:trPr>
        <w:tc>
          <w:tcPr>
            <w:tcW w:w="4940" w:type="dxa"/>
            <w:vAlign w:val="bottom"/>
          </w:tcPr>
          <w:p>
            <w:pPr>
              <w:ind w:left="20"/>
              <w:spacing w:after="0"/>
              <w:rPr>
                <w:sz w:val="20"/>
                <w:szCs w:val="20"/>
                <w:color w:val="auto"/>
              </w:rPr>
            </w:pPr>
            <w:r>
              <w:rPr>
                <w:rFonts w:ascii="Arial" w:cs="Arial" w:eastAsia="Arial" w:hAnsi="Arial"/>
                <w:sz w:val="18"/>
                <w:szCs w:val="18"/>
                <w:color w:val="auto"/>
              </w:rPr>
              <w:t>Insider Participation</w:t>
            </w:r>
          </w:p>
        </w:tc>
        <w:tc>
          <w:tcPr>
            <w:tcW w:w="500" w:type="dxa"/>
            <w:vAlign w:val="bottom"/>
          </w:tcPr>
          <w:p>
            <w:pPr>
              <w:jc w:val="center"/>
              <w:spacing w:after="0"/>
              <w:rPr>
                <w:sz w:val="20"/>
                <w:szCs w:val="20"/>
                <w:color w:val="auto"/>
              </w:rPr>
            </w:pPr>
            <w:r>
              <w:rPr>
                <w:rFonts w:ascii="Arial" w:cs="Arial" w:eastAsia="Arial" w:hAnsi="Arial"/>
                <w:sz w:val="18"/>
                <w:szCs w:val="18"/>
                <w:color w:val="auto"/>
                <w:w w:val="99"/>
              </w:rPr>
              <w:t>58</w:t>
            </w:r>
          </w:p>
        </w:tc>
      </w:tr>
      <w:tr>
        <w:trPr>
          <w:trHeight w:val="270"/>
        </w:trPr>
        <w:tc>
          <w:tcPr>
            <w:tcW w:w="4940" w:type="dxa"/>
            <w:vAlign w:val="bottom"/>
          </w:tcPr>
          <w:p>
            <w:pPr>
              <w:ind w:left="20"/>
              <w:spacing w:after="0"/>
              <w:rPr>
                <w:sz w:val="20"/>
                <w:szCs w:val="20"/>
                <w:color w:val="auto"/>
              </w:rPr>
            </w:pPr>
            <w:r>
              <w:rPr>
                <w:rFonts w:ascii="Arial" w:cs="Arial" w:eastAsia="Arial" w:hAnsi="Arial"/>
                <w:sz w:val="18"/>
                <w:szCs w:val="18"/>
                <w:color w:val="auto"/>
              </w:rPr>
              <w:t>Compensation Tables</w:t>
            </w:r>
          </w:p>
        </w:tc>
        <w:tc>
          <w:tcPr>
            <w:tcW w:w="500" w:type="dxa"/>
            <w:vAlign w:val="bottom"/>
          </w:tcPr>
          <w:p>
            <w:pPr>
              <w:jc w:val="center"/>
              <w:spacing w:after="0"/>
              <w:rPr>
                <w:sz w:val="20"/>
                <w:szCs w:val="20"/>
                <w:color w:val="auto"/>
              </w:rPr>
            </w:pPr>
            <w:r>
              <w:rPr>
                <w:rFonts w:ascii="Arial" w:cs="Arial" w:eastAsia="Arial" w:hAnsi="Arial"/>
                <w:sz w:val="18"/>
                <w:szCs w:val="18"/>
                <w:color w:val="auto"/>
                <w:w w:val="99"/>
              </w:rPr>
              <w:t>59</w:t>
            </w:r>
          </w:p>
        </w:tc>
      </w:tr>
      <w:tr>
        <w:trPr>
          <w:trHeight w:val="270"/>
        </w:trPr>
        <w:tc>
          <w:tcPr>
            <w:tcW w:w="4940" w:type="dxa"/>
            <w:vAlign w:val="bottom"/>
          </w:tcPr>
          <w:p>
            <w:pPr>
              <w:ind w:left="20"/>
              <w:spacing w:after="0"/>
              <w:rPr>
                <w:sz w:val="20"/>
                <w:szCs w:val="20"/>
                <w:color w:val="auto"/>
              </w:rPr>
            </w:pPr>
            <w:r>
              <w:rPr>
                <w:rFonts w:ascii="Arial" w:cs="Arial" w:eastAsia="Arial" w:hAnsi="Arial"/>
                <w:sz w:val="18"/>
                <w:szCs w:val="18"/>
                <w:color w:val="auto"/>
              </w:rPr>
              <w:t>CEO Pay Ratio</w:t>
            </w:r>
          </w:p>
        </w:tc>
        <w:tc>
          <w:tcPr>
            <w:tcW w:w="500" w:type="dxa"/>
            <w:vAlign w:val="bottom"/>
          </w:tcPr>
          <w:p>
            <w:pPr>
              <w:jc w:val="center"/>
              <w:spacing w:after="0"/>
              <w:rPr>
                <w:sz w:val="20"/>
                <w:szCs w:val="20"/>
                <w:color w:val="auto"/>
              </w:rPr>
            </w:pPr>
            <w:r>
              <w:rPr>
                <w:rFonts w:ascii="Arial" w:cs="Arial" w:eastAsia="Arial" w:hAnsi="Arial"/>
                <w:sz w:val="18"/>
                <w:szCs w:val="18"/>
                <w:color w:val="auto"/>
                <w:w w:val="99"/>
              </w:rPr>
              <w:t>68</w:t>
            </w:r>
          </w:p>
        </w:tc>
      </w:tr>
      <w:tr>
        <w:trPr>
          <w:trHeight w:val="270"/>
        </w:trPr>
        <w:tc>
          <w:tcPr>
            <w:tcW w:w="4940" w:type="dxa"/>
            <w:vAlign w:val="bottom"/>
          </w:tcPr>
          <w:p>
            <w:pPr>
              <w:ind w:left="20"/>
              <w:spacing w:after="0"/>
              <w:rPr>
                <w:sz w:val="20"/>
                <w:szCs w:val="20"/>
                <w:color w:val="auto"/>
              </w:rPr>
            </w:pPr>
            <w:r>
              <w:rPr>
                <w:rFonts w:ascii="Arial" w:cs="Arial" w:eastAsia="Arial" w:hAnsi="Arial"/>
                <w:sz w:val="18"/>
                <w:szCs w:val="18"/>
                <w:color w:val="auto"/>
              </w:rPr>
              <w:t>Pay Versus Performance</w:t>
            </w:r>
          </w:p>
        </w:tc>
        <w:tc>
          <w:tcPr>
            <w:tcW w:w="500" w:type="dxa"/>
            <w:vAlign w:val="bottom"/>
          </w:tcPr>
          <w:p>
            <w:pPr>
              <w:jc w:val="center"/>
              <w:spacing w:after="0"/>
              <w:rPr>
                <w:sz w:val="20"/>
                <w:szCs w:val="20"/>
                <w:color w:val="auto"/>
              </w:rPr>
            </w:pPr>
            <w:r>
              <w:rPr>
                <w:rFonts w:ascii="Arial" w:cs="Arial" w:eastAsia="Arial" w:hAnsi="Arial"/>
                <w:sz w:val="18"/>
                <w:szCs w:val="18"/>
                <w:color w:val="auto"/>
                <w:w w:val="99"/>
              </w:rPr>
              <w:t>69</w:t>
            </w:r>
          </w:p>
        </w:tc>
      </w:tr>
      <w:tr>
        <w:trPr>
          <w:trHeight w:val="441"/>
        </w:trPr>
        <w:tc>
          <w:tcPr>
            <w:tcW w:w="4940" w:type="dxa"/>
            <w:vAlign w:val="bottom"/>
          </w:tcPr>
          <w:p>
            <w:pPr>
              <w:ind w:left="20"/>
              <w:spacing w:after="0"/>
              <w:rPr>
                <w:sz w:val="20"/>
                <w:szCs w:val="20"/>
                <w:color w:val="auto"/>
              </w:rPr>
            </w:pPr>
            <w:r>
              <w:rPr>
                <w:rFonts w:ascii="Arial" w:cs="Arial" w:eastAsia="Arial" w:hAnsi="Arial"/>
                <w:sz w:val="22"/>
                <w:szCs w:val="22"/>
                <w:b w:val="1"/>
                <w:bCs w:val="1"/>
                <w:color w:val="0067B3"/>
              </w:rPr>
              <w:t>Audit Matters</w:t>
            </w:r>
          </w:p>
        </w:tc>
        <w:tc>
          <w:tcPr>
            <w:tcW w:w="500" w:type="dxa"/>
            <w:vAlign w:val="bottom"/>
          </w:tcPr>
          <w:p>
            <w:pPr>
              <w:jc w:val="center"/>
              <w:spacing w:after="0"/>
              <w:rPr>
                <w:sz w:val="20"/>
                <w:szCs w:val="20"/>
                <w:color w:val="auto"/>
              </w:rPr>
            </w:pPr>
            <w:r>
              <w:rPr>
                <w:rFonts w:ascii="Arial" w:cs="Arial" w:eastAsia="Arial" w:hAnsi="Arial"/>
                <w:sz w:val="18"/>
                <w:szCs w:val="18"/>
                <w:color w:val="auto"/>
                <w:w w:val="99"/>
              </w:rPr>
              <w:t>72</w:t>
            </w:r>
          </w:p>
        </w:tc>
      </w:tr>
      <w:tr>
        <w:trPr>
          <w:trHeight w:val="109"/>
        </w:trPr>
        <w:tc>
          <w:tcPr>
            <w:tcW w:w="4940" w:type="dxa"/>
            <w:vAlign w:val="bottom"/>
            <w:tcBorders>
              <w:bottom w:val="single" w:sz="8" w:color="939598"/>
            </w:tcBorders>
          </w:tcPr>
          <w:p>
            <w:pPr>
              <w:spacing w:after="0"/>
              <w:rPr>
                <w:sz w:val="9"/>
                <w:szCs w:val="9"/>
                <w:color w:val="auto"/>
              </w:rPr>
            </w:pPr>
          </w:p>
        </w:tc>
        <w:tc>
          <w:tcPr>
            <w:tcW w:w="500" w:type="dxa"/>
            <w:vAlign w:val="bottom"/>
            <w:tcBorders>
              <w:bottom w:val="single" w:sz="8" w:color="939598"/>
            </w:tcBorders>
          </w:tcPr>
          <w:p>
            <w:pPr>
              <w:spacing w:after="0"/>
              <w:rPr>
                <w:sz w:val="9"/>
                <w:szCs w:val="9"/>
                <w:color w:val="auto"/>
              </w:rPr>
            </w:pPr>
          </w:p>
        </w:tc>
      </w:tr>
      <w:tr>
        <w:trPr>
          <w:trHeight w:val="451"/>
        </w:trPr>
        <w:tc>
          <w:tcPr>
            <w:tcW w:w="4940" w:type="dxa"/>
            <w:vAlign w:val="bottom"/>
          </w:tcPr>
          <w:p>
            <w:pPr>
              <w:ind w:left="440"/>
              <w:spacing w:after="0"/>
              <w:rPr>
                <w:sz w:val="20"/>
                <w:szCs w:val="20"/>
                <w:color w:val="auto"/>
              </w:rPr>
            </w:pPr>
            <w:r>
              <w:rPr>
                <w:rFonts w:ascii="Arial" w:cs="Arial" w:eastAsia="Arial" w:hAnsi="Arial"/>
                <w:sz w:val="22"/>
                <w:szCs w:val="22"/>
                <w:b w:val="1"/>
                <w:bCs w:val="1"/>
                <w:color w:val="0067B3"/>
              </w:rPr>
              <w:t>Proposal 3 — Ratification of the Selection</w:t>
            </w:r>
          </w:p>
        </w:tc>
        <w:tc>
          <w:tcPr>
            <w:tcW w:w="500" w:type="dxa"/>
            <w:vAlign w:val="bottom"/>
          </w:tcPr>
          <w:p>
            <w:pPr>
              <w:jc w:val="center"/>
              <w:spacing w:after="0"/>
              <w:rPr>
                <w:sz w:val="20"/>
                <w:szCs w:val="20"/>
                <w:color w:val="auto"/>
              </w:rPr>
            </w:pPr>
            <w:r>
              <w:rPr>
                <w:rFonts w:ascii="Arial" w:cs="Arial" w:eastAsia="Arial" w:hAnsi="Arial"/>
                <w:sz w:val="22"/>
                <w:szCs w:val="22"/>
                <w:b w:val="1"/>
                <w:bCs w:val="1"/>
                <w:color w:val="0067B3"/>
                <w:w w:val="97"/>
              </w:rPr>
              <w:t>72</w:t>
            </w:r>
          </w:p>
        </w:tc>
      </w:tr>
      <w:tr>
        <w:trPr>
          <w:trHeight w:val="279"/>
        </w:trPr>
        <w:tc>
          <w:tcPr>
            <w:tcW w:w="4940" w:type="dxa"/>
            <w:vAlign w:val="bottom"/>
          </w:tcPr>
          <w:p>
            <w:pPr>
              <w:ind w:left="440"/>
              <w:spacing w:after="0"/>
              <w:rPr>
                <w:sz w:val="20"/>
                <w:szCs w:val="20"/>
                <w:color w:val="auto"/>
              </w:rPr>
            </w:pPr>
            <w:r>
              <w:rPr>
                <w:rFonts w:ascii="Arial" w:cs="Arial" w:eastAsia="Arial" w:hAnsi="Arial"/>
                <w:sz w:val="22"/>
                <w:szCs w:val="22"/>
                <w:b w:val="1"/>
                <w:bCs w:val="1"/>
                <w:color w:val="0067B3"/>
              </w:rPr>
              <w:t>of Ernst &amp; Young LLP as Independent</w:t>
            </w:r>
          </w:p>
        </w:tc>
        <w:tc>
          <w:tcPr>
            <w:tcW w:w="50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-6716395</wp:posOffset>
            </wp:positionV>
            <wp:extent cx="128270" cy="12890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270" cy="128905"/>
                    </a:xfrm>
                    <a:prstGeom prst="rect">
                      <a:avLst/>
                    </a:prstGeom>
                    <a:noFill/>
                  </pic:spPr>
                </pic:pic>
              </a:graphicData>
            </a:graphic>
          </wp:anchor>
        </w:drawing>
        <w:drawing>
          <wp:anchor simplePos="0" relativeHeight="251657728" behindDoc="1" locked="0" layoutInCell="0" allowOverlap="1">
            <wp:simplePos x="0" y="0"/>
            <wp:positionH relativeFrom="column">
              <wp:posOffset>13335</wp:posOffset>
            </wp:positionH>
            <wp:positionV relativeFrom="paragraph">
              <wp:posOffset>-2592705</wp:posOffset>
            </wp:positionV>
            <wp:extent cx="128270"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270" cy="128905"/>
                    </a:xfrm>
                    <a:prstGeom prst="rect">
                      <a:avLst/>
                    </a:prstGeom>
                    <a:noFill/>
                  </pic:spPr>
                </pic:pic>
              </a:graphicData>
            </a:graphic>
          </wp:anchor>
        </w:drawing>
        <w:drawing>
          <wp:anchor simplePos="0" relativeHeight="251657728" behindDoc="1" locked="0" layoutInCell="0" allowOverlap="1">
            <wp:simplePos x="0" y="0"/>
            <wp:positionH relativeFrom="column">
              <wp:posOffset>13335</wp:posOffset>
            </wp:positionH>
            <wp:positionV relativeFrom="paragraph">
              <wp:posOffset>-329565</wp:posOffset>
            </wp:positionV>
            <wp:extent cx="128270" cy="12890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jc w:val="both"/>
        <w:ind w:left="440" w:right="620"/>
        <w:spacing w:after="0" w:line="254" w:lineRule="auto"/>
        <w:rPr>
          <w:sz w:val="20"/>
          <w:szCs w:val="20"/>
          <w:color w:val="auto"/>
        </w:rPr>
      </w:pPr>
      <w:r>
        <w:rPr>
          <w:rFonts w:ascii="Arial" w:cs="Arial" w:eastAsia="Arial" w:hAnsi="Arial"/>
          <w:sz w:val="22"/>
          <w:szCs w:val="22"/>
          <w:b w:val="1"/>
          <w:bCs w:val="1"/>
          <w:color w:val="0067B3"/>
        </w:rPr>
        <w:t>Registered Public Accounting Firm for the Company’s Fiscal Year Ending October 31,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3446145"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3446145"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9"/>
        </w:trPr>
        <w:tc>
          <w:tcPr>
            <w:tcW w:w="4800" w:type="dxa"/>
            <w:vAlign w:val="bottom"/>
          </w:tcPr>
          <w:p>
            <w:pPr>
              <w:ind w:left="20"/>
              <w:spacing w:after="0"/>
              <w:rPr>
                <w:sz w:val="20"/>
                <w:szCs w:val="20"/>
                <w:color w:val="auto"/>
              </w:rPr>
            </w:pPr>
            <w:r>
              <w:rPr>
                <w:rFonts w:ascii="Arial" w:cs="Arial" w:eastAsia="Arial" w:hAnsi="Arial"/>
                <w:sz w:val="18"/>
                <w:szCs w:val="18"/>
                <w:color w:val="auto"/>
              </w:rPr>
              <w:t>Overview</w:t>
            </w:r>
          </w:p>
        </w:tc>
        <w:tc>
          <w:tcPr>
            <w:tcW w:w="640" w:type="dxa"/>
            <w:vAlign w:val="bottom"/>
          </w:tcPr>
          <w:p>
            <w:pPr>
              <w:jc w:val="center"/>
              <w:spacing w:after="0"/>
              <w:rPr>
                <w:sz w:val="20"/>
                <w:szCs w:val="20"/>
                <w:color w:val="auto"/>
              </w:rPr>
            </w:pPr>
            <w:r>
              <w:rPr>
                <w:rFonts w:ascii="Arial" w:cs="Arial" w:eastAsia="Arial" w:hAnsi="Arial"/>
                <w:sz w:val="18"/>
                <w:szCs w:val="18"/>
                <w:color w:val="auto"/>
                <w:w w:val="99"/>
              </w:rPr>
              <w:t>72</w:t>
            </w:r>
          </w:p>
        </w:tc>
      </w:tr>
      <w:tr>
        <w:trPr>
          <w:trHeight w:val="270"/>
        </w:trPr>
        <w:tc>
          <w:tcPr>
            <w:tcW w:w="4800" w:type="dxa"/>
            <w:vAlign w:val="bottom"/>
          </w:tcPr>
          <w:p>
            <w:pPr>
              <w:ind w:left="20"/>
              <w:spacing w:after="0"/>
              <w:rPr>
                <w:sz w:val="20"/>
                <w:szCs w:val="20"/>
                <w:color w:val="auto"/>
              </w:rPr>
            </w:pPr>
            <w:r>
              <w:rPr>
                <w:rFonts w:ascii="Arial" w:cs="Arial" w:eastAsia="Arial" w:hAnsi="Arial"/>
                <w:sz w:val="18"/>
                <w:szCs w:val="18"/>
                <w:color w:val="auto"/>
              </w:rPr>
              <w:t>Independent Registered Public Accounting Firm Fees</w:t>
            </w:r>
          </w:p>
        </w:tc>
        <w:tc>
          <w:tcPr>
            <w:tcW w:w="640" w:type="dxa"/>
            <w:vAlign w:val="bottom"/>
          </w:tcPr>
          <w:p>
            <w:pPr>
              <w:jc w:val="center"/>
              <w:spacing w:after="0"/>
              <w:rPr>
                <w:sz w:val="20"/>
                <w:szCs w:val="20"/>
                <w:color w:val="auto"/>
              </w:rPr>
            </w:pPr>
            <w:r>
              <w:rPr>
                <w:rFonts w:ascii="Arial" w:cs="Arial" w:eastAsia="Arial" w:hAnsi="Arial"/>
                <w:sz w:val="18"/>
                <w:szCs w:val="18"/>
                <w:color w:val="auto"/>
                <w:w w:val="99"/>
              </w:rPr>
              <w:t>73</w:t>
            </w:r>
          </w:p>
        </w:tc>
      </w:tr>
      <w:tr>
        <w:trPr>
          <w:trHeight w:val="270"/>
        </w:trPr>
        <w:tc>
          <w:tcPr>
            <w:tcW w:w="4800" w:type="dxa"/>
            <w:vAlign w:val="bottom"/>
          </w:tcPr>
          <w:p>
            <w:pPr>
              <w:ind w:left="20"/>
              <w:spacing w:after="0"/>
              <w:rPr>
                <w:sz w:val="20"/>
                <w:szCs w:val="20"/>
                <w:color w:val="auto"/>
              </w:rPr>
            </w:pPr>
            <w:r>
              <w:rPr>
                <w:rFonts w:ascii="Arial" w:cs="Arial" w:eastAsia="Arial" w:hAnsi="Arial"/>
                <w:sz w:val="18"/>
                <w:szCs w:val="18"/>
                <w:color w:val="auto"/>
              </w:rPr>
              <w:t>Audit Committee’s Pre-Approval Policy and Procedures</w:t>
            </w:r>
          </w:p>
        </w:tc>
        <w:tc>
          <w:tcPr>
            <w:tcW w:w="640" w:type="dxa"/>
            <w:vAlign w:val="bottom"/>
          </w:tcPr>
          <w:p>
            <w:pPr>
              <w:jc w:val="center"/>
              <w:spacing w:after="0"/>
              <w:rPr>
                <w:sz w:val="20"/>
                <w:szCs w:val="20"/>
                <w:color w:val="auto"/>
              </w:rPr>
            </w:pPr>
            <w:r>
              <w:rPr>
                <w:rFonts w:ascii="Arial" w:cs="Arial" w:eastAsia="Arial" w:hAnsi="Arial"/>
                <w:sz w:val="18"/>
                <w:szCs w:val="18"/>
                <w:color w:val="auto"/>
                <w:w w:val="99"/>
              </w:rPr>
              <w:t>74</w:t>
            </w:r>
          </w:p>
        </w:tc>
      </w:tr>
      <w:tr>
        <w:trPr>
          <w:trHeight w:val="270"/>
        </w:trPr>
        <w:tc>
          <w:tcPr>
            <w:tcW w:w="4800" w:type="dxa"/>
            <w:vAlign w:val="bottom"/>
          </w:tcPr>
          <w:p>
            <w:pPr>
              <w:ind w:left="20"/>
              <w:spacing w:after="0"/>
              <w:rPr>
                <w:sz w:val="20"/>
                <w:szCs w:val="20"/>
                <w:color w:val="auto"/>
              </w:rPr>
            </w:pPr>
            <w:r>
              <w:rPr>
                <w:rFonts w:ascii="Arial" w:cs="Arial" w:eastAsia="Arial" w:hAnsi="Arial"/>
                <w:sz w:val="18"/>
                <w:szCs w:val="18"/>
                <w:color w:val="auto"/>
              </w:rPr>
              <w:t>Audit Committee Report</w:t>
            </w:r>
          </w:p>
        </w:tc>
        <w:tc>
          <w:tcPr>
            <w:tcW w:w="640" w:type="dxa"/>
            <w:vAlign w:val="bottom"/>
          </w:tcPr>
          <w:p>
            <w:pPr>
              <w:jc w:val="center"/>
              <w:spacing w:after="0"/>
              <w:rPr>
                <w:sz w:val="20"/>
                <w:szCs w:val="20"/>
                <w:color w:val="auto"/>
              </w:rPr>
            </w:pPr>
            <w:r>
              <w:rPr>
                <w:rFonts w:ascii="Arial" w:cs="Arial" w:eastAsia="Arial" w:hAnsi="Arial"/>
                <w:sz w:val="18"/>
                <w:szCs w:val="18"/>
                <w:color w:val="auto"/>
                <w:w w:val="99"/>
              </w:rPr>
              <w:t>74</w:t>
            </w:r>
          </w:p>
        </w:tc>
      </w:tr>
      <w:tr>
        <w:trPr>
          <w:trHeight w:val="440"/>
        </w:trPr>
        <w:tc>
          <w:tcPr>
            <w:tcW w:w="4800" w:type="dxa"/>
            <w:vAlign w:val="bottom"/>
          </w:tcPr>
          <w:p>
            <w:pPr>
              <w:ind w:left="20"/>
              <w:spacing w:after="0"/>
              <w:rPr>
                <w:sz w:val="20"/>
                <w:szCs w:val="20"/>
                <w:color w:val="auto"/>
              </w:rPr>
            </w:pPr>
            <w:r>
              <w:rPr>
                <w:rFonts w:ascii="Arial" w:cs="Arial" w:eastAsia="Arial" w:hAnsi="Arial"/>
                <w:sz w:val="22"/>
                <w:szCs w:val="22"/>
                <w:b w:val="1"/>
                <w:bCs w:val="1"/>
                <w:color w:val="0067B3"/>
              </w:rPr>
              <w:t>Beneficial Ownership of Common Stock</w:t>
            </w:r>
          </w:p>
        </w:tc>
        <w:tc>
          <w:tcPr>
            <w:tcW w:w="640" w:type="dxa"/>
            <w:vAlign w:val="bottom"/>
          </w:tcPr>
          <w:p>
            <w:pPr>
              <w:jc w:val="center"/>
              <w:spacing w:after="0"/>
              <w:rPr>
                <w:sz w:val="20"/>
                <w:szCs w:val="20"/>
                <w:color w:val="auto"/>
              </w:rPr>
            </w:pPr>
            <w:r>
              <w:rPr>
                <w:rFonts w:ascii="Arial" w:cs="Arial" w:eastAsia="Arial" w:hAnsi="Arial"/>
                <w:sz w:val="18"/>
                <w:szCs w:val="18"/>
                <w:color w:val="auto"/>
                <w:w w:val="99"/>
              </w:rPr>
              <w:t>75</w:t>
            </w:r>
          </w:p>
        </w:tc>
      </w:tr>
      <w:tr>
        <w:trPr>
          <w:trHeight w:val="109"/>
        </w:trPr>
        <w:tc>
          <w:tcPr>
            <w:tcW w:w="4800" w:type="dxa"/>
            <w:vAlign w:val="bottom"/>
            <w:tcBorders>
              <w:bottom w:val="single" w:sz="8" w:color="939598"/>
            </w:tcBorders>
          </w:tcPr>
          <w:p>
            <w:pPr>
              <w:spacing w:after="0"/>
              <w:rPr>
                <w:sz w:val="9"/>
                <w:szCs w:val="9"/>
                <w:color w:val="auto"/>
              </w:rPr>
            </w:pPr>
          </w:p>
        </w:tc>
        <w:tc>
          <w:tcPr>
            <w:tcW w:w="640" w:type="dxa"/>
            <w:vAlign w:val="bottom"/>
            <w:tcBorders>
              <w:bottom w:val="single" w:sz="8" w:color="939598"/>
            </w:tcBorders>
          </w:tcPr>
          <w:p>
            <w:pPr>
              <w:spacing w:after="0"/>
              <w:rPr>
                <w:sz w:val="9"/>
                <w:szCs w:val="9"/>
                <w:color w:val="auto"/>
              </w:rPr>
            </w:pPr>
          </w:p>
        </w:tc>
      </w:tr>
      <w:tr>
        <w:trPr>
          <w:trHeight w:val="281"/>
        </w:trPr>
        <w:tc>
          <w:tcPr>
            <w:tcW w:w="4800" w:type="dxa"/>
            <w:vAlign w:val="bottom"/>
          </w:tcPr>
          <w:p>
            <w:pPr>
              <w:ind w:left="20"/>
              <w:spacing w:after="0"/>
              <w:rPr>
                <w:sz w:val="20"/>
                <w:szCs w:val="20"/>
                <w:color w:val="auto"/>
              </w:rPr>
            </w:pPr>
            <w:r>
              <w:rPr>
                <w:rFonts w:ascii="Arial" w:cs="Arial" w:eastAsia="Arial" w:hAnsi="Arial"/>
                <w:sz w:val="18"/>
                <w:szCs w:val="18"/>
                <w:color w:val="auto"/>
              </w:rPr>
              <w:t>Security Ownership of Certain Beneficial Owners</w:t>
            </w:r>
          </w:p>
        </w:tc>
        <w:tc>
          <w:tcPr>
            <w:tcW w:w="640" w:type="dxa"/>
            <w:vAlign w:val="bottom"/>
          </w:tcPr>
          <w:p>
            <w:pPr>
              <w:jc w:val="center"/>
              <w:spacing w:after="0"/>
              <w:rPr>
                <w:sz w:val="20"/>
                <w:szCs w:val="20"/>
                <w:color w:val="auto"/>
              </w:rPr>
            </w:pPr>
            <w:r>
              <w:rPr>
                <w:rFonts w:ascii="Arial" w:cs="Arial" w:eastAsia="Arial" w:hAnsi="Arial"/>
                <w:sz w:val="18"/>
                <w:szCs w:val="18"/>
                <w:color w:val="auto"/>
                <w:w w:val="99"/>
              </w:rPr>
              <w:t>75</w:t>
            </w:r>
          </w:p>
        </w:tc>
      </w:tr>
      <w:tr>
        <w:trPr>
          <w:trHeight w:val="270"/>
        </w:trPr>
        <w:tc>
          <w:tcPr>
            <w:tcW w:w="4800" w:type="dxa"/>
            <w:vAlign w:val="bottom"/>
          </w:tcPr>
          <w:p>
            <w:pPr>
              <w:ind w:left="20"/>
              <w:spacing w:after="0"/>
              <w:rPr>
                <w:sz w:val="20"/>
                <w:szCs w:val="20"/>
                <w:color w:val="auto"/>
              </w:rPr>
            </w:pPr>
            <w:r>
              <w:rPr>
                <w:rFonts w:ascii="Arial" w:cs="Arial" w:eastAsia="Arial" w:hAnsi="Arial"/>
                <w:sz w:val="18"/>
                <w:szCs w:val="18"/>
                <w:color w:val="auto"/>
              </w:rPr>
              <w:t>Security Ownership of Directors and Executive Officers</w:t>
            </w:r>
          </w:p>
        </w:tc>
        <w:tc>
          <w:tcPr>
            <w:tcW w:w="640" w:type="dxa"/>
            <w:vAlign w:val="bottom"/>
          </w:tcPr>
          <w:p>
            <w:pPr>
              <w:jc w:val="center"/>
              <w:spacing w:after="0"/>
              <w:rPr>
                <w:sz w:val="20"/>
                <w:szCs w:val="20"/>
                <w:color w:val="auto"/>
              </w:rPr>
            </w:pPr>
            <w:r>
              <w:rPr>
                <w:rFonts w:ascii="Arial" w:cs="Arial" w:eastAsia="Arial" w:hAnsi="Arial"/>
                <w:sz w:val="18"/>
                <w:szCs w:val="18"/>
                <w:color w:val="auto"/>
                <w:w w:val="99"/>
              </w:rPr>
              <w:t>76</w:t>
            </w:r>
          </w:p>
        </w:tc>
      </w:tr>
      <w:tr>
        <w:trPr>
          <w:trHeight w:val="270"/>
        </w:trPr>
        <w:tc>
          <w:tcPr>
            <w:tcW w:w="4800" w:type="dxa"/>
            <w:vAlign w:val="bottom"/>
          </w:tcPr>
          <w:p>
            <w:pPr>
              <w:ind w:left="20"/>
              <w:spacing w:after="0"/>
              <w:rPr>
                <w:sz w:val="20"/>
                <w:szCs w:val="20"/>
                <w:color w:val="auto"/>
              </w:rPr>
            </w:pPr>
            <w:r>
              <w:rPr>
                <w:rFonts w:ascii="Arial" w:cs="Arial" w:eastAsia="Arial" w:hAnsi="Arial"/>
                <w:sz w:val="18"/>
                <w:szCs w:val="18"/>
                <w:color w:val="auto"/>
              </w:rPr>
              <w:t>Delinquent Section 16(a) Reports</w:t>
            </w:r>
          </w:p>
        </w:tc>
        <w:tc>
          <w:tcPr>
            <w:tcW w:w="640" w:type="dxa"/>
            <w:vAlign w:val="bottom"/>
          </w:tcPr>
          <w:p>
            <w:pPr>
              <w:jc w:val="center"/>
              <w:spacing w:after="0"/>
              <w:rPr>
                <w:sz w:val="20"/>
                <w:szCs w:val="20"/>
                <w:color w:val="auto"/>
              </w:rPr>
            </w:pPr>
            <w:r>
              <w:rPr>
                <w:rFonts w:ascii="Arial" w:cs="Arial" w:eastAsia="Arial" w:hAnsi="Arial"/>
                <w:sz w:val="18"/>
                <w:szCs w:val="18"/>
                <w:color w:val="auto"/>
                <w:w w:val="99"/>
              </w:rPr>
              <w:t>77</w:t>
            </w:r>
          </w:p>
        </w:tc>
      </w:tr>
      <w:tr>
        <w:trPr>
          <w:trHeight w:val="270"/>
        </w:trPr>
        <w:tc>
          <w:tcPr>
            <w:tcW w:w="4800" w:type="dxa"/>
            <w:vAlign w:val="bottom"/>
          </w:tcPr>
          <w:p>
            <w:pPr>
              <w:ind w:left="20"/>
              <w:spacing w:after="0"/>
              <w:rPr>
                <w:sz w:val="20"/>
                <w:szCs w:val="20"/>
                <w:color w:val="auto"/>
              </w:rPr>
            </w:pPr>
            <w:r>
              <w:rPr>
                <w:rFonts w:ascii="Arial" w:cs="Arial" w:eastAsia="Arial" w:hAnsi="Arial"/>
                <w:sz w:val="18"/>
                <w:szCs w:val="18"/>
                <w:color w:val="auto"/>
              </w:rPr>
              <w:t>Equity Award Program Description</w:t>
            </w:r>
          </w:p>
        </w:tc>
        <w:tc>
          <w:tcPr>
            <w:tcW w:w="640" w:type="dxa"/>
            <w:vAlign w:val="bottom"/>
          </w:tcPr>
          <w:p>
            <w:pPr>
              <w:jc w:val="center"/>
              <w:spacing w:after="0"/>
              <w:rPr>
                <w:sz w:val="20"/>
                <w:szCs w:val="20"/>
                <w:color w:val="auto"/>
              </w:rPr>
            </w:pPr>
            <w:r>
              <w:rPr>
                <w:rFonts w:ascii="Arial" w:cs="Arial" w:eastAsia="Arial" w:hAnsi="Arial"/>
                <w:sz w:val="18"/>
                <w:szCs w:val="18"/>
                <w:color w:val="auto"/>
                <w:w w:val="99"/>
              </w:rPr>
              <w:t>77</w:t>
            </w:r>
          </w:p>
        </w:tc>
      </w:tr>
      <w:tr>
        <w:trPr>
          <w:trHeight w:val="247"/>
        </w:trPr>
        <w:tc>
          <w:tcPr>
            <w:tcW w:w="4800" w:type="dxa"/>
            <w:vAlign w:val="bottom"/>
          </w:tcPr>
          <w:p>
            <w:pPr>
              <w:ind w:left="20"/>
              <w:spacing w:after="0"/>
              <w:rPr>
                <w:sz w:val="20"/>
                <w:szCs w:val="20"/>
                <w:color w:val="auto"/>
              </w:rPr>
            </w:pPr>
            <w:r>
              <w:rPr>
                <w:rFonts w:ascii="Arial" w:cs="Arial" w:eastAsia="Arial" w:hAnsi="Arial"/>
                <w:sz w:val="18"/>
                <w:szCs w:val="18"/>
                <w:color w:val="auto"/>
              </w:rPr>
              <w:t>Securities Authorized for Issuance under Equity</w:t>
            </w:r>
          </w:p>
        </w:tc>
        <w:tc>
          <w:tcPr>
            <w:tcW w:w="640" w:type="dxa"/>
            <w:vAlign w:val="bottom"/>
          </w:tcPr>
          <w:p>
            <w:pPr>
              <w:spacing w:after="0"/>
              <w:rPr>
                <w:sz w:val="21"/>
                <w:szCs w:val="21"/>
                <w:color w:val="auto"/>
              </w:rPr>
            </w:pPr>
          </w:p>
        </w:tc>
      </w:tr>
      <w:tr>
        <w:trPr>
          <w:trHeight w:val="239"/>
        </w:trPr>
        <w:tc>
          <w:tcPr>
            <w:tcW w:w="4800" w:type="dxa"/>
            <w:vAlign w:val="bottom"/>
          </w:tcPr>
          <w:p>
            <w:pPr>
              <w:ind w:left="20"/>
              <w:spacing w:after="0"/>
              <w:rPr>
                <w:sz w:val="20"/>
                <w:szCs w:val="20"/>
                <w:color w:val="auto"/>
              </w:rPr>
            </w:pPr>
            <w:r>
              <w:rPr>
                <w:rFonts w:ascii="Arial" w:cs="Arial" w:eastAsia="Arial" w:hAnsi="Arial"/>
                <w:sz w:val="18"/>
                <w:szCs w:val="18"/>
                <w:color w:val="auto"/>
              </w:rPr>
              <w:t>Compensation Plans</w:t>
            </w:r>
          </w:p>
        </w:tc>
        <w:tc>
          <w:tcPr>
            <w:tcW w:w="640" w:type="dxa"/>
            <w:vAlign w:val="bottom"/>
          </w:tcPr>
          <w:p>
            <w:pPr>
              <w:jc w:val="center"/>
              <w:spacing w:after="0"/>
              <w:rPr>
                <w:sz w:val="20"/>
                <w:szCs w:val="20"/>
                <w:color w:val="auto"/>
              </w:rPr>
            </w:pPr>
            <w:r>
              <w:rPr>
                <w:rFonts w:ascii="Arial" w:cs="Arial" w:eastAsia="Arial" w:hAnsi="Arial"/>
                <w:sz w:val="18"/>
                <w:szCs w:val="18"/>
                <w:color w:val="auto"/>
                <w:w w:val="99"/>
              </w:rPr>
              <w:t>78</w:t>
            </w:r>
          </w:p>
        </w:tc>
      </w:tr>
      <w:tr>
        <w:trPr>
          <w:trHeight w:val="494"/>
        </w:trPr>
        <w:tc>
          <w:tcPr>
            <w:tcW w:w="4800" w:type="dxa"/>
            <w:vAlign w:val="bottom"/>
          </w:tcPr>
          <w:p>
            <w:pPr>
              <w:ind w:left="440"/>
              <w:spacing w:after="0"/>
              <w:rPr>
                <w:sz w:val="20"/>
                <w:szCs w:val="20"/>
                <w:color w:val="auto"/>
              </w:rPr>
            </w:pPr>
            <w:r>
              <w:rPr>
                <w:rFonts w:ascii="Arial" w:cs="Arial" w:eastAsia="Arial" w:hAnsi="Arial"/>
                <w:sz w:val="22"/>
                <w:szCs w:val="22"/>
                <w:b w:val="1"/>
                <w:bCs w:val="1"/>
                <w:color w:val="0067B3"/>
              </w:rPr>
              <w:t>Proposal 4 — Approval of the Amended</w:t>
            </w:r>
          </w:p>
        </w:tc>
        <w:tc>
          <w:tcPr>
            <w:tcW w:w="640" w:type="dxa"/>
            <w:vAlign w:val="bottom"/>
          </w:tcPr>
          <w:p>
            <w:pPr>
              <w:jc w:val="center"/>
              <w:spacing w:after="0"/>
              <w:rPr>
                <w:sz w:val="20"/>
                <w:szCs w:val="20"/>
                <w:color w:val="auto"/>
              </w:rPr>
            </w:pPr>
            <w:r>
              <w:rPr>
                <w:rFonts w:ascii="Arial" w:cs="Arial" w:eastAsia="Arial" w:hAnsi="Arial"/>
                <w:sz w:val="22"/>
                <w:szCs w:val="22"/>
                <w:b w:val="1"/>
                <w:bCs w:val="1"/>
                <w:color w:val="0067B3"/>
                <w:w w:val="97"/>
              </w:rPr>
              <w:t>79</w:t>
            </w:r>
          </w:p>
        </w:tc>
      </w:tr>
      <w:tr>
        <w:trPr>
          <w:trHeight w:val="257"/>
        </w:trPr>
        <w:tc>
          <w:tcPr>
            <w:tcW w:w="4800" w:type="dxa"/>
            <w:vAlign w:val="bottom"/>
          </w:tcPr>
          <w:p>
            <w:pPr>
              <w:ind w:left="440"/>
              <w:spacing w:after="0"/>
              <w:rPr>
                <w:sz w:val="20"/>
                <w:szCs w:val="20"/>
                <w:color w:val="auto"/>
              </w:rPr>
            </w:pPr>
            <w:r>
              <w:rPr>
                <w:rFonts w:ascii="Arial" w:cs="Arial" w:eastAsia="Arial" w:hAnsi="Arial"/>
                <w:sz w:val="22"/>
                <w:szCs w:val="22"/>
                <w:b w:val="1"/>
                <w:bCs w:val="1"/>
                <w:color w:val="0067B3"/>
              </w:rPr>
              <w:t>and Restated Analog Devices, Inc. 2020</w:t>
            </w:r>
          </w:p>
        </w:tc>
        <w:tc>
          <w:tcPr>
            <w:tcW w:w="640" w:type="dxa"/>
            <w:vAlign w:val="bottom"/>
          </w:tcPr>
          <w:p>
            <w:pPr>
              <w:spacing w:after="0"/>
              <w:rPr>
                <w:sz w:val="22"/>
                <w:szCs w:val="22"/>
                <w:color w:val="auto"/>
              </w:rPr>
            </w:pPr>
          </w:p>
        </w:tc>
      </w:tr>
      <w:tr>
        <w:trPr>
          <w:trHeight w:val="297"/>
        </w:trPr>
        <w:tc>
          <w:tcPr>
            <w:tcW w:w="4800" w:type="dxa"/>
            <w:vAlign w:val="bottom"/>
          </w:tcPr>
          <w:p>
            <w:pPr>
              <w:ind w:left="440"/>
              <w:spacing w:after="0"/>
              <w:rPr>
                <w:sz w:val="20"/>
                <w:szCs w:val="20"/>
                <w:color w:val="auto"/>
              </w:rPr>
            </w:pPr>
            <w:r>
              <w:rPr>
                <w:rFonts w:ascii="Arial" w:cs="Arial" w:eastAsia="Arial" w:hAnsi="Arial"/>
                <w:sz w:val="22"/>
                <w:szCs w:val="22"/>
                <w:b w:val="1"/>
                <w:bCs w:val="1"/>
                <w:color w:val="0067B3"/>
              </w:rPr>
              <w:t>Equity Incentive Plan</w:t>
            </w:r>
          </w:p>
        </w:tc>
        <w:tc>
          <w:tcPr>
            <w:tcW w:w="640" w:type="dxa"/>
            <w:vAlign w:val="bottom"/>
          </w:tcPr>
          <w:p>
            <w:pPr>
              <w:spacing w:after="0"/>
              <w:rPr>
                <w:sz w:val="24"/>
                <w:szCs w:val="24"/>
                <w:color w:val="auto"/>
              </w:rPr>
            </w:pPr>
          </w:p>
        </w:tc>
      </w:tr>
      <w:tr>
        <w:trPr>
          <w:trHeight w:val="123"/>
        </w:trPr>
        <w:tc>
          <w:tcPr>
            <w:tcW w:w="4800" w:type="dxa"/>
            <w:vAlign w:val="bottom"/>
            <w:tcBorders>
              <w:bottom w:val="single" w:sz="8" w:color="0067B3"/>
            </w:tcBorders>
          </w:tcPr>
          <w:p>
            <w:pPr>
              <w:spacing w:after="0"/>
              <w:rPr>
                <w:sz w:val="10"/>
                <w:szCs w:val="10"/>
                <w:color w:val="auto"/>
              </w:rPr>
            </w:pPr>
          </w:p>
        </w:tc>
        <w:tc>
          <w:tcPr>
            <w:tcW w:w="640" w:type="dxa"/>
            <w:vAlign w:val="bottom"/>
            <w:tcBorders>
              <w:bottom w:val="single" w:sz="8" w:color="0067B3"/>
            </w:tcBorders>
          </w:tcPr>
          <w:p>
            <w:pPr>
              <w:spacing w:after="0"/>
              <w:rPr>
                <w:sz w:val="10"/>
                <w:szCs w:val="10"/>
                <w:color w:val="auto"/>
              </w:rPr>
            </w:pPr>
          </w:p>
        </w:tc>
      </w:tr>
      <w:tr>
        <w:trPr>
          <w:trHeight w:val="258"/>
        </w:trPr>
        <w:tc>
          <w:tcPr>
            <w:tcW w:w="4800" w:type="dxa"/>
            <w:vAlign w:val="bottom"/>
          </w:tcPr>
          <w:p>
            <w:pPr>
              <w:ind w:left="20"/>
              <w:spacing w:after="0"/>
              <w:rPr>
                <w:sz w:val="20"/>
                <w:szCs w:val="20"/>
                <w:color w:val="auto"/>
              </w:rPr>
            </w:pPr>
            <w:r>
              <w:rPr>
                <w:rFonts w:ascii="Arial" w:cs="Arial" w:eastAsia="Arial" w:hAnsi="Arial"/>
                <w:sz w:val="18"/>
                <w:szCs w:val="18"/>
                <w:color w:val="auto"/>
              </w:rPr>
              <w:t>Why We Are Requesting Shareholder Approval of the</w:t>
            </w:r>
          </w:p>
        </w:tc>
        <w:tc>
          <w:tcPr>
            <w:tcW w:w="640" w:type="dxa"/>
            <w:vAlign w:val="bottom"/>
          </w:tcPr>
          <w:p>
            <w:pPr>
              <w:spacing w:after="0"/>
              <w:rPr>
                <w:sz w:val="22"/>
                <w:szCs w:val="22"/>
                <w:color w:val="auto"/>
              </w:rPr>
            </w:pPr>
          </w:p>
        </w:tc>
      </w:tr>
      <w:tr>
        <w:trPr>
          <w:trHeight w:val="216"/>
        </w:trPr>
        <w:tc>
          <w:tcPr>
            <w:tcW w:w="4800" w:type="dxa"/>
            <w:vAlign w:val="bottom"/>
          </w:tcPr>
          <w:p>
            <w:pPr>
              <w:ind w:left="20"/>
              <w:spacing w:after="0"/>
              <w:rPr>
                <w:sz w:val="20"/>
                <w:szCs w:val="20"/>
                <w:color w:val="auto"/>
              </w:rPr>
            </w:pPr>
            <w:r>
              <w:rPr>
                <w:rFonts w:ascii="Arial" w:cs="Arial" w:eastAsia="Arial" w:hAnsi="Arial"/>
                <w:sz w:val="18"/>
                <w:szCs w:val="18"/>
                <w:color w:val="auto"/>
              </w:rPr>
              <w:t>Amended and Restated Analog Devices, Inc. 2020 Equity</w:t>
            </w:r>
          </w:p>
        </w:tc>
        <w:tc>
          <w:tcPr>
            <w:tcW w:w="640" w:type="dxa"/>
            <w:vAlign w:val="bottom"/>
          </w:tcPr>
          <w:p>
            <w:pPr>
              <w:spacing w:after="0"/>
              <w:rPr>
                <w:sz w:val="18"/>
                <w:szCs w:val="18"/>
                <w:color w:val="auto"/>
              </w:rPr>
            </w:pPr>
          </w:p>
        </w:tc>
      </w:tr>
      <w:tr>
        <w:trPr>
          <w:trHeight w:val="239"/>
        </w:trPr>
        <w:tc>
          <w:tcPr>
            <w:tcW w:w="4800" w:type="dxa"/>
            <w:vAlign w:val="bottom"/>
          </w:tcPr>
          <w:p>
            <w:pPr>
              <w:ind w:left="20"/>
              <w:spacing w:after="0"/>
              <w:rPr>
                <w:sz w:val="20"/>
                <w:szCs w:val="20"/>
                <w:color w:val="auto"/>
              </w:rPr>
            </w:pPr>
            <w:r>
              <w:rPr>
                <w:rFonts w:ascii="Arial" w:cs="Arial" w:eastAsia="Arial" w:hAnsi="Arial"/>
                <w:sz w:val="18"/>
                <w:szCs w:val="18"/>
                <w:color w:val="auto"/>
              </w:rPr>
              <w:t>Incentive Plan</w:t>
            </w:r>
          </w:p>
        </w:tc>
        <w:tc>
          <w:tcPr>
            <w:tcW w:w="640" w:type="dxa"/>
            <w:vAlign w:val="bottom"/>
          </w:tcPr>
          <w:p>
            <w:pPr>
              <w:jc w:val="center"/>
              <w:spacing w:after="0"/>
              <w:rPr>
                <w:sz w:val="20"/>
                <w:szCs w:val="20"/>
                <w:color w:val="auto"/>
              </w:rPr>
            </w:pPr>
            <w:r>
              <w:rPr>
                <w:rFonts w:ascii="Arial" w:cs="Arial" w:eastAsia="Arial" w:hAnsi="Arial"/>
                <w:sz w:val="18"/>
                <w:szCs w:val="18"/>
                <w:color w:val="auto"/>
                <w:w w:val="99"/>
              </w:rPr>
              <w:t>79</w:t>
            </w:r>
          </w:p>
        </w:tc>
      </w:tr>
      <w:tr>
        <w:trPr>
          <w:trHeight w:val="270"/>
        </w:trPr>
        <w:tc>
          <w:tcPr>
            <w:tcW w:w="4800" w:type="dxa"/>
            <w:vAlign w:val="bottom"/>
          </w:tcPr>
          <w:p>
            <w:pPr>
              <w:ind w:left="20"/>
              <w:spacing w:after="0"/>
              <w:rPr>
                <w:sz w:val="20"/>
                <w:szCs w:val="20"/>
                <w:color w:val="auto"/>
              </w:rPr>
            </w:pPr>
            <w:r>
              <w:rPr>
                <w:rFonts w:ascii="Arial" w:cs="Arial" w:eastAsia="Arial" w:hAnsi="Arial"/>
                <w:sz w:val="18"/>
                <w:szCs w:val="18"/>
                <w:color w:val="auto"/>
              </w:rPr>
              <w:t>Highlights of the Amended 2020 Plan</w:t>
            </w:r>
          </w:p>
        </w:tc>
        <w:tc>
          <w:tcPr>
            <w:tcW w:w="640" w:type="dxa"/>
            <w:vAlign w:val="bottom"/>
          </w:tcPr>
          <w:p>
            <w:pPr>
              <w:jc w:val="center"/>
              <w:spacing w:after="0"/>
              <w:rPr>
                <w:sz w:val="20"/>
                <w:szCs w:val="20"/>
                <w:color w:val="auto"/>
              </w:rPr>
            </w:pPr>
            <w:r>
              <w:rPr>
                <w:rFonts w:ascii="Arial" w:cs="Arial" w:eastAsia="Arial" w:hAnsi="Arial"/>
                <w:sz w:val="18"/>
                <w:szCs w:val="18"/>
                <w:color w:val="auto"/>
                <w:w w:val="99"/>
              </w:rPr>
              <w:t>80</w:t>
            </w:r>
          </w:p>
        </w:tc>
      </w:tr>
      <w:tr>
        <w:trPr>
          <w:trHeight w:val="270"/>
        </w:trPr>
        <w:tc>
          <w:tcPr>
            <w:tcW w:w="4800" w:type="dxa"/>
            <w:vAlign w:val="bottom"/>
          </w:tcPr>
          <w:p>
            <w:pPr>
              <w:ind w:left="20"/>
              <w:spacing w:after="0"/>
              <w:rPr>
                <w:sz w:val="20"/>
                <w:szCs w:val="20"/>
                <w:color w:val="auto"/>
              </w:rPr>
            </w:pPr>
            <w:r>
              <w:rPr>
                <w:rFonts w:ascii="Arial" w:cs="Arial" w:eastAsia="Arial" w:hAnsi="Arial"/>
                <w:sz w:val="18"/>
                <w:szCs w:val="18"/>
                <w:color w:val="auto"/>
              </w:rPr>
              <w:t>Information Regarding Overhang and Dilution</w:t>
            </w:r>
          </w:p>
        </w:tc>
        <w:tc>
          <w:tcPr>
            <w:tcW w:w="640" w:type="dxa"/>
            <w:vAlign w:val="bottom"/>
          </w:tcPr>
          <w:p>
            <w:pPr>
              <w:jc w:val="center"/>
              <w:spacing w:after="0"/>
              <w:rPr>
                <w:sz w:val="20"/>
                <w:szCs w:val="20"/>
                <w:color w:val="auto"/>
              </w:rPr>
            </w:pPr>
            <w:r>
              <w:rPr>
                <w:rFonts w:ascii="Arial" w:cs="Arial" w:eastAsia="Arial" w:hAnsi="Arial"/>
                <w:sz w:val="18"/>
                <w:szCs w:val="18"/>
                <w:color w:val="auto"/>
                <w:w w:val="99"/>
              </w:rPr>
              <w:t>81</w:t>
            </w:r>
          </w:p>
        </w:tc>
      </w:tr>
      <w:tr>
        <w:trPr>
          <w:trHeight w:val="270"/>
        </w:trPr>
        <w:tc>
          <w:tcPr>
            <w:tcW w:w="4800" w:type="dxa"/>
            <w:vAlign w:val="bottom"/>
          </w:tcPr>
          <w:p>
            <w:pPr>
              <w:ind w:left="20"/>
              <w:spacing w:after="0"/>
              <w:rPr>
                <w:sz w:val="20"/>
                <w:szCs w:val="20"/>
                <w:color w:val="auto"/>
              </w:rPr>
            </w:pPr>
            <w:r>
              <w:rPr>
                <w:rFonts w:ascii="Arial" w:cs="Arial" w:eastAsia="Arial" w:hAnsi="Arial"/>
                <w:sz w:val="18"/>
                <w:szCs w:val="18"/>
                <w:color w:val="auto"/>
              </w:rPr>
              <w:t>Description of the Amended 2020 Plan</w:t>
            </w:r>
          </w:p>
        </w:tc>
        <w:tc>
          <w:tcPr>
            <w:tcW w:w="640" w:type="dxa"/>
            <w:vAlign w:val="bottom"/>
          </w:tcPr>
          <w:p>
            <w:pPr>
              <w:jc w:val="center"/>
              <w:spacing w:after="0"/>
              <w:rPr>
                <w:sz w:val="20"/>
                <w:szCs w:val="20"/>
                <w:color w:val="auto"/>
              </w:rPr>
            </w:pPr>
            <w:r>
              <w:rPr>
                <w:rFonts w:ascii="Arial" w:cs="Arial" w:eastAsia="Arial" w:hAnsi="Arial"/>
                <w:sz w:val="18"/>
                <w:szCs w:val="18"/>
                <w:color w:val="auto"/>
                <w:w w:val="99"/>
              </w:rPr>
              <w:t>81</w:t>
            </w:r>
          </w:p>
        </w:tc>
      </w:tr>
      <w:tr>
        <w:trPr>
          <w:trHeight w:val="535"/>
        </w:trPr>
        <w:tc>
          <w:tcPr>
            <w:tcW w:w="4800" w:type="dxa"/>
            <w:vAlign w:val="bottom"/>
          </w:tcPr>
          <w:p>
            <w:pPr>
              <w:ind w:left="440"/>
              <w:spacing w:after="0"/>
              <w:rPr>
                <w:sz w:val="20"/>
                <w:szCs w:val="20"/>
                <w:color w:val="auto"/>
              </w:rPr>
            </w:pPr>
            <w:r>
              <w:rPr>
                <w:rFonts w:ascii="Arial" w:cs="Arial" w:eastAsia="Arial" w:hAnsi="Arial"/>
                <w:sz w:val="22"/>
                <w:szCs w:val="22"/>
                <w:b w:val="1"/>
                <w:bCs w:val="1"/>
                <w:color w:val="6D6E71"/>
              </w:rPr>
              <w:t>Proposal 5 — Shareholder Proposal</w:t>
            </w:r>
          </w:p>
        </w:tc>
        <w:tc>
          <w:tcPr>
            <w:tcW w:w="640" w:type="dxa"/>
            <w:vAlign w:val="bottom"/>
          </w:tcPr>
          <w:p>
            <w:pPr>
              <w:jc w:val="center"/>
              <w:spacing w:after="0"/>
              <w:rPr>
                <w:sz w:val="20"/>
                <w:szCs w:val="20"/>
                <w:color w:val="auto"/>
              </w:rPr>
            </w:pPr>
            <w:r>
              <w:rPr>
                <w:rFonts w:ascii="Arial" w:cs="Arial" w:eastAsia="Arial" w:hAnsi="Arial"/>
                <w:sz w:val="22"/>
                <w:szCs w:val="22"/>
                <w:b w:val="1"/>
                <w:bCs w:val="1"/>
                <w:color w:val="6D6E71"/>
                <w:w w:val="97"/>
              </w:rPr>
              <w:t>90</w:t>
            </w:r>
          </w:p>
        </w:tc>
      </w:tr>
      <w:tr>
        <w:trPr>
          <w:trHeight w:val="149"/>
        </w:trPr>
        <w:tc>
          <w:tcPr>
            <w:tcW w:w="4800" w:type="dxa"/>
            <w:vAlign w:val="bottom"/>
            <w:tcBorders>
              <w:bottom w:val="single" w:sz="8" w:color="939598"/>
            </w:tcBorders>
          </w:tcPr>
          <w:p>
            <w:pPr>
              <w:spacing w:after="0"/>
              <w:rPr>
                <w:sz w:val="13"/>
                <w:szCs w:val="13"/>
                <w:color w:val="auto"/>
              </w:rPr>
            </w:pPr>
          </w:p>
        </w:tc>
        <w:tc>
          <w:tcPr>
            <w:tcW w:w="640" w:type="dxa"/>
            <w:vAlign w:val="bottom"/>
            <w:tcBorders>
              <w:bottom w:val="single" w:sz="8" w:color="939598"/>
            </w:tcBorders>
          </w:tcPr>
          <w:p>
            <w:pPr>
              <w:spacing w:after="0"/>
              <w:rPr>
                <w:sz w:val="13"/>
                <w:szCs w:val="13"/>
                <w:color w:val="auto"/>
              </w:rPr>
            </w:pPr>
          </w:p>
        </w:tc>
      </w:tr>
      <w:tr>
        <w:trPr>
          <w:trHeight w:val="366"/>
        </w:trPr>
        <w:tc>
          <w:tcPr>
            <w:tcW w:w="4800" w:type="dxa"/>
            <w:vAlign w:val="bottom"/>
          </w:tcPr>
          <w:p>
            <w:pPr>
              <w:ind w:left="20"/>
              <w:spacing w:after="0"/>
              <w:rPr>
                <w:sz w:val="20"/>
                <w:szCs w:val="20"/>
                <w:color w:val="auto"/>
              </w:rPr>
            </w:pPr>
            <w:r>
              <w:rPr>
                <w:rFonts w:ascii="Arial" w:cs="Arial" w:eastAsia="Arial" w:hAnsi="Arial"/>
                <w:sz w:val="18"/>
                <w:szCs w:val="18"/>
                <w:color w:val="auto"/>
              </w:rPr>
              <w:t>ADI’s Board of Directors' Statement in Opposition to</w:t>
            </w:r>
          </w:p>
        </w:tc>
        <w:tc>
          <w:tcPr>
            <w:tcW w:w="640" w:type="dxa"/>
            <w:vAlign w:val="bottom"/>
          </w:tcPr>
          <w:p>
            <w:pPr>
              <w:spacing w:after="0"/>
              <w:rPr>
                <w:sz w:val="24"/>
                <w:szCs w:val="24"/>
                <w:color w:val="auto"/>
              </w:rPr>
            </w:pPr>
          </w:p>
        </w:tc>
      </w:tr>
      <w:tr>
        <w:trPr>
          <w:trHeight w:val="239"/>
        </w:trPr>
        <w:tc>
          <w:tcPr>
            <w:tcW w:w="4800" w:type="dxa"/>
            <w:vAlign w:val="bottom"/>
          </w:tcPr>
          <w:p>
            <w:pPr>
              <w:ind w:left="20"/>
              <w:spacing w:after="0"/>
              <w:rPr>
                <w:sz w:val="20"/>
                <w:szCs w:val="20"/>
                <w:color w:val="auto"/>
              </w:rPr>
            </w:pPr>
            <w:r>
              <w:rPr>
                <w:rFonts w:ascii="Arial" w:cs="Arial" w:eastAsia="Arial" w:hAnsi="Arial"/>
                <w:sz w:val="18"/>
                <w:szCs w:val="18"/>
                <w:color w:val="auto"/>
              </w:rPr>
              <w:t>Shareholder Proposal</w:t>
            </w:r>
          </w:p>
        </w:tc>
        <w:tc>
          <w:tcPr>
            <w:tcW w:w="640" w:type="dxa"/>
            <w:vAlign w:val="bottom"/>
          </w:tcPr>
          <w:p>
            <w:pPr>
              <w:jc w:val="center"/>
              <w:spacing w:after="0"/>
              <w:rPr>
                <w:sz w:val="20"/>
                <w:szCs w:val="20"/>
                <w:color w:val="auto"/>
              </w:rPr>
            </w:pPr>
            <w:r>
              <w:rPr>
                <w:rFonts w:ascii="Arial" w:cs="Arial" w:eastAsia="Arial" w:hAnsi="Arial"/>
                <w:sz w:val="18"/>
                <w:szCs w:val="18"/>
                <w:color w:val="auto"/>
                <w:w w:val="99"/>
              </w:rPr>
              <w:t>91</w:t>
            </w:r>
          </w:p>
        </w:tc>
      </w:tr>
      <w:tr>
        <w:trPr>
          <w:trHeight w:val="548"/>
        </w:trPr>
        <w:tc>
          <w:tcPr>
            <w:tcW w:w="4800" w:type="dxa"/>
            <w:vAlign w:val="bottom"/>
          </w:tcPr>
          <w:p>
            <w:pPr>
              <w:ind w:left="20"/>
              <w:spacing w:after="0"/>
              <w:rPr>
                <w:sz w:val="20"/>
                <w:szCs w:val="20"/>
                <w:color w:val="auto"/>
              </w:rPr>
            </w:pPr>
            <w:r>
              <w:rPr>
                <w:rFonts w:ascii="Arial" w:cs="Arial" w:eastAsia="Arial" w:hAnsi="Arial"/>
                <w:sz w:val="22"/>
                <w:szCs w:val="22"/>
                <w:b w:val="1"/>
                <w:bCs w:val="1"/>
                <w:color w:val="0067B3"/>
              </w:rPr>
              <w:t>Q&amp;A About Annual Meeting and Voting</w:t>
            </w:r>
          </w:p>
        </w:tc>
        <w:tc>
          <w:tcPr>
            <w:tcW w:w="640" w:type="dxa"/>
            <w:vAlign w:val="bottom"/>
          </w:tcPr>
          <w:p>
            <w:pPr>
              <w:jc w:val="center"/>
              <w:spacing w:after="0"/>
              <w:rPr>
                <w:sz w:val="20"/>
                <w:szCs w:val="20"/>
                <w:color w:val="auto"/>
              </w:rPr>
            </w:pPr>
            <w:r>
              <w:rPr>
                <w:rFonts w:ascii="Arial" w:cs="Arial" w:eastAsia="Arial" w:hAnsi="Arial"/>
                <w:sz w:val="18"/>
                <w:szCs w:val="18"/>
                <w:color w:val="auto"/>
                <w:w w:val="99"/>
              </w:rPr>
              <w:t>93</w:t>
            </w:r>
          </w:p>
        </w:tc>
      </w:tr>
      <w:tr>
        <w:trPr>
          <w:trHeight w:val="109"/>
        </w:trPr>
        <w:tc>
          <w:tcPr>
            <w:tcW w:w="4800" w:type="dxa"/>
            <w:vAlign w:val="bottom"/>
            <w:tcBorders>
              <w:bottom w:val="single" w:sz="8" w:color="939598"/>
            </w:tcBorders>
          </w:tcPr>
          <w:p>
            <w:pPr>
              <w:spacing w:after="0"/>
              <w:rPr>
                <w:sz w:val="9"/>
                <w:szCs w:val="9"/>
                <w:color w:val="auto"/>
              </w:rPr>
            </w:pPr>
          </w:p>
        </w:tc>
        <w:tc>
          <w:tcPr>
            <w:tcW w:w="640" w:type="dxa"/>
            <w:vAlign w:val="bottom"/>
            <w:tcBorders>
              <w:bottom w:val="single" w:sz="8" w:color="939598"/>
            </w:tcBorders>
          </w:tcPr>
          <w:p>
            <w:pPr>
              <w:spacing w:after="0"/>
              <w:rPr>
                <w:sz w:val="9"/>
                <w:szCs w:val="9"/>
                <w:color w:val="auto"/>
              </w:rPr>
            </w:pPr>
          </w:p>
        </w:tc>
      </w:tr>
      <w:tr>
        <w:trPr>
          <w:trHeight w:val="411"/>
        </w:trPr>
        <w:tc>
          <w:tcPr>
            <w:tcW w:w="4800" w:type="dxa"/>
            <w:vAlign w:val="bottom"/>
          </w:tcPr>
          <w:p>
            <w:pPr>
              <w:ind w:left="20"/>
              <w:spacing w:after="0"/>
              <w:rPr>
                <w:sz w:val="20"/>
                <w:szCs w:val="20"/>
                <w:color w:val="auto"/>
              </w:rPr>
            </w:pPr>
            <w:r>
              <w:rPr>
                <w:rFonts w:ascii="Arial" w:cs="Arial" w:eastAsia="Arial" w:hAnsi="Arial"/>
                <w:sz w:val="22"/>
                <w:szCs w:val="22"/>
                <w:b w:val="1"/>
                <w:bCs w:val="1"/>
                <w:color w:val="0067B3"/>
              </w:rPr>
              <w:t>Additional Information</w:t>
            </w:r>
          </w:p>
        </w:tc>
        <w:tc>
          <w:tcPr>
            <w:tcW w:w="640" w:type="dxa"/>
            <w:vAlign w:val="bottom"/>
          </w:tcPr>
          <w:p>
            <w:pPr>
              <w:jc w:val="center"/>
              <w:spacing w:after="0"/>
              <w:rPr>
                <w:sz w:val="20"/>
                <w:szCs w:val="20"/>
                <w:color w:val="auto"/>
              </w:rPr>
            </w:pPr>
            <w:r>
              <w:rPr>
                <w:rFonts w:ascii="Arial" w:cs="Arial" w:eastAsia="Arial" w:hAnsi="Arial"/>
                <w:sz w:val="18"/>
                <w:szCs w:val="18"/>
                <w:color w:val="auto"/>
                <w:w w:val="99"/>
              </w:rPr>
              <w:t>97</w:t>
            </w:r>
          </w:p>
        </w:tc>
      </w:tr>
      <w:tr>
        <w:trPr>
          <w:trHeight w:val="109"/>
        </w:trPr>
        <w:tc>
          <w:tcPr>
            <w:tcW w:w="4800" w:type="dxa"/>
            <w:vAlign w:val="bottom"/>
            <w:tcBorders>
              <w:bottom w:val="single" w:sz="8" w:color="939598"/>
            </w:tcBorders>
          </w:tcPr>
          <w:p>
            <w:pPr>
              <w:spacing w:after="0"/>
              <w:rPr>
                <w:sz w:val="9"/>
                <w:szCs w:val="9"/>
                <w:color w:val="auto"/>
              </w:rPr>
            </w:pPr>
          </w:p>
        </w:tc>
        <w:tc>
          <w:tcPr>
            <w:tcW w:w="640" w:type="dxa"/>
            <w:vAlign w:val="bottom"/>
            <w:tcBorders>
              <w:bottom w:val="single" w:sz="8" w:color="939598"/>
            </w:tcBorders>
          </w:tcPr>
          <w:p>
            <w:pPr>
              <w:spacing w:after="0"/>
              <w:rPr>
                <w:sz w:val="9"/>
                <w:szCs w:val="9"/>
                <w:color w:val="auto"/>
              </w:rPr>
            </w:pPr>
          </w:p>
        </w:tc>
      </w:tr>
      <w:tr>
        <w:trPr>
          <w:trHeight w:val="281"/>
        </w:trPr>
        <w:tc>
          <w:tcPr>
            <w:tcW w:w="4800" w:type="dxa"/>
            <w:vAlign w:val="bottom"/>
          </w:tcPr>
          <w:p>
            <w:pPr>
              <w:ind w:left="20"/>
              <w:spacing w:after="0"/>
              <w:rPr>
                <w:sz w:val="20"/>
                <w:szCs w:val="20"/>
                <w:color w:val="auto"/>
              </w:rPr>
            </w:pPr>
            <w:r>
              <w:rPr>
                <w:rFonts w:ascii="Arial" w:cs="Arial" w:eastAsia="Arial" w:hAnsi="Arial"/>
                <w:sz w:val="18"/>
                <w:szCs w:val="18"/>
                <w:color w:val="auto"/>
              </w:rPr>
              <w:t>Other Matters</w:t>
            </w:r>
          </w:p>
        </w:tc>
        <w:tc>
          <w:tcPr>
            <w:tcW w:w="640" w:type="dxa"/>
            <w:vAlign w:val="bottom"/>
          </w:tcPr>
          <w:p>
            <w:pPr>
              <w:jc w:val="center"/>
              <w:spacing w:after="0"/>
              <w:rPr>
                <w:sz w:val="20"/>
                <w:szCs w:val="20"/>
                <w:color w:val="auto"/>
              </w:rPr>
            </w:pPr>
            <w:r>
              <w:rPr>
                <w:rFonts w:ascii="Arial" w:cs="Arial" w:eastAsia="Arial" w:hAnsi="Arial"/>
                <w:sz w:val="18"/>
                <w:szCs w:val="18"/>
                <w:color w:val="auto"/>
                <w:w w:val="99"/>
              </w:rPr>
              <w:t>97</w:t>
            </w:r>
          </w:p>
        </w:tc>
      </w:tr>
      <w:tr>
        <w:trPr>
          <w:trHeight w:val="270"/>
        </w:trPr>
        <w:tc>
          <w:tcPr>
            <w:tcW w:w="4800" w:type="dxa"/>
            <w:vAlign w:val="bottom"/>
          </w:tcPr>
          <w:p>
            <w:pPr>
              <w:ind w:left="20"/>
              <w:spacing w:after="0"/>
              <w:rPr>
                <w:sz w:val="20"/>
                <w:szCs w:val="20"/>
                <w:color w:val="auto"/>
              </w:rPr>
            </w:pPr>
            <w:r>
              <w:rPr>
                <w:rFonts w:ascii="Arial" w:cs="Arial" w:eastAsia="Arial" w:hAnsi="Arial"/>
                <w:sz w:val="18"/>
                <w:szCs w:val="18"/>
                <w:color w:val="auto"/>
              </w:rPr>
              <w:t>Shareholder Proposals for Inclusion in Proxy Statement</w:t>
            </w:r>
          </w:p>
        </w:tc>
        <w:tc>
          <w:tcPr>
            <w:tcW w:w="640" w:type="dxa"/>
            <w:vAlign w:val="bottom"/>
          </w:tcPr>
          <w:p>
            <w:pPr>
              <w:jc w:val="center"/>
              <w:spacing w:after="0"/>
              <w:rPr>
                <w:sz w:val="20"/>
                <w:szCs w:val="20"/>
                <w:color w:val="auto"/>
              </w:rPr>
            </w:pPr>
            <w:r>
              <w:rPr>
                <w:rFonts w:ascii="Arial" w:cs="Arial" w:eastAsia="Arial" w:hAnsi="Arial"/>
                <w:sz w:val="18"/>
                <w:szCs w:val="18"/>
                <w:color w:val="auto"/>
                <w:w w:val="99"/>
              </w:rPr>
              <w:t>97</w:t>
            </w:r>
          </w:p>
        </w:tc>
      </w:tr>
      <w:tr>
        <w:trPr>
          <w:trHeight w:val="247"/>
        </w:trPr>
        <w:tc>
          <w:tcPr>
            <w:tcW w:w="4800" w:type="dxa"/>
            <w:vAlign w:val="bottom"/>
          </w:tcPr>
          <w:p>
            <w:pPr>
              <w:ind w:left="20"/>
              <w:spacing w:after="0"/>
              <w:rPr>
                <w:sz w:val="20"/>
                <w:szCs w:val="20"/>
                <w:color w:val="auto"/>
              </w:rPr>
            </w:pPr>
            <w:r>
              <w:rPr>
                <w:rFonts w:ascii="Arial" w:cs="Arial" w:eastAsia="Arial" w:hAnsi="Arial"/>
                <w:sz w:val="18"/>
                <w:szCs w:val="18"/>
                <w:color w:val="auto"/>
              </w:rPr>
              <w:t>Shareholder Director Nominations for Inclusion in</w:t>
            </w:r>
          </w:p>
        </w:tc>
        <w:tc>
          <w:tcPr>
            <w:tcW w:w="640" w:type="dxa"/>
            <w:vAlign w:val="bottom"/>
          </w:tcPr>
          <w:p>
            <w:pPr>
              <w:spacing w:after="0"/>
              <w:rPr>
                <w:sz w:val="21"/>
                <w:szCs w:val="21"/>
                <w:color w:val="auto"/>
              </w:rPr>
            </w:pPr>
          </w:p>
        </w:tc>
      </w:tr>
      <w:tr>
        <w:trPr>
          <w:trHeight w:val="239"/>
        </w:trPr>
        <w:tc>
          <w:tcPr>
            <w:tcW w:w="4800" w:type="dxa"/>
            <w:vAlign w:val="bottom"/>
          </w:tcPr>
          <w:p>
            <w:pPr>
              <w:ind w:left="20"/>
              <w:spacing w:after="0"/>
              <w:rPr>
                <w:sz w:val="20"/>
                <w:szCs w:val="20"/>
                <w:color w:val="auto"/>
              </w:rPr>
            </w:pPr>
            <w:r>
              <w:rPr>
                <w:rFonts w:ascii="Arial" w:cs="Arial" w:eastAsia="Arial" w:hAnsi="Arial"/>
                <w:sz w:val="18"/>
                <w:szCs w:val="18"/>
                <w:color w:val="auto"/>
              </w:rPr>
              <w:t>Proxy Statement</w:t>
            </w:r>
          </w:p>
        </w:tc>
        <w:tc>
          <w:tcPr>
            <w:tcW w:w="640" w:type="dxa"/>
            <w:vAlign w:val="bottom"/>
          </w:tcPr>
          <w:p>
            <w:pPr>
              <w:jc w:val="center"/>
              <w:spacing w:after="0"/>
              <w:rPr>
                <w:sz w:val="20"/>
                <w:szCs w:val="20"/>
                <w:color w:val="auto"/>
              </w:rPr>
            </w:pPr>
            <w:r>
              <w:rPr>
                <w:rFonts w:ascii="Arial" w:cs="Arial" w:eastAsia="Arial" w:hAnsi="Arial"/>
                <w:sz w:val="18"/>
                <w:szCs w:val="18"/>
                <w:color w:val="auto"/>
                <w:w w:val="99"/>
              </w:rPr>
              <w:t>97</w:t>
            </w:r>
          </w:p>
        </w:tc>
      </w:tr>
      <w:tr>
        <w:trPr>
          <w:trHeight w:val="247"/>
        </w:trPr>
        <w:tc>
          <w:tcPr>
            <w:tcW w:w="4800" w:type="dxa"/>
            <w:vAlign w:val="bottom"/>
          </w:tcPr>
          <w:p>
            <w:pPr>
              <w:ind w:left="20"/>
              <w:spacing w:after="0"/>
              <w:rPr>
                <w:sz w:val="20"/>
                <w:szCs w:val="20"/>
                <w:color w:val="auto"/>
              </w:rPr>
            </w:pPr>
            <w:r>
              <w:rPr>
                <w:rFonts w:ascii="Arial" w:cs="Arial" w:eastAsia="Arial" w:hAnsi="Arial"/>
                <w:sz w:val="18"/>
                <w:szCs w:val="18"/>
                <w:color w:val="auto"/>
              </w:rPr>
              <w:t>Shareholder Proposals and Director Nominations Not</w:t>
            </w:r>
          </w:p>
        </w:tc>
        <w:tc>
          <w:tcPr>
            <w:tcW w:w="640" w:type="dxa"/>
            <w:vAlign w:val="bottom"/>
          </w:tcPr>
          <w:p>
            <w:pPr>
              <w:spacing w:after="0"/>
              <w:rPr>
                <w:sz w:val="21"/>
                <w:szCs w:val="21"/>
                <w:color w:val="auto"/>
              </w:rPr>
            </w:pPr>
          </w:p>
        </w:tc>
      </w:tr>
      <w:tr>
        <w:trPr>
          <w:trHeight w:val="239"/>
        </w:trPr>
        <w:tc>
          <w:tcPr>
            <w:tcW w:w="4800" w:type="dxa"/>
            <w:vAlign w:val="bottom"/>
          </w:tcPr>
          <w:p>
            <w:pPr>
              <w:ind w:left="20"/>
              <w:spacing w:after="0"/>
              <w:rPr>
                <w:sz w:val="20"/>
                <w:szCs w:val="20"/>
                <w:color w:val="auto"/>
              </w:rPr>
            </w:pPr>
            <w:r>
              <w:rPr>
                <w:rFonts w:ascii="Arial" w:cs="Arial" w:eastAsia="Arial" w:hAnsi="Arial"/>
                <w:sz w:val="18"/>
                <w:szCs w:val="18"/>
                <w:color w:val="auto"/>
              </w:rPr>
              <w:t>Included in Proxy Statement</w:t>
            </w:r>
          </w:p>
        </w:tc>
        <w:tc>
          <w:tcPr>
            <w:tcW w:w="640" w:type="dxa"/>
            <w:vAlign w:val="bottom"/>
          </w:tcPr>
          <w:p>
            <w:pPr>
              <w:jc w:val="center"/>
              <w:spacing w:after="0"/>
              <w:rPr>
                <w:sz w:val="20"/>
                <w:szCs w:val="20"/>
                <w:color w:val="auto"/>
              </w:rPr>
            </w:pPr>
            <w:r>
              <w:rPr>
                <w:rFonts w:ascii="Arial" w:cs="Arial" w:eastAsia="Arial" w:hAnsi="Arial"/>
                <w:sz w:val="18"/>
                <w:szCs w:val="18"/>
                <w:color w:val="auto"/>
                <w:w w:val="99"/>
              </w:rPr>
              <w:t>97</w:t>
            </w:r>
          </w:p>
        </w:tc>
      </w:tr>
      <w:tr>
        <w:trPr>
          <w:trHeight w:val="270"/>
        </w:trPr>
        <w:tc>
          <w:tcPr>
            <w:tcW w:w="4800" w:type="dxa"/>
            <w:vAlign w:val="bottom"/>
          </w:tcPr>
          <w:p>
            <w:pPr>
              <w:ind w:left="20"/>
              <w:spacing w:after="0"/>
              <w:rPr>
                <w:sz w:val="20"/>
                <w:szCs w:val="20"/>
                <w:color w:val="auto"/>
              </w:rPr>
            </w:pPr>
            <w:r>
              <w:rPr>
                <w:rFonts w:ascii="Arial" w:cs="Arial" w:eastAsia="Arial" w:hAnsi="Arial"/>
                <w:sz w:val="18"/>
                <w:szCs w:val="18"/>
                <w:color w:val="auto"/>
              </w:rPr>
              <w:t>Householding of Annual Meeting Materials</w:t>
            </w:r>
          </w:p>
        </w:tc>
        <w:tc>
          <w:tcPr>
            <w:tcW w:w="640" w:type="dxa"/>
            <w:vAlign w:val="bottom"/>
          </w:tcPr>
          <w:p>
            <w:pPr>
              <w:jc w:val="center"/>
              <w:spacing w:after="0"/>
              <w:rPr>
                <w:sz w:val="20"/>
                <w:szCs w:val="20"/>
                <w:color w:val="auto"/>
              </w:rPr>
            </w:pPr>
            <w:r>
              <w:rPr>
                <w:rFonts w:ascii="Arial" w:cs="Arial" w:eastAsia="Arial" w:hAnsi="Arial"/>
                <w:sz w:val="18"/>
                <w:szCs w:val="18"/>
                <w:color w:val="auto"/>
                <w:w w:val="99"/>
              </w:rPr>
              <w:t>98</w:t>
            </w:r>
          </w:p>
        </w:tc>
      </w:tr>
      <w:tr>
        <w:trPr>
          <w:trHeight w:val="23"/>
        </w:trPr>
        <w:tc>
          <w:tcPr>
            <w:tcW w:w="4800" w:type="dxa"/>
            <w:vAlign w:val="bottom"/>
            <w:tcBorders>
              <w:bottom w:val="single" w:sz="8" w:color="939598"/>
            </w:tcBorders>
          </w:tcPr>
          <w:p>
            <w:pPr>
              <w:spacing w:after="0"/>
              <w:rPr>
                <w:sz w:val="2"/>
                <w:szCs w:val="2"/>
                <w:color w:val="auto"/>
              </w:rPr>
            </w:pPr>
          </w:p>
        </w:tc>
        <w:tc>
          <w:tcPr>
            <w:tcW w:w="640" w:type="dxa"/>
            <w:vAlign w:val="bottom"/>
            <w:tcBorders>
              <w:bottom w:val="single" w:sz="8" w:color="939598"/>
            </w:tcBorders>
          </w:tcPr>
          <w:p>
            <w:pPr>
              <w:spacing w:after="0"/>
              <w:rPr>
                <w:sz w:val="2"/>
                <w:szCs w:val="2"/>
                <w:color w:val="auto"/>
              </w:rPr>
            </w:pPr>
          </w:p>
        </w:tc>
      </w:tr>
      <w:tr>
        <w:trPr>
          <w:trHeight w:val="370"/>
        </w:trPr>
        <w:tc>
          <w:tcPr>
            <w:tcW w:w="4800" w:type="dxa"/>
            <w:vAlign w:val="bottom"/>
          </w:tcPr>
          <w:p>
            <w:pPr>
              <w:ind w:left="20"/>
              <w:spacing w:after="0"/>
              <w:rPr>
                <w:sz w:val="20"/>
                <w:szCs w:val="20"/>
                <w:color w:val="auto"/>
              </w:rPr>
            </w:pPr>
            <w:r>
              <w:rPr>
                <w:rFonts w:ascii="Arial" w:cs="Arial" w:eastAsia="Arial" w:hAnsi="Arial"/>
                <w:sz w:val="22"/>
                <w:szCs w:val="22"/>
                <w:b w:val="1"/>
                <w:bCs w:val="1"/>
                <w:color w:val="0067B3"/>
              </w:rPr>
              <w:t>Appendix A: Amended and Restated Analog</w:t>
            </w:r>
          </w:p>
        </w:tc>
        <w:tc>
          <w:tcPr>
            <w:tcW w:w="640" w:type="dxa"/>
            <w:vAlign w:val="bottom"/>
          </w:tcPr>
          <w:p>
            <w:pPr>
              <w:spacing w:after="0"/>
              <w:rPr>
                <w:sz w:val="24"/>
                <w:szCs w:val="24"/>
                <w:color w:val="auto"/>
              </w:rPr>
            </w:pPr>
          </w:p>
        </w:tc>
      </w:tr>
      <w:tr>
        <w:trPr>
          <w:trHeight w:val="297"/>
        </w:trPr>
        <w:tc>
          <w:tcPr>
            <w:tcW w:w="4800" w:type="dxa"/>
            <w:vAlign w:val="bottom"/>
          </w:tcPr>
          <w:p>
            <w:pPr>
              <w:ind w:left="20"/>
              <w:spacing w:after="0"/>
              <w:rPr>
                <w:sz w:val="20"/>
                <w:szCs w:val="20"/>
                <w:color w:val="auto"/>
              </w:rPr>
            </w:pPr>
            <w:r>
              <w:rPr>
                <w:rFonts w:ascii="Arial" w:cs="Arial" w:eastAsia="Arial" w:hAnsi="Arial"/>
                <w:sz w:val="22"/>
                <w:szCs w:val="22"/>
                <w:b w:val="1"/>
                <w:bCs w:val="1"/>
                <w:color w:val="0067B3"/>
              </w:rPr>
              <w:t>Devices, Inc. 2020 Equity Incentive Plan</w:t>
            </w:r>
          </w:p>
        </w:tc>
        <w:tc>
          <w:tcPr>
            <w:tcW w:w="640" w:type="dxa"/>
            <w:vAlign w:val="bottom"/>
          </w:tcPr>
          <w:p>
            <w:pPr>
              <w:ind w:left="200"/>
              <w:spacing w:after="0"/>
              <w:rPr>
                <w:sz w:val="20"/>
                <w:szCs w:val="20"/>
                <w:color w:val="auto"/>
              </w:rPr>
            </w:pPr>
            <w:r>
              <w:rPr>
                <w:rFonts w:ascii="Arial" w:cs="Arial" w:eastAsia="Arial" w:hAnsi="Arial"/>
                <w:sz w:val="18"/>
                <w:szCs w:val="18"/>
                <w:color w:val="auto"/>
              </w:rPr>
              <w:t>A-1</w:t>
            </w:r>
          </w:p>
        </w:tc>
      </w:tr>
      <w:tr>
        <w:trPr>
          <w:trHeight w:val="109"/>
        </w:trPr>
        <w:tc>
          <w:tcPr>
            <w:tcW w:w="4800" w:type="dxa"/>
            <w:vAlign w:val="bottom"/>
            <w:tcBorders>
              <w:bottom w:val="single" w:sz="8" w:color="939598"/>
            </w:tcBorders>
          </w:tcPr>
          <w:p>
            <w:pPr>
              <w:spacing w:after="0"/>
              <w:rPr>
                <w:sz w:val="9"/>
                <w:szCs w:val="9"/>
                <w:color w:val="auto"/>
              </w:rPr>
            </w:pPr>
          </w:p>
        </w:tc>
        <w:tc>
          <w:tcPr>
            <w:tcW w:w="640" w:type="dxa"/>
            <w:vAlign w:val="bottom"/>
            <w:tcBorders>
              <w:bottom w:val="single" w:sz="8" w:color="939598"/>
            </w:tcBorders>
          </w:tcPr>
          <w:p>
            <w:pPr>
              <w:spacing w:after="0"/>
              <w:rPr>
                <w:sz w:val="9"/>
                <w:szCs w:val="9"/>
                <w:color w:val="auto"/>
              </w:rPr>
            </w:pPr>
          </w:p>
        </w:tc>
      </w:tr>
      <w:tr>
        <w:trPr>
          <w:trHeight w:val="370"/>
        </w:trPr>
        <w:tc>
          <w:tcPr>
            <w:tcW w:w="4800" w:type="dxa"/>
            <w:vAlign w:val="bottom"/>
          </w:tcPr>
          <w:p>
            <w:pPr>
              <w:ind w:left="20"/>
              <w:spacing w:after="0"/>
              <w:rPr>
                <w:sz w:val="20"/>
                <w:szCs w:val="20"/>
                <w:color w:val="auto"/>
              </w:rPr>
            </w:pPr>
            <w:r>
              <w:rPr>
                <w:rFonts w:ascii="Arial" w:cs="Arial" w:eastAsia="Arial" w:hAnsi="Arial"/>
                <w:sz w:val="22"/>
                <w:szCs w:val="22"/>
                <w:b w:val="1"/>
                <w:bCs w:val="1"/>
                <w:color w:val="0067B3"/>
              </w:rPr>
              <w:t>Appendix B: Reconciliation of GAAP</w:t>
            </w:r>
          </w:p>
        </w:tc>
        <w:tc>
          <w:tcPr>
            <w:tcW w:w="640" w:type="dxa"/>
            <w:vAlign w:val="bottom"/>
          </w:tcPr>
          <w:p>
            <w:pPr>
              <w:spacing w:after="0"/>
              <w:rPr>
                <w:sz w:val="24"/>
                <w:szCs w:val="24"/>
                <w:color w:val="auto"/>
              </w:rPr>
            </w:pPr>
          </w:p>
        </w:tc>
      </w:tr>
      <w:tr>
        <w:trPr>
          <w:trHeight w:val="297"/>
        </w:trPr>
        <w:tc>
          <w:tcPr>
            <w:tcW w:w="4800" w:type="dxa"/>
            <w:vAlign w:val="bottom"/>
          </w:tcPr>
          <w:p>
            <w:pPr>
              <w:ind w:left="20"/>
              <w:spacing w:after="0"/>
              <w:rPr>
                <w:sz w:val="20"/>
                <w:szCs w:val="20"/>
                <w:color w:val="auto"/>
              </w:rPr>
            </w:pPr>
            <w:r>
              <w:rPr>
                <w:rFonts w:ascii="Arial" w:cs="Arial" w:eastAsia="Arial" w:hAnsi="Arial"/>
                <w:sz w:val="22"/>
                <w:szCs w:val="22"/>
                <w:b w:val="1"/>
                <w:bCs w:val="1"/>
                <w:color w:val="0067B3"/>
              </w:rPr>
              <w:t>Measures to Non-GAAP Measures</w:t>
            </w:r>
          </w:p>
        </w:tc>
        <w:tc>
          <w:tcPr>
            <w:tcW w:w="640" w:type="dxa"/>
            <w:vAlign w:val="bottom"/>
          </w:tcPr>
          <w:p>
            <w:pPr>
              <w:ind w:left="200"/>
              <w:spacing w:after="0"/>
              <w:rPr>
                <w:sz w:val="20"/>
                <w:szCs w:val="20"/>
                <w:color w:val="auto"/>
              </w:rPr>
            </w:pPr>
            <w:r>
              <w:rPr>
                <w:rFonts w:ascii="Arial" w:cs="Arial" w:eastAsia="Arial" w:hAnsi="Arial"/>
                <w:sz w:val="18"/>
                <w:szCs w:val="18"/>
                <w:color w:val="auto"/>
              </w:rPr>
              <w:t>B-1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69215</wp:posOffset>
            </wp:positionV>
            <wp:extent cx="3446145"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3446145" cy="8890"/>
                    </a:xfrm>
                    <a:prstGeom prst="rect">
                      <a:avLst/>
                    </a:prstGeom>
                    <a:noFill/>
                  </pic:spPr>
                </pic:pic>
              </a:graphicData>
            </a:graphic>
          </wp:anchor>
        </w:drawing>
        <w:drawing>
          <wp:anchor simplePos="0" relativeHeight="251657728" behindDoc="1" locked="0" layoutInCell="0" allowOverlap="1">
            <wp:simplePos x="0" y="0"/>
            <wp:positionH relativeFrom="column">
              <wp:posOffset>11430</wp:posOffset>
            </wp:positionH>
            <wp:positionV relativeFrom="paragraph">
              <wp:posOffset>-5262245</wp:posOffset>
            </wp:positionV>
            <wp:extent cx="128905" cy="12890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11430</wp:posOffset>
            </wp:positionH>
            <wp:positionV relativeFrom="paragraph">
              <wp:posOffset>-3539490</wp:posOffset>
            </wp:positionV>
            <wp:extent cx="128905" cy="12827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223"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0067B3"/>
        </w:rPr>
        <w:t>Helpful Resources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-3626485</wp:posOffset>
            </wp:positionH>
            <wp:positionV relativeFrom="paragraph">
              <wp:posOffset>1079500</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97790</wp:posOffset>
            </wp:positionV>
            <wp:extent cx="3446145"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3446145" cy="8890"/>
                    </a:xfrm>
                    <a:prstGeom prst="rect">
                      <a:avLst/>
                    </a:prstGeom>
                    <a:noFill/>
                  </pic:spPr>
                </pic:pic>
              </a:graphicData>
            </a:graphic>
          </wp:anchor>
        </w:drawing>
      </w:r>
    </w:p>
    <w:p>
      <w:pPr>
        <w:sectPr>
          <w:pgSz w:w="11900" w:h="16838" w:orient="portrait"/>
          <w:cols w:equalWidth="0" w:num="2">
            <w:col w:w="5440" w:space="260"/>
            <w:col w:w="5440"/>
          </w:cols>
          <w:pgMar w:left="320" w:top="1126" w:right="439" w:bottom="1440" w:gutter="0" w:footer="0" w:header="0"/>
        </w:sectPr>
      </w:pPr>
    </w:p>
    <w:bookmarkStart w:id="6" w:name="page7"/>
    <w:bookmarkEnd w:id="6"/>
    <w:p>
      <w:pPr>
        <w:spacing w:after="0"/>
        <w:rPr>
          <w:sz w:val="20"/>
          <w:szCs w:val="20"/>
          <w:color w:val="auto"/>
        </w:rPr>
      </w:pPr>
      <w:r>
        <w:rPr>
          <w:rFonts w:ascii="Arial" w:cs="Arial" w:eastAsia="Arial" w:hAnsi="Arial"/>
          <w:sz w:val="58"/>
          <w:szCs w:val="58"/>
          <w:color w:val="auto"/>
        </w:rPr>
        <w:t>Proxy Summary</w:t>
      </w: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41"/>
          <w:szCs w:val="41"/>
          <w:b w:val="1"/>
          <w:bCs w:val="1"/>
          <w:color w:val="0067B3"/>
        </w:rPr>
        <w:t>ADI at a Glance</w:t>
      </w:r>
    </w:p>
    <w:p>
      <w:pPr>
        <w:spacing w:after="0" w:line="169" w:lineRule="exact"/>
        <w:rPr>
          <w:sz w:val="20"/>
          <w:szCs w:val="20"/>
          <w:color w:val="auto"/>
        </w:rPr>
      </w:pPr>
    </w:p>
    <w:p>
      <w:pPr>
        <w:ind w:right="240"/>
        <w:spacing w:after="0" w:line="262" w:lineRule="auto"/>
        <w:rPr>
          <w:sz w:val="20"/>
          <w:szCs w:val="20"/>
          <w:color w:val="auto"/>
        </w:rPr>
      </w:pPr>
      <w:r>
        <w:rPr>
          <w:rFonts w:ascii="Arial" w:cs="Arial" w:eastAsia="Arial" w:hAnsi="Arial"/>
          <w:sz w:val="18"/>
          <w:szCs w:val="18"/>
          <w:color w:val="auto"/>
        </w:rPr>
        <w:t>Analog Devices, Inc. is a global semiconductor leader that bridges the physical and digital worlds to enable breakthroughs at the Intelligent Edge. ADI combines analog, digital, artificial intelligence (AI), and software technologies into solutions that help drive advancements in automation and robotics, mobility, energy and data centers, and healthcare, combat climate change, and reliably connect humans and the world.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140970</wp:posOffset>
            </wp:positionV>
            <wp:extent cx="8255"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3571240</wp:posOffset>
            </wp:positionH>
            <wp:positionV relativeFrom="paragraph">
              <wp:posOffset>158115</wp:posOffset>
            </wp:positionV>
            <wp:extent cx="8255"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3571240</wp:posOffset>
            </wp:positionH>
            <wp:positionV relativeFrom="paragraph">
              <wp:posOffset>175260</wp:posOffset>
            </wp:positionV>
            <wp:extent cx="8255"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3571240</wp:posOffset>
            </wp:positionH>
            <wp:positionV relativeFrom="paragraph">
              <wp:posOffset>192405</wp:posOffset>
            </wp:positionV>
            <wp:extent cx="8255"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3571240</wp:posOffset>
            </wp:positionH>
            <wp:positionV relativeFrom="paragraph">
              <wp:posOffset>209550</wp:posOffset>
            </wp:positionV>
            <wp:extent cx="8255"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3571240</wp:posOffset>
            </wp:positionH>
            <wp:positionV relativeFrom="paragraph">
              <wp:posOffset>226695</wp:posOffset>
            </wp:positionV>
            <wp:extent cx="8255"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8255" cy="8255"/>
                    </a:xfrm>
                    <a:prstGeom prst="rect">
                      <a:avLst/>
                    </a:prstGeom>
                    <a:noFill/>
                  </pic:spPr>
                </pic:pic>
              </a:graphicData>
            </a:graphic>
          </wp:anchor>
        </w:drawing>
      </w:r>
    </w:p>
    <w:p>
      <w:pPr>
        <w:spacing w:after="0" w:line="345" w:lineRule="exact"/>
        <w:rPr>
          <w:sz w:val="20"/>
          <w:szCs w:val="20"/>
          <w:color w:val="auto"/>
        </w:rPr>
      </w:pPr>
    </w:p>
    <w:p>
      <w:pPr>
        <w:ind w:left="1640"/>
        <w:spacing w:after="0"/>
        <w:tabs>
          <w:tab w:leader="none" w:pos="7240" w:val="left"/>
        </w:tabs>
        <w:rPr>
          <w:sz w:val="20"/>
          <w:szCs w:val="20"/>
          <w:color w:val="auto"/>
        </w:rPr>
      </w:pPr>
      <w:r>
        <w:rPr>
          <w:rFonts w:ascii="Arial" w:cs="Arial" w:eastAsia="Arial" w:hAnsi="Arial"/>
          <w:sz w:val="18"/>
          <w:szCs w:val="18"/>
          <w:b w:val="1"/>
          <w:bCs w:val="1"/>
          <w:color w:val="0067B3"/>
        </w:rPr>
        <w:t>Revenue By End Market</w:t>
      </w:r>
      <w:r>
        <w:rPr>
          <w:rFonts w:ascii="Arial" w:cs="Arial" w:eastAsia="Arial" w:hAnsi="Arial"/>
          <w:sz w:val="23"/>
          <w:szCs w:val="23"/>
          <w:b w:val="1"/>
          <w:bCs w:val="1"/>
          <w:color w:val="0067B3"/>
          <w:vertAlign w:val="superscript"/>
        </w:rPr>
        <w:t>(1),(2)</w:t>
      </w:r>
      <w:r>
        <w:rPr>
          <w:sz w:val="20"/>
          <w:szCs w:val="20"/>
          <w:color w:val="auto"/>
        </w:rPr>
        <w:tab/>
      </w:r>
      <w:r>
        <w:rPr>
          <w:rFonts w:ascii="Arial" w:cs="Arial" w:eastAsia="Arial" w:hAnsi="Arial"/>
          <w:sz w:val="17"/>
          <w:szCs w:val="17"/>
          <w:b w:val="1"/>
          <w:bCs w:val="1"/>
          <w:color w:val="0067B3"/>
        </w:rPr>
        <w:t>Revenue By Geography</w:t>
      </w:r>
      <w:r>
        <w:rPr>
          <w:rFonts w:ascii="Arial" w:cs="Arial" w:eastAsia="Arial" w:hAnsi="Arial"/>
          <w:sz w:val="22"/>
          <w:szCs w:val="22"/>
          <w:b w:val="1"/>
          <w:bCs w:val="1"/>
          <w:color w:val="0067B3"/>
          <w:vertAlign w:val="superscript"/>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330835</wp:posOffset>
            </wp:positionH>
            <wp:positionV relativeFrom="paragraph">
              <wp:posOffset>-155575</wp:posOffset>
            </wp:positionV>
            <wp:extent cx="6471920" cy="20916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471920" cy="20916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ind w:left="220" w:hanging="212"/>
        <w:spacing w:after="0"/>
        <w:tabs>
          <w:tab w:leader="none" w:pos="220" w:val="left"/>
        </w:tabs>
        <w:numPr>
          <w:ilvl w:val="0"/>
          <w:numId w:val="7"/>
        </w:numPr>
        <w:rPr>
          <w:rFonts w:ascii="Arial" w:cs="Arial" w:eastAsia="Arial" w:hAnsi="Arial"/>
          <w:sz w:val="21"/>
          <w:szCs w:val="21"/>
          <w:color w:val="auto"/>
          <w:vertAlign w:val="superscript"/>
        </w:rPr>
      </w:pPr>
      <w:r>
        <w:rPr>
          <w:rFonts w:ascii="Arial" w:cs="Arial" w:eastAsia="Arial" w:hAnsi="Arial"/>
          <w:sz w:val="16"/>
          <w:szCs w:val="16"/>
          <w:color w:val="auto"/>
        </w:rPr>
        <w:t>Fiscal year 2025.</w:t>
      </w:r>
    </w:p>
    <w:p>
      <w:pPr>
        <w:spacing w:after="0" w:line="70" w:lineRule="exact"/>
        <w:rPr>
          <w:rFonts w:ascii="Arial" w:cs="Arial" w:eastAsia="Arial" w:hAnsi="Arial"/>
          <w:sz w:val="21"/>
          <w:szCs w:val="21"/>
          <w:color w:val="auto"/>
          <w:vertAlign w:val="superscript"/>
        </w:rPr>
      </w:pPr>
    </w:p>
    <w:p>
      <w:pPr>
        <w:ind w:left="220" w:hanging="212"/>
        <w:spacing w:after="0" w:line="197" w:lineRule="auto"/>
        <w:tabs>
          <w:tab w:leader="none" w:pos="220" w:val="left"/>
        </w:tabs>
        <w:numPr>
          <w:ilvl w:val="0"/>
          <w:numId w:val="7"/>
        </w:numPr>
        <w:rPr>
          <w:rFonts w:ascii="Arial" w:cs="Arial" w:eastAsia="Arial" w:hAnsi="Arial"/>
          <w:sz w:val="21"/>
          <w:szCs w:val="21"/>
          <w:color w:val="auto"/>
          <w:vertAlign w:val="superscript"/>
        </w:rPr>
      </w:pPr>
      <w:r>
        <w:rPr>
          <w:rFonts w:ascii="Arial" w:cs="Arial" w:eastAsia="Arial" w:hAnsi="Arial"/>
          <w:sz w:val="16"/>
          <w:szCs w:val="16"/>
          <w:color w:val="auto"/>
        </w:rPr>
        <w:t>The sum of the individual percentages may not equal 100% due to rounding.</w:t>
      </w:r>
    </w:p>
    <w:p>
      <w:pPr>
        <w:spacing w:after="0" w:line="216" w:lineRule="exact"/>
        <w:rPr>
          <w:sz w:val="20"/>
          <w:szCs w:val="20"/>
          <w:color w:val="auto"/>
        </w:rPr>
      </w:pPr>
    </w:p>
    <w:p>
      <w:pPr>
        <w:spacing w:after="0"/>
        <w:rPr>
          <w:sz w:val="20"/>
          <w:szCs w:val="20"/>
          <w:color w:val="auto"/>
        </w:rPr>
      </w:pPr>
      <w:r>
        <w:rPr>
          <w:rFonts w:ascii="Arial" w:cs="Arial" w:eastAsia="Arial" w:hAnsi="Arial"/>
          <w:sz w:val="32"/>
          <w:szCs w:val="32"/>
          <w:b w:val="1"/>
          <w:bCs w:val="1"/>
          <w:color w:val="auto"/>
        </w:rPr>
        <w:t>Fiscal Year 2025 Performance Highlights</w:t>
      </w:r>
    </w:p>
    <w:p>
      <w:pPr>
        <w:spacing w:after="0" w:line="196" w:lineRule="exact"/>
        <w:rPr>
          <w:sz w:val="20"/>
          <w:szCs w:val="20"/>
          <w:color w:val="auto"/>
        </w:rPr>
      </w:pPr>
    </w:p>
    <w:tbl>
      <w:tblPr>
        <w:tblLayout w:type="fixed"/>
        <w:tblInd w:w="10" w:type="dxa"/>
        <w:tblCellMar>
          <w:top w:w="0" w:type="dxa"/>
          <w:left w:w="0" w:type="dxa"/>
          <w:bottom w:w="0" w:type="dxa"/>
          <w:right w:w="0" w:type="dxa"/>
        </w:tblCellMar>
      </w:tblPr>
      <w:tr>
        <w:trPr>
          <w:trHeight w:val="710"/>
        </w:trPr>
        <w:tc>
          <w:tcPr>
            <w:tcW w:w="2120" w:type="dxa"/>
            <w:vAlign w:val="bottom"/>
            <w:tcBorders>
              <w:top w:val="single" w:sz="8" w:color="0067B3"/>
              <w:left w:val="single" w:sz="8" w:color="0067B3"/>
              <w:right w:val="single" w:sz="8" w:color="auto"/>
            </w:tcBorders>
          </w:tcPr>
          <w:p>
            <w:pPr>
              <w:ind w:left="120"/>
              <w:spacing w:after="0"/>
              <w:rPr>
                <w:sz w:val="20"/>
                <w:szCs w:val="20"/>
                <w:color w:val="auto"/>
              </w:rPr>
            </w:pPr>
            <w:r>
              <w:rPr>
                <w:rFonts w:ascii="Arial" w:cs="Arial" w:eastAsia="Arial" w:hAnsi="Arial"/>
                <w:sz w:val="41"/>
                <w:szCs w:val="41"/>
                <w:b w:val="1"/>
                <w:bCs w:val="1"/>
                <w:color w:val="0067B3"/>
              </w:rPr>
              <w:t>$11.0B</w:t>
            </w:r>
          </w:p>
        </w:tc>
        <w:tc>
          <w:tcPr>
            <w:tcW w:w="1620" w:type="dxa"/>
            <w:vAlign w:val="bottom"/>
            <w:tcBorders>
              <w:top w:val="single" w:sz="8" w:color="0067B3"/>
            </w:tcBorders>
          </w:tcPr>
          <w:p>
            <w:pPr>
              <w:ind w:left="80"/>
              <w:spacing w:after="0"/>
              <w:rPr>
                <w:sz w:val="20"/>
                <w:szCs w:val="20"/>
                <w:color w:val="auto"/>
              </w:rPr>
            </w:pPr>
            <w:r>
              <w:rPr>
                <w:rFonts w:ascii="Arial" w:cs="Arial" w:eastAsia="Arial" w:hAnsi="Arial"/>
                <w:sz w:val="41"/>
                <w:szCs w:val="41"/>
                <w:b w:val="1"/>
                <w:bCs w:val="1"/>
                <w:color w:val="0067B3"/>
              </w:rPr>
              <w:t>61.5%</w:t>
            </w:r>
          </w:p>
        </w:tc>
        <w:tc>
          <w:tcPr>
            <w:tcW w:w="640" w:type="dxa"/>
            <w:vAlign w:val="bottom"/>
            <w:tcBorders>
              <w:top w:val="single" w:sz="8" w:color="0067B3"/>
              <w:right w:val="single" w:sz="8" w:color="auto"/>
            </w:tcBorders>
          </w:tcPr>
          <w:p>
            <w:pPr>
              <w:spacing w:after="0"/>
              <w:rPr>
                <w:sz w:val="24"/>
                <w:szCs w:val="24"/>
                <w:color w:val="auto"/>
              </w:rPr>
            </w:pPr>
          </w:p>
        </w:tc>
        <w:tc>
          <w:tcPr>
            <w:tcW w:w="2340" w:type="dxa"/>
            <w:vAlign w:val="bottom"/>
            <w:tcBorders>
              <w:top w:val="single" w:sz="8" w:color="0067B3"/>
              <w:right w:val="single" w:sz="8" w:color="auto"/>
            </w:tcBorders>
          </w:tcPr>
          <w:p>
            <w:pPr>
              <w:ind w:left="80"/>
              <w:spacing w:after="0"/>
              <w:rPr>
                <w:sz w:val="20"/>
                <w:szCs w:val="20"/>
                <w:color w:val="auto"/>
              </w:rPr>
            </w:pPr>
            <w:r>
              <w:rPr>
                <w:rFonts w:ascii="Arial" w:cs="Arial" w:eastAsia="Arial" w:hAnsi="Arial"/>
                <w:sz w:val="41"/>
                <w:szCs w:val="41"/>
                <w:b w:val="1"/>
                <w:bCs w:val="1"/>
                <w:color w:val="0067B3"/>
              </w:rPr>
              <w:t>26.6%</w:t>
            </w:r>
          </w:p>
        </w:tc>
        <w:tc>
          <w:tcPr>
            <w:tcW w:w="2360" w:type="dxa"/>
            <w:vAlign w:val="bottom"/>
            <w:tcBorders>
              <w:top w:val="single" w:sz="8" w:color="0067B3"/>
              <w:right w:val="single" w:sz="8" w:color="auto"/>
            </w:tcBorders>
            <w:gridSpan w:val="2"/>
          </w:tcPr>
          <w:p>
            <w:pPr>
              <w:ind w:left="80"/>
              <w:spacing w:after="0"/>
              <w:rPr>
                <w:sz w:val="20"/>
                <w:szCs w:val="20"/>
                <w:color w:val="auto"/>
              </w:rPr>
            </w:pPr>
            <w:r>
              <w:rPr>
                <w:rFonts w:ascii="Arial" w:cs="Arial" w:eastAsia="Arial" w:hAnsi="Arial"/>
                <w:sz w:val="41"/>
                <w:szCs w:val="41"/>
                <w:b w:val="1"/>
                <w:bCs w:val="1"/>
                <w:color w:val="0067B3"/>
              </w:rPr>
              <w:t>$4.56</w:t>
            </w:r>
          </w:p>
        </w:tc>
        <w:tc>
          <w:tcPr>
            <w:tcW w:w="2180" w:type="dxa"/>
            <w:vAlign w:val="bottom"/>
            <w:tcBorders>
              <w:top w:val="single" w:sz="8" w:color="0067B3"/>
              <w:right w:val="single" w:sz="8" w:color="0067B3"/>
            </w:tcBorders>
          </w:tcPr>
          <w:p>
            <w:pPr>
              <w:ind w:left="80"/>
              <w:spacing w:after="0"/>
              <w:rPr>
                <w:sz w:val="20"/>
                <w:szCs w:val="20"/>
                <w:color w:val="auto"/>
              </w:rPr>
            </w:pPr>
            <w:r>
              <w:rPr>
                <w:rFonts w:ascii="Arial" w:cs="Arial" w:eastAsia="Arial" w:hAnsi="Arial"/>
                <w:sz w:val="41"/>
                <w:szCs w:val="41"/>
                <w:b w:val="1"/>
                <w:bCs w:val="1"/>
                <w:color w:val="0067B3"/>
              </w:rPr>
              <w:t>$4.8B</w:t>
            </w:r>
          </w:p>
        </w:tc>
        <w:tc>
          <w:tcPr>
            <w:tcW w:w="0" w:type="dxa"/>
            <w:vAlign w:val="bottom"/>
          </w:tcPr>
          <w:p>
            <w:pPr>
              <w:spacing w:after="0"/>
              <w:rPr>
                <w:sz w:val="1"/>
                <w:szCs w:val="1"/>
                <w:color w:val="auto"/>
              </w:rPr>
            </w:pPr>
          </w:p>
        </w:tc>
      </w:tr>
      <w:tr>
        <w:trPr>
          <w:trHeight w:val="216"/>
        </w:trPr>
        <w:tc>
          <w:tcPr>
            <w:tcW w:w="2120" w:type="dxa"/>
            <w:vAlign w:val="bottom"/>
            <w:tcBorders>
              <w:left w:val="single" w:sz="8" w:color="0067B3"/>
              <w:right w:val="single" w:sz="8" w:color="auto"/>
            </w:tcBorders>
          </w:tcPr>
          <w:p>
            <w:pPr>
              <w:ind w:left="120"/>
              <w:spacing w:after="0"/>
              <w:rPr>
                <w:sz w:val="20"/>
                <w:szCs w:val="20"/>
                <w:color w:val="auto"/>
              </w:rPr>
            </w:pPr>
            <w:r>
              <w:rPr>
                <w:rFonts w:ascii="Arial" w:cs="Arial" w:eastAsia="Arial" w:hAnsi="Arial"/>
                <w:sz w:val="18"/>
                <w:szCs w:val="18"/>
                <w:color w:val="auto"/>
              </w:rPr>
              <w:t>Revenue</w:t>
            </w:r>
          </w:p>
        </w:tc>
        <w:tc>
          <w:tcPr>
            <w:tcW w:w="2260" w:type="dxa"/>
            <w:vAlign w:val="bottom"/>
            <w:tcBorders>
              <w:right w:val="single" w:sz="8" w:color="auto"/>
            </w:tcBorders>
            <w:gridSpan w:val="2"/>
          </w:tcPr>
          <w:p>
            <w:pPr>
              <w:ind w:left="80"/>
              <w:spacing w:after="0"/>
              <w:rPr>
                <w:sz w:val="20"/>
                <w:szCs w:val="20"/>
                <w:color w:val="auto"/>
              </w:rPr>
            </w:pPr>
            <w:r>
              <w:rPr>
                <w:rFonts w:ascii="Arial" w:cs="Arial" w:eastAsia="Arial" w:hAnsi="Arial"/>
                <w:sz w:val="18"/>
                <w:szCs w:val="18"/>
                <w:color w:val="auto"/>
              </w:rPr>
              <w:t>Gross Margin</w:t>
            </w:r>
          </w:p>
        </w:tc>
        <w:tc>
          <w:tcPr>
            <w:tcW w:w="234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Operating Margin</w:t>
            </w:r>
          </w:p>
        </w:tc>
        <w:tc>
          <w:tcPr>
            <w:tcW w:w="2360" w:type="dxa"/>
            <w:vAlign w:val="bottom"/>
            <w:tcBorders>
              <w:right w:val="single" w:sz="8" w:color="auto"/>
            </w:tcBorders>
            <w:gridSpan w:val="2"/>
          </w:tcPr>
          <w:p>
            <w:pPr>
              <w:ind w:left="80"/>
              <w:spacing w:after="0"/>
              <w:rPr>
                <w:sz w:val="20"/>
                <w:szCs w:val="20"/>
                <w:color w:val="auto"/>
              </w:rPr>
            </w:pPr>
            <w:r>
              <w:rPr>
                <w:rFonts w:ascii="Arial" w:cs="Arial" w:eastAsia="Arial" w:hAnsi="Arial"/>
                <w:sz w:val="18"/>
                <w:szCs w:val="18"/>
                <w:color w:val="auto"/>
              </w:rPr>
              <w:t>Diluted Earnings per</w:t>
            </w:r>
          </w:p>
        </w:tc>
        <w:tc>
          <w:tcPr>
            <w:tcW w:w="2180" w:type="dxa"/>
            <w:vAlign w:val="bottom"/>
            <w:tcBorders>
              <w:right w:val="single" w:sz="8" w:color="0067B3"/>
            </w:tcBorders>
          </w:tcPr>
          <w:p>
            <w:pPr>
              <w:ind w:left="80"/>
              <w:spacing w:after="0"/>
              <w:rPr>
                <w:sz w:val="20"/>
                <w:szCs w:val="20"/>
                <w:color w:val="auto"/>
              </w:rPr>
            </w:pPr>
            <w:r>
              <w:rPr>
                <w:rFonts w:ascii="Arial" w:cs="Arial" w:eastAsia="Arial" w:hAnsi="Arial"/>
                <w:sz w:val="18"/>
                <w:szCs w:val="18"/>
                <w:color w:val="auto"/>
              </w:rPr>
              <w:t>Operating Cash Flow</w:t>
            </w:r>
          </w:p>
        </w:tc>
        <w:tc>
          <w:tcPr>
            <w:tcW w:w="0" w:type="dxa"/>
            <w:vAlign w:val="bottom"/>
          </w:tcPr>
          <w:p>
            <w:pPr>
              <w:spacing w:after="0"/>
              <w:rPr>
                <w:sz w:val="1"/>
                <w:szCs w:val="1"/>
                <w:color w:val="auto"/>
              </w:rPr>
            </w:pPr>
          </w:p>
        </w:tc>
      </w:tr>
      <w:tr>
        <w:trPr>
          <w:trHeight w:val="239"/>
        </w:trPr>
        <w:tc>
          <w:tcPr>
            <w:tcW w:w="2120" w:type="dxa"/>
            <w:vAlign w:val="bottom"/>
            <w:tcBorders>
              <w:left w:val="single" w:sz="8" w:color="0067B3"/>
              <w:right w:val="single" w:sz="8" w:color="auto"/>
            </w:tcBorders>
          </w:tcPr>
          <w:p>
            <w:pPr>
              <w:spacing w:after="0"/>
              <w:rPr>
                <w:sz w:val="20"/>
                <w:szCs w:val="20"/>
                <w:color w:val="auto"/>
              </w:rPr>
            </w:pPr>
          </w:p>
        </w:tc>
        <w:tc>
          <w:tcPr>
            <w:tcW w:w="1620" w:type="dxa"/>
            <w:vAlign w:val="bottom"/>
          </w:tcPr>
          <w:p>
            <w:pPr>
              <w:spacing w:after="0"/>
              <w:rPr>
                <w:sz w:val="20"/>
                <w:szCs w:val="20"/>
                <w:color w:val="auto"/>
              </w:rPr>
            </w:pPr>
          </w:p>
        </w:tc>
        <w:tc>
          <w:tcPr>
            <w:tcW w:w="640" w:type="dxa"/>
            <w:vAlign w:val="bottom"/>
            <w:tcBorders>
              <w:right w:val="single" w:sz="8" w:color="auto"/>
            </w:tcBorders>
          </w:tcPr>
          <w:p>
            <w:pPr>
              <w:spacing w:after="0"/>
              <w:rPr>
                <w:sz w:val="20"/>
                <w:szCs w:val="20"/>
                <w:color w:val="auto"/>
              </w:rPr>
            </w:pPr>
          </w:p>
        </w:tc>
        <w:tc>
          <w:tcPr>
            <w:tcW w:w="2340" w:type="dxa"/>
            <w:vAlign w:val="bottom"/>
            <w:tcBorders>
              <w:right w:val="single" w:sz="8" w:color="auto"/>
            </w:tcBorders>
          </w:tcPr>
          <w:p>
            <w:pPr>
              <w:spacing w:after="0"/>
              <w:rPr>
                <w:sz w:val="20"/>
                <w:szCs w:val="20"/>
                <w:color w:val="auto"/>
              </w:rPr>
            </w:pPr>
          </w:p>
        </w:tc>
        <w:tc>
          <w:tcPr>
            <w:tcW w:w="2360" w:type="dxa"/>
            <w:vAlign w:val="bottom"/>
            <w:tcBorders>
              <w:right w:val="single" w:sz="8" w:color="auto"/>
            </w:tcBorders>
            <w:gridSpan w:val="2"/>
          </w:tcPr>
          <w:p>
            <w:pPr>
              <w:ind w:left="80"/>
              <w:spacing w:after="0"/>
              <w:rPr>
                <w:sz w:val="20"/>
                <w:szCs w:val="20"/>
                <w:color w:val="auto"/>
              </w:rPr>
            </w:pPr>
            <w:r>
              <w:rPr>
                <w:rFonts w:ascii="Arial" w:cs="Arial" w:eastAsia="Arial" w:hAnsi="Arial"/>
                <w:sz w:val="18"/>
                <w:szCs w:val="18"/>
                <w:color w:val="auto"/>
              </w:rPr>
              <w:t>Share</w:t>
            </w:r>
          </w:p>
        </w:tc>
        <w:tc>
          <w:tcPr>
            <w:tcW w:w="2180" w:type="dxa"/>
            <w:vAlign w:val="bottom"/>
            <w:tcBorders>
              <w:right w:val="single" w:sz="8" w:color="0067B3"/>
            </w:tcBorders>
          </w:tcPr>
          <w:p>
            <w:pPr>
              <w:spacing w:after="0"/>
              <w:rPr>
                <w:sz w:val="20"/>
                <w:szCs w:val="20"/>
                <w:color w:val="auto"/>
              </w:rPr>
            </w:pPr>
          </w:p>
        </w:tc>
        <w:tc>
          <w:tcPr>
            <w:tcW w:w="0" w:type="dxa"/>
            <w:vAlign w:val="bottom"/>
          </w:tcPr>
          <w:p>
            <w:pPr>
              <w:spacing w:after="0"/>
              <w:rPr>
                <w:sz w:val="1"/>
                <w:szCs w:val="1"/>
                <w:color w:val="auto"/>
              </w:rPr>
            </w:pPr>
          </w:p>
        </w:tc>
      </w:tr>
      <w:tr>
        <w:trPr>
          <w:trHeight w:val="760"/>
        </w:trPr>
        <w:tc>
          <w:tcPr>
            <w:tcW w:w="2120" w:type="dxa"/>
            <w:vAlign w:val="bottom"/>
            <w:tcBorders>
              <w:left w:val="single" w:sz="8" w:color="0067B3"/>
              <w:right w:val="single" w:sz="8" w:color="auto"/>
            </w:tcBorders>
          </w:tcPr>
          <w:p>
            <w:pPr>
              <w:ind w:left="120"/>
              <w:spacing w:after="0"/>
              <w:rPr>
                <w:sz w:val="20"/>
                <w:szCs w:val="20"/>
                <w:color w:val="auto"/>
              </w:rPr>
            </w:pPr>
            <w:r>
              <w:rPr>
                <w:rFonts w:ascii="Arial" w:cs="Arial" w:eastAsia="Arial" w:hAnsi="Arial"/>
                <w:sz w:val="41"/>
                <w:szCs w:val="41"/>
                <w:b w:val="1"/>
                <w:bCs w:val="1"/>
                <w:color w:val="0067B3"/>
              </w:rPr>
              <w:t>~87%</w:t>
            </w:r>
          </w:p>
        </w:tc>
        <w:tc>
          <w:tcPr>
            <w:tcW w:w="1620" w:type="dxa"/>
            <w:vAlign w:val="bottom"/>
          </w:tcPr>
          <w:p>
            <w:pPr>
              <w:ind w:left="80"/>
              <w:spacing w:after="0"/>
              <w:rPr>
                <w:sz w:val="20"/>
                <w:szCs w:val="20"/>
                <w:color w:val="auto"/>
              </w:rPr>
            </w:pPr>
            <w:r>
              <w:rPr>
                <w:rFonts w:ascii="Arial" w:cs="Arial" w:eastAsia="Arial" w:hAnsi="Arial"/>
                <w:sz w:val="41"/>
                <w:szCs w:val="41"/>
                <w:b w:val="1"/>
                <w:bCs w:val="1"/>
                <w:color w:val="0067B3"/>
              </w:rPr>
              <w:t>69.3%</w:t>
            </w:r>
          </w:p>
        </w:tc>
        <w:tc>
          <w:tcPr>
            <w:tcW w:w="640" w:type="dxa"/>
            <w:vAlign w:val="bottom"/>
            <w:tcBorders>
              <w:right w:val="single" w:sz="8" w:color="auto"/>
            </w:tcBorders>
          </w:tcPr>
          <w:p>
            <w:pPr>
              <w:spacing w:after="0"/>
              <w:rPr>
                <w:sz w:val="24"/>
                <w:szCs w:val="24"/>
                <w:color w:val="auto"/>
              </w:rPr>
            </w:pPr>
          </w:p>
        </w:tc>
        <w:tc>
          <w:tcPr>
            <w:tcW w:w="2340" w:type="dxa"/>
            <w:vAlign w:val="bottom"/>
            <w:tcBorders>
              <w:right w:val="single" w:sz="8" w:color="auto"/>
            </w:tcBorders>
          </w:tcPr>
          <w:p>
            <w:pPr>
              <w:ind w:left="80"/>
              <w:spacing w:after="0"/>
              <w:rPr>
                <w:sz w:val="20"/>
                <w:szCs w:val="20"/>
                <w:color w:val="auto"/>
              </w:rPr>
            </w:pPr>
            <w:r>
              <w:rPr>
                <w:rFonts w:ascii="Arial" w:cs="Arial" w:eastAsia="Arial" w:hAnsi="Arial"/>
                <w:sz w:val="41"/>
                <w:szCs w:val="41"/>
                <w:b w:val="1"/>
                <w:bCs w:val="1"/>
                <w:color w:val="0067B3"/>
              </w:rPr>
              <w:t>41.9%</w:t>
            </w:r>
          </w:p>
        </w:tc>
        <w:tc>
          <w:tcPr>
            <w:tcW w:w="2360" w:type="dxa"/>
            <w:vAlign w:val="bottom"/>
            <w:tcBorders>
              <w:right w:val="single" w:sz="8" w:color="auto"/>
            </w:tcBorders>
            <w:gridSpan w:val="2"/>
          </w:tcPr>
          <w:p>
            <w:pPr>
              <w:ind w:left="80"/>
              <w:spacing w:after="0"/>
              <w:rPr>
                <w:sz w:val="20"/>
                <w:szCs w:val="20"/>
                <w:color w:val="auto"/>
              </w:rPr>
            </w:pPr>
            <w:r>
              <w:rPr>
                <w:rFonts w:ascii="Arial" w:cs="Arial" w:eastAsia="Arial" w:hAnsi="Arial"/>
                <w:sz w:val="41"/>
                <w:szCs w:val="41"/>
                <w:b w:val="1"/>
                <w:bCs w:val="1"/>
                <w:color w:val="0067B3"/>
              </w:rPr>
              <w:t>$7.79</w:t>
            </w:r>
          </w:p>
        </w:tc>
        <w:tc>
          <w:tcPr>
            <w:tcW w:w="2180" w:type="dxa"/>
            <w:vAlign w:val="bottom"/>
            <w:tcBorders>
              <w:right w:val="single" w:sz="8" w:color="0067B3"/>
            </w:tcBorders>
          </w:tcPr>
          <w:p>
            <w:pPr>
              <w:ind w:left="80"/>
              <w:spacing w:after="0"/>
              <w:rPr>
                <w:sz w:val="20"/>
                <w:szCs w:val="20"/>
                <w:color w:val="auto"/>
              </w:rPr>
            </w:pPr>
            <w:r>
              <w:rPr>
                <w:rFonts w:ascii="Arial" w:cs="Arial" w:eastAsia="Arial" w:hAnsi="Arial"/>
                <w:sz w:val="41"/>
                <w:szCs w:val="41"/>
                <w:b w:val="1"/>
                <w:bCs w:val="1"/>
                <w:color w:val="0067B3"/>
              </w:rPr>
              <w:t>$4.3B</w:t>
            </w:r>
          </w:p>
        </w:tc>
        <w:tc>
          <w:tcPr>
            <w:tcW w:w="0" w:type="dxa"/>
            <w:vAlign w:val="bottom"/>
          </w:tcPr>
          <w:p>
            <w:pPr>
              <w:spacing w:after="0"/>
              <w:rPr>
                <w:sz w:val="1"/>
                <w:szCs w:val="1"/>
                <w:color w:val="auto"/>
              </w:rPr>
            </w:pPr>
          </w:p>
        </w:tc>
      </w:tr>
      <w:tr>
        <w:trPr>
          <w:trHeight w:val="216"/>
        </w:trPr>
        <w:tc>
          <w:tcPr>
            <w:tcW w:w="2120" w:type="dxa"/>
            <w:vAlign w:val="bottom"/>
            <w:tcBorders>
              <w:left w:val="single" w:sz="8" w:color="0067B3"/>
              <w:right w:val="single" w:sz="8" w:color="auto"/>
            </w:tcBorders>
          </w:tcPr>
          <w:p>
            <w:pPr>
              <w:ind w:left="120"/>
              <w:spacing w:after="0"/>
              <w:rPr>
                <w:sz w:val="20"/>
                <w:szCs w:val="20"/>
                <w:color w:val="auto"/>
              </w:rPr>
            </w:pPr>
            <w:r>
              <w:rPr>
                <w:rFonts w:ascii="Arial" w:cs="Arial" w:eastAsia="Arial" w:hAnsi="Arial"/>
                <w:sz w:val="18"/>
                <w:szCs w:val="18"/>
                <w:color w:val="auto"/>
              </w:rPr>
              <w:t>Business-to-Business</w:t>
            </w:r>
          </w:p>
        </w:tc>
        <w:tc>
          <w:tcPr>
            <w:tcW w:w="2260" w:type="dxa"/>
            <w:vAlign w:val="bottom"/>
            <w:tcBorders>
              <w:right w:val="single" w:sz="8" w:color="auto"/>
            </w:tcBorders>
            <w:gridSpan w:val="2"/>
          </w:tcPr>
          <w:p>
            <w:pPr>
              <w:ind w:left="80"/>
              <w:spacing w:after="0"/>
              <w:rPr>
                <w:sz w:val="20"/>
                <w:szCs w:val="20"/>
                <w:color w:val="auto"/>
              </w:rPr>
            </w:pPr>
            <w:r>
              <w:rPr>
                <w:rFonts w:ascii="Arial" w:cs="Arial" w:eastAsia="Arial" w:hAnsi="Arial"/>
                <w:sz w:val="18"/>
                <w:szCs w:val="18"/>
                <w:color w:val="auto"/>
              </w:rPr>
              <w:t>Adjusted Gross Margin*</w:t>
            </w:r>
          </w:p>
        </w:tc>
        <w:tc>
          <w:tcPr>
            <w:tcW w:w="234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Adjusted Operating</w:t>
            </w:r>
          </w:p>
        </w:tc>
        <w:tc>
          <w:tcPr>
            <w:tcW w:w="2360" w:type="dxa"/>
            <w:vAlign w:val="bottom"/>
            <w:tcBorders>
              <w:right w:val="single" w:sz="8" w:color="auto"/>
            </w:tcBorders>
            <w:gridSpan w:val="2"/>
          </w:tcPr>
          <w:p>
            <w:pPr>
              <w:ind w:left="80"/>
              <w:spacing w:after="0"/>
              <w:rPr>
                <w:sz w:val="20"/>
                <w:szCs w:val="20"/>
                <w:color w:val="auto"/>
              </w:rPr>
            </w:pPr>
            <w:r>
              <w:rPr>
                <w:rFonts w:ascii="Arial" w:cs="Arial" w:eastAsia="Arial" w:hAnsi="Arial"/>
                <w:sz w:val="18"/>
                <w:szCs w:val="18"/>
                <w:color w:val="auto"/>
              </w:rPr>
              <w:t>Adjusted Diluted Earnings</w:t>
            </w:r>
          </w:p>
        </w:tc>
        <w:tc>
          <w:tcPr>
            <w:tcW w:w="2180" w:type="dxa"/>
            <w:vAlign w:val="bottom"/>
            <w:tcBorders>
              <w:right w:val="single" w:sz="8" w:color="0067B3"/>
            </w:tcBorders>
          </w:tcPr>
          <w:p>
            <w:pPr>
              <w:ind w:left="80"/>
              <w:spacing w:after="0"/>
              <w:rPr>
                <w:sz w:val="20"/>
                <w:szCs w:val="20"/>
                <w:color w:val="auto"/>
              </w:rPr>
            </w:pPr>
            <w:r>
              <w:rPr>
                <w:rFonts w:ascii="Arial" w:cs="Arial" w:eastAsia="Arial" w:hAnsi="Arial"/>
                <w:sz w:val="18"/>
                <w:szCs w:val="18"/>
                <w:color w:val="auto"/>
              </w:rPr>
              <w:t>Free Cash Flow*</w:t>
            </w:r>
          </w:p>
        </w:tc>
        <w:tc>
          <w:tcPr>
            <w:tcW w:w="0" w:type="dxa"/>
            <w:vAlign w:val="bottom"/>
          </w:tcPr>
          <w:p>
            <w:pPr>
              <w:spacing w:after="0"/>
              <w:rPr>
                <w:sz w:val="1"/>
                <w:szCs w:val="1"/>
                <w:color w:val="auto"/>
              </w:rPr>
            </w:pPr>
          </w:p>
        </w:tc>
      </w:tr>
      <w:tr>
        <w:trPr>
          <w:trHeight w:val="239"/>
        </w:trPr>
        <w:tc>
          <w:tcPr>
            <w:tcW w:w="2120" w:type="dxa"/>
            <w:vAlign w:val="bottom"/>
            <w:tcBorders>
              <w:left w:val="single" w:sz="8" w:color="0067B3"/>
              <w:right w:val="single" w:sz="8" w:color="auto"/>
            </w:tcBorders>
          </w:tcPr>
          <w:p>
            <w:pPr>
              <w:ind w:left="120"/>
              <w:spacing w:after="0"/>
              <w:rPr>
                <w:sz w:val="20"/>
                <w:szCs w:val="20"/>
                <w:color w:val="auto"/>
              </w:rPr>
            </w:pPr>
            <w:r>
              <w:rPr>
                <w:rFonts w:ascii="Arial" w:cs="Arial" w:eastAsia="Arial" w:hAnsi="Arial"/>
                <w:sz w:val="18"/>
                <w:szCs w:val="18"/>
                <w:color w:val="auto"/>
              </w:rPr>
              <w:t>Revenue</w:t>
            </w:r>
          </w:p>
        </w:tc>
        <w:tc>
          <w:tcPr>
            <w:tcW w:w="1620" w:type="dxa"/>
            <w:vAlign w:val="bottom"/>
          </w:tcPr>
          <w:p>
            <w:pPr>
              <w:spacing w:after="0"/>
              <w:rPr>
                <w:sz w:val="20"/>
                <w:szCs w:val="20"/>
                <w:color w:val="auto"/>
              </w:rPr>
            </w:pPr>
          </w:p>
        </w:tc>
        <w:tc>
          <w:tcPr>
            <w:tcW w:w="640" w:type="dxa"/>
            <w:vAlign w:val="bottom"/>
            <w:tcBorders>
              <w:right w:val="single" w:sz="8" w:color="auto"/>
            </w:tcBorders>
          </w:tcPr>
          <w:p>
            <w:pPr>
              <w:spacing w:after="0"/>
              <w:rPr>
                <w:sz w:val="20"/>
                <w:szCs w:val="20"/>
                <w:color w:val="auto"/>
              </w:rPr>
            </w:pPr>
          </w:p>
        </w:tc>
        <w:tc>
          <w:tcPr>
            <w:tcW w:w="234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Margin*</w:t>
            </w:r>
          </w:p>
        </w:tc>
        <w:tc>
          <w:tcPr>
            <w:tcW w:w="2360" w:type="dxa"/>
            <w:vAlign w:val="bottom"/>
            <w:tcBorders>
              <w:right w:val="single" w:sz="8" w:color="auto"/>
            </w:tcBorders>
            <w:gridSpan w:val="2"/>
          </w:tcPr>
          <w:p>
            <w:pPr>
              <w:ind w:left="80"/>
              <w:spacing w:after="0"/>
              <w:rPr>
                <w:sz w:val="20"/>
                <w:szCs w:val="20"/>
                <w:color w:val="auto"/>
              </w:rPr>
            </w:pPr>
            <w:r>
              <w:rPr>
                <w:rFonts w:ascii="Arial" w:cs="Arial" w:eastAsia="Arial" w:hAnsi="Arial"/>
                <w:sz w:val="18"/>
                <w:szCs w:val="18"/>
                <w:color w:val="auto"/>
              </w:rPr>
              <w:t>per Share*</w:t>
            </w:r>
          </w:p>
        </w:tc>
        <w:tc>
          <w:tcPr>
            <w:tcW w:w="2180" w:type="dxa"/>
            <w:vAlign w:val="bottom"/>
            <w:tcBorders>
              <w:right w:val="single" w:sz="8" w:color="0067B3"/>
            </w:tcBorders>
          </w:tcPr>
          <w:p>
            <w:pPr>
              <w:spacing w:after="0"/>
              <w:rPr>
                <w:sz w:val="20"/>
                <w:szCs w:val="20"/>
                <w:color w:val="auto"/>
              </w:rPr>
            </w:pPr>
          </w:p>
        </w:tc>
        <w:tc>
          <w:tcPr>
            <w:tcW w:w="0" w:type="dxa"/>
            <w:vAlign w:val="bottom"/>
          </w:tcPr>
          <w:p>
            <w:pPr>
              <w:spacing w:after="0"/>
              <w:rPr>
                <w:sz w:val="1"/>
                <w:szCs w:val="1"/>
                <w:color w:val="auto"/>
              </w:rPr>
            </w:pPr>
          </w:p>
        </w:tc>
      </w:tr>
      <w:tr>
        <w:trPr>
          <w:trHeight w:val="171"/>
        </w:trPr>
        <w:tc>
          <w:tcPr>
            <w:tcW w:w="2120" w:type="dxa"/>
            <w:vAlign w:val="bottom"/>
            <w:tcBorders>
              <w:left w:val="single" w:sz="8" w:color="0067B3"/>
              <w:bottom w:val="single" w:sz="8" w:color="0067B3"/>
              <w:right w:val="single" w:sz="8" w:color="auto"/>
            </w:tcBorders>
          </w:tcPr>
          <w:p>
            <w:pPr>
              <w:spacing w:after="0"/>
              <w:rPr>
                <w:sz w:val="14"/>
                <w:szCs w:val="14"/>
                <w:color w:val="auto"/>
              </w:rPr>
            </w:pPr>
          </w:p>
        </w:tc>
        <w:tc>
          <w:tcPr>
            <w:tcW w:w="1620" w:type="dxa"/>
            <w:vAlign w:val="bottom"/>
            <w:tcBorders>
              <w:bottom w:val="single" w:sz="8" w:color="0067B3"/>
            </w:tcBorders>
          </w:tcPr>
          <w:p>
            <w:pPr>
              <w:spacing w:after="0"/>
              <w:rPr>
                <w:sz w:val="14"/>
                <w:szCs w:val="14"/>
                <w:color w:val="auto"/>
              </w:rPr>
            </w:pPr>
          </w:p>
        </w:tc>
        <w:tc>
          <w:tcPr>
            <w:tcW w:w="640" w:type="dxa"/>
            <w:vAlign w:val="bottom"/>
            <w:tcBorders>
              <w:bottom w:val="single" w:sz="8" w:color="0067B3"/>
              <w:right w:val="single" w:sz="8" w:color="auto"/>
            </w:tcBorders>
          </w:tcPr>
          <w:p>
            <w:pPr>
              <w:spacing w:after="0"/>
              <w:rPr>
                <w:sz w:val="14"/>
                <w:szCs w:val="14"/>
                <w:color w:val="auto"/>
              </w:rPr>
            </w:pPr>
          </w:p>
        </w:tc>
        <w:tc>
          <w:tcPr>
            <w:tcW w:w="2340" w:type="dxa"/>
            <w:vAlign w:val="bottom"/>
            <w:tcBorders>
              <w:bottom w:val="single" w:sz="8" w:color="0067B3"/>
              <w:right w:val="single" w:sz="8" w:color="auto"/>
            </w:tcBorders>
          </w:tcPr>
          <w:p>
            <w:pPr>
              <w:spacing w:after="0"/>
              <w:rPr>
                <w:sz w:val="14"/>
                <w:szCs w:val="14"/>
                <w:color w:val="auto"/>
              </w:rPr>
            </w:pPr>
          </w:p>
        </w:tc>
        <w:tc>
          <w:tcPr>
            <w:tcW w:w="780" w:type="dxa"/>
            <w:vAlign w:val="bottom"/>
            <w:tcBorders>
              <w:bottom w:val="single" w:sz="8" w:color="0067B3"/>
            </w:tcBorders>
          </w:tcPr>
          <w:p>
            <w:pPr>
              <w:spacing w:after="0"/>
              <w:rPr>
                <w:sz w:val="14"/>
                <w:szCs w:val="14"/>
                <w:color w:val="auto"/>
              </w:rPr>
            </w:pPr>
          </w:p>
        </w:tc>
        <w:tc>
          <w:tcPr>
            <w:tcW w:w="1580" w:type="dxa"/>
            <w:vAlign w:val="bottom"/>
            <w:tcBorders>
              <w:bottom w:val="single" w:sz="8" w:color="0067B3"/>
              <w:right w:val="single" w:sz="8" w:color="auto"/>
            </w:tcBorders>
          </w:tcPr>
          <w:p>
            <w:pPr>
              <w:spacing w:after="0"/>
              <w:rPr>
                <w:sz w:val="14"/>
                <w:szCs w:val="14"/>
                <w:color w:val="auto"/>
              </w:rPr>
            </w:pPr>
          </w:p>
        </w:tc>
        <w:tc>
          <w:tcPr>
            <w:tcW w:w="2180" w:type="dxa"/>
            <w:vAlign w:val="bottom"/>
            <w:tcBorders>
              <w:bottom w:val="single" w:sz="8" w:color="0067B3"/>
              <w:right w:val="single" w:sz="8" w:color="0067B3"/>
            </w:tcBorders>
          </w:tcPr>
          <w:p>
            <w:pPr>
              <w:spacing w:after="0"/>
              <w:rPr>
                <w:sz w:val="14"/>
                <w:szCs w:val="14"/>
                <w:color w:val="auto"/>
              </w:rPr>
            </w:pPr>
          </w:p>
        </w:tc>
        <w:tc>
          <w:tcPr>
            <w:tcW w:w="0" w:type="dxa"/>
            <w:vAlign w:val="bottom"/>
          </w:tcPr>
          <w:p>
            <w:pPr>
              <w:spacing w:after="0"/>
              <w:rPr>
                <w:sz w:val="1"/>
                <w:szCs w:val="1"/>
                <w:color w:val="auto"/>
              </w:rPr>
            </w:pPr>
          </w:p>
        </w:tc>
      </w:tr>
      <w:tr>
        <w:trPr>
          <w:trHeight w:val="318"/>
        </w:trPr>
        <w:tc>
          <w:tcPr>
            <w:tcW w:w="3740" w:type="dxa"/>
            <w:vAlign w:val="bottom"/>
            <w:gridSpan w:val="2"/>
            <w:vMerge w:val="restart"/>
          </w:tcPr>
          <w:p>
            <w:pPr>
              <w:jc w:val="center"/>
              <w:spacing w:after="0"/>
              <w:rPr>
                <w:sz w:val="20"/>
                <w:szCs w:val="20"/>
                <w:color w:val="auto"/>
              </w:rPr>
            </w:pPr>
            <w:r>
              <w:rPr>
                <w:rFonts w:ascii="Arial" w:cs="Arial" w:eastAsia="Arial" w:hAnsi="Arial"/>
                <w:sz w:val="41"/>
                <w:szCs w:val="41"/>
                <w:b w:val="1"/>
                <w:bCs w:val="1"/>
                <w:color w:val="0067B3"/>
              </w:rPr>
              <w:t>&gt;$24B</w:t>
            </w:r>
          </w:p>
        </w:tc>
        <w:tc>
          <w:tcPr>
            <w:tcW w:w="640" w:type="dxa"/>
            <w:vAlign w:val="bottom"/>
          </w:tcPr>
          <w:p>
            <w:pPr>
              <w:spacing w:after="0"/>
              <w:rPr>
                <w:sz w:val="24"/>
                <w:szCs w:val="24"/>
                <w:color w:val="auto"/>
              </w:rPr>
            </w:pPr>
          </w:p>
        </w:tc>
        <w:tc>
          <w:tcPr>
            <w:tcW w:w="2340" w:type="dxa"/>
            <w:vAlign w:val="bottom"/>
            <w:vMerge w:val="restart"/>
          </w:tcPr>
          <w:p>
            <w:pPr>
              <w:ind w:left="780"/>
              <w:spacing w:after="0"/>
              <w:rPr>
                <w:sz w:val="20"/>
                <w:szCs w:val="20"/>
                <w:color w:val="auto"/>
              </w:rPr>
            </w:pPr>
            <w:r>
              <w:rPr>
                <w:rFonts w:ascii="Arial" w:cs="Arial" w:eastAsia="Arial" w:hAnsi="Arial"/>
                <w:sz w:val="41"/>
                <w:szCs w:val="41"/>
                <w:b w:val="1"/>
                <w:bCs w:val="1"/>
                <w:color w:val="0067B3"/>
              </w:rPr>
              <w:t>9.5%</w:t>
            </w:r>
          </w:p>
        </w:tc>
        <w:tc>
          <w:tcPr>
            <w:tcW w:w="4540" w:type="dxa"/>
            <w:vAlign w:val="bottom"/>
            <w:gridSpan w:val="3"/>
          </w:tcPr>
          <w:p>
            <w:pPr>
              <w:spacing w:after="0"/>
              <w:rPr>
                <w:sz w:val="24"/>
                <w:szCs w:val="24"/>
                <w:color w:val="auto"/>
              </w:rPr>
            </w:pPr>
          </w:p>
        </w:tc>
        <w:tc>
          <w:tcPr>
            <w:tcW w:w="0" w:type="dxa"/>
            <w:vAlign w:val="bottom"/>
          </w:tcPr>
          <w:p>
            <w:pPr>
              <w:spacing w:after="0"/>
              <w:rPr>
                <w:sz w:val="1"/>
                <w:szCs w:val="1"/>
                <w:color w:val="auto"/>
              </w:rPr>
            </w:pPr>
          </w:p>
        </w:tc>
      </w:tr>
      <w:tr>
        <w:trPr>
          <w:trHeight w:val="670"/>
        </w:trPr>
        <w:tc>
          <w:tcPr>
            <w:tcW w:w="3740" w:type="dxa"/>
            <w:vAlign w:val="bottom"/>
            <w:gridSpan w:val="2"/>
            <w:vMerge w:val="continue"/>
          </w:tcPr>
          <w:p>
            <w:pPr>
              <w:spacing w:after="0"/>
              <w:rPr>
                <w:sz w:val="24"/>
                <w:szCs w:val="24"/>
                <w:color w:val="auto"/>
              </w:rPr>
            </w:pPr>
          </w:p>
        </w:tc>
        <w:tc>
          <w:tcPr>
            <w:tcW w:w="640" w:type="dxa"/>
            <w:vAlign w:val="bottom"/>
            <w:tcBorders>
              <w:left w:val="single" w:sz="8" w:color="auto"/>
            </w:tcBorders>
          </w:tcPr>
          <w:p>
            <w:pPr>
              <w:spacing w:after="0"/>
              <w:rPr>
                <w:sz w:val="24"/>
                <w:szCs w:val="24"/>
                <w:color w:val="auto"/>
              </w:rPr>
            </w:pPr>
          </w:p>
        </w:tc>
        <w:tc>
          <w:tcPr>
            <w:tcW w:w="2340" w:type="dxa"/>
            <w:vAlign w:val="bottom"/>
            <w:vMerge w:val="continue"/>
          </w:tcPr>
          <w:p>
            <w:pPr>
              <w:spacing w:after="0"/>
              <w:rPr>
                <w:sz w:val="24"/>
                <w:szCs w:val="24"/>
                <w:color w:val="auto"/>
              </w:rPr>
            </w:pPr>
          </w:p>
        </w:tc>
        <w:tc>
          <w:tcPr>
            <w:tcW w:w="780" w:type="dxa"/>
            <w:vAlign w:val="bottom"/>
            <w:tcBorders>
              <w:right w:val="single" w:sz="8" w:color="auto"/>
            </w:tcBorders>
          </w:tcPr>
          <w:p>
            <w:pPr>
              <w:spacing w:after="0"/>
              <w:rPr>
                <w:sz w:val="24"/>
                <w:szCs w:val="24"/>
                <w:color w:val="auto"/>
              </w:rPr>
            </w:pPr>
          </w:p>
        </w:tc>
        <w:tc>
          <w:tcPr>
            <w:tcW w:w="3760" w:type="dxa"/>
            <w:vAlign w:val="bottom"/>
            <w:gridSpan w:val="2"/>
          </w:tcPr>
          <w:p>
            <w:pPr>
              <w:jc w:val="right"/>
              <w:ind w:right="1092"/>
              <w:spacing w:after="0"/>
              <w:rPr>
                <w:sz w:val="20"/>
                <w:szCs w:val="20"/>
                <w:color w:val="auto"/>
              </w:rPr>
            </w:pPr>
            <w:r>
              <w:rPr>
                <w:rFonts w:ascii="Arial" w:cs="Arial" w:eastAsia="Arial" w:hAnsi="Arial"/>
                <w:sz w:val="41"/>
                <w:szCs w:val="41"/>
                <w:b w:val="1"/>
                <w:bCs w:val="1"/>
                <w:color w:val="0067B3"/>
              </w:rPr>
              <w:t>&gt;375%</w:t>
            </w:r>
          </w:p>
        </w:tc>
        <w:tc>
          <w:tcPr>
            <w:tcW w:w="0" w:type="dxa"/>
            <w:vAlign w:val="bottom"/>
          </w:tcPr>
          <w:p>
            <w:pPr>
              <w:spacing w:after="0"/>
              <w:rPr>
                <w:sz w:val="1"/>
                <w:szCs w:val="1"/>
                <w:color w:val="auto"/>
              </w:rPr>
            </w:pPr>
          </w:p>
        </w:tc>
      </w:tr>
      <w:tr>
        <w:trPr>
          <w:trHeight w:val="216"/>
        </w:trPr>
        <w:tc>
          <w:tcPr>
            <w:tcW w:w="3740" w:type="dxa"/>
            <w:vAlign w:val="bottom"/>
            <w:gridSpan w:val="2"/>
          </w:tcPr>
          <w:p>
            <w:pPr>
              <w:jc w:val="center"/>
              <w:spacing w:after="0"/>
              <w:rPr>
                <w:sz w:val="20"/>
                <w:szCs w:val="20"/>
                <w:color w:val="auto"/>
              </w:rPr>
            </w:pPr>
            <w:r>
              <w:rPr>
                <w:rFonts w:ascii="Arial" w:cs="Arial" w:eastAsia="Arial" w:hAnsi="Arial"/>
                <w:sz w:val="18"/>
                <w:szCs w:val="18"/>
                <w:color w:val="auto"/>
              </w:rPr>
              <w:t>Cash Returned to Shareholders Over the</w:t>
            </w:r>
          </w:p>
        </w:tc>
        <w:tc>
          <w:tcPr>
            <w:tcW w:w="640" w:type="dxa"/>
            <w:vAlign w:val="bottom"/>
            <w:tcBorders>
              <w:left w:val="single" w:sz="8" w:color="auto"/>
            </w:tcBorders>
          </w:tcPr>
          <w:p>
            <w:pPr>
              <w:spacing w:after="0"/>
              <w:rPr>
                <w:sz w:val="18"/>
                <w:szCs w:val="18"/>
                <w:color w:val="auto"/>
              </w:rPr>
            </w:pPr>
          </w:p>
        </w:tc>
        <w:tc>
          <w:tcPr>
            <w:tcW w:w="2340" w:type="dxa"/>
            <w:vAlign w:val="bottom"/>
          </w:tcPr>
          <w:p>
            <w:pPr>
              <w:ind w:left="280"/>
              <w:spacing w:after="0"/>
              <w:rPr>
                <w:sz w:val="20"/>
                <w:szCs w:val="20"/>
                <w:color w:val="auto"/>
              </w:rPr>
            </w:pPr>
            <w:r>
              <w:rPr>
                <w:rFonts w:ascii="Arial" w:cs="Arial" w:eastAsia="Arial" w:hAnsi="Arial"/>
                <w:sz w:val="18"/>
                <w:szCs w:val="18"/>
                <w:color w:val="auto"/>
              </w:rPr>
              <w:t>10-Year Dividend CAGR</w:t>
            </w:r>
          </w:p>
        </w:tc>
        <w:tc>
          <w:tcPr>
            <w:tcW w:w="780" w:type="dxa"/>
            <w:vAlign w:val="bottom"/>
            <w:tcBorders>
              <w:right w:val="single" w:sz="8" w:color="auto"/>
            </w:tcBorders>
          </w:tcPr>
          <w:p>
            <w:pPr>
              <w:spacing w:after="0"/>
              <w:rPr>
                <w:sz w:val="18"/>
                <w:szCs w:val="18"/>
                <w:color w:val="auto"/>
              </w:rPr>
            </w:pPr>
          </w:p>
        </w:tc>
        <w:tc>
          <w:tcPr>
            <w:tcW w:w="3760" w:type="dxa"/>
            <w:vAlign w:val="bottom"/>
            <w:gridSpan w:val="2"/>
          </w:tcPr>
          <w:p>
            <w:pPr>
              <w:jc w:val="center"/>
              <w:spacing w:after="0"/>
              <w:rPr>
                <w:sz w:val="20"/>
                <w:szCs w:val="20"/>
                <w:color w:val="auto"/>
              </w:rPr>
            </w:pPr>
            <w:r>
              <w:rPr>
                <w:rFonts w:ascii="Arial" w:cs="Arial" w:eastAsia="Arial" w:hAnsi="Arial"/>
                <w:sz w:val="18"/>
                <w:szCs w:val="18"/>
                <w:color w:val="auto"/>
                <w:w w:val="98"/>
              </w:rPr>
              <w:t>10-Year Total Shareholder Return</w:t>
            </w:r>
          </w:p>
        </w:tc>
        <w:tc>
          <w:tcPr>
            <w:tcW w:w="0" w:type="dxa"/>
            <w:vAlign w:val="bottom"/>
          </w:tcPr>
          <w:p>
            <w:pPr>
              <w:spacing w:after="0"/>
              <w:rPr>
                <w:sz w:val="1"/>
                <w:szCs w:val="1"/>
                <w:color w:val="auto"/>
              </w:rPr>
            </w:pPr>
          </w:p>
        </w:tc>
      </w:tr>
      <w:tr>
        <w:trPr>
          <w:trHeight w:val="239"/>
        </w:trPr>
        <w:tc>
          <w:tcPr>
            <w:tcW w:w="3740" w:type="dxa"/>
            <w:vAlign w:val="bottom"/>
            <w:gridSpan w:val="2"/>
          </w:tcPr>
          <w:p>
            <w:pPr>
              <w:jc w:val="center"/>
              <w:spacing w:after="0"/>
              <w:rPr>
                <w:sz w:val="20"/>
                <w:szCs w:val="20"/>
                <w:color w:val="auto"/>
              </w:rPr>
            </w:pPr>
            <w:r>
              <w:rPr>
                <w:rFonts w:ascii="Arial" w:cs="Arial" w:eastAsia="Arial" w:hAnsi="Arial"/>
                <w:sz w:val="18"/>
                <w:szCs w:val="18"/>
                <w:color w:val="auto"/>
                <w:w w:val="97"/>
              </w:rPr>
              <w:t>Last 10 Years</w:t>
            </w:r>
          </w:p>
        </w:tc>
        <w:tc>
          <w:tcPr>
            <w:tcW w:w="640" w:type="dxa"/>
            <w:vAlign w:val="bottom"/>
            <w:tcBorders>
              <w:left w:val="single" w:sz="8" w:color="auto"/>
            </w:tcBorders>
          </w:tcPr>
          <w:p>
            <w:pPr>
              <w:spacing w:after="0"/>
              <w:rPr>
                <w:sz w:val="20"/>
                <w:szCs w:val="20"/>
                <w:color w:val="auto"/>
              </w:rPr>
            </w:pPr>
          </w:p>
        </w:tc>
        <w:tc>
          <w:tcPr>
            <w:tcW w:w="2340" w:type="dxa"/>
            <w:vAlign w:val="bottom"/>
          </w:tcPr>
          <w:p>
            <w:pPr>
              <w:spacing w:after="0"/>
              <w:rPr>
                <w:sz w:val="20"/>
                <w:szCs w:val="20"/>
                <w:color w:val="auto"/>
              </w:rPr>
            </w:pPr>
          </w:p>
        </w:tc>
        <w:tc>
          <w:tcPr>
            <w:tcW w:w="780" w:type="dxa"/>
            <w:vAlign w:val="bottom"/>
            <w:tcBorders>
              <w:right w:val="single" w:sz="8" w:color="auto"/>
            </w:tcBorders>
          </w:tcPr>
          <w:p>
            <w:pPr>
              <w:spacing w:after="0"/>
              <w:rPr>
                <w:sz w:val="20"/>
                <w:szCs w:val="20"/>
                <w:color w:val="auto"/>
              </w:rPr>
            </w:pPr>
          </w:p>
        </w:tc>
        <w:tc>
          <w:tcPr>
            <w:tcW w:w="1580" w:type="dxa"/>
            <w:vAlign w:val="bottom"/>
          </w:tcPr>
          <w:p>
            <w:pPr>
              <w:spacing w:after="0"/>
              <w:rPr>
                <w:sz w:val="20"/>
                <w:szCs w:val="20"/>
                <w:color w:val="auto"/>
              </w:rPr>
            </w:pPr>
          </w:p>
        </w:tc>
        <w:tc>
          <w:tcPr>
            <w:tcW w:w="2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9"/>
        </w:trPr>
        <w:tc>
          <w:tcPr>
            <w:tcW w:w="2120" w:type="dxa"/>
            <w:vAlign w:val="bottom"/>
            <w:tcBorders>
              <w:bottom w:val="single" w:sz="8" w:color="0067B3"/>
            </w:tcBorders>
          </w:tcPr>
          <w:p>
            <w:pPr>
              <w:spacing w:after="0"/>
              <w:rPr>
                <w:sz w:val="17"/>
                <w:szCs w:val="17"/>
                <w:color w:val="auto"/>
              </w:rPr>
            </w:pPr>
          </w:p>
        </w:tc>
        <w:tc>
          <w:tcPr>
            <w:tcW w:w="1620" w:type="dxa"/>
            <w:vAlign w:val="bottom"/>
            <w:tcBorders>
              <w:bottom w:val="single" w:sz="8" w:color="0067B3"/>
            </w:tcBorders>
          </w:tcPr>
          <w:p>
            <w:pPr>
              <w:spacing w:after="0"/>
              <w:rPr>
                <w:sz w:val="17"/>
                <w:szCs w:val="17"/>
                <w:color w:val="auto"/>
              </w:rPr>
            </w:pPr>
          </w:p>
        </w:tc>
        <w:tc>
          <w:tcPr>
            <w:tcW w:w="640" w:type="dxa"/>
            <w:vAlign w:val="bottom"/>
            <w:tcBorders>
              <w:left w:val="single" w:sz="8" w:color="auto"/>
              <w:bottom w:val="single" w:sz="8" w:color="0067B3"/>
            </w:tcBorders>
          </w:tcPr>
          <w:p>
            <w:pPr>
              <w:spacing w:after="0"/>
              <w:rPr>
                <w:sz w:val="17"/>
                <w:szCs w:val="17"/>
                <w:color w:val="auto"/>
              </w:rPr>
            </w:pPr>
          </w:p>
        </w:tc>
        <w:tc>
          <w:tcPr>
            <w:tcW w:w="2340" w:type="dxa"/>
            <w:vAlign w:val="bottom"/>
            <w:tcBorders>
              <w:bottom w:val="single" w:sz="8" w:color="0067B3"/>
            </w:tcBorders>
          </w:tcPr>
          <w:p>
            <w:pPr>
              <w:spacing w:after="0"/>
              <w:rPr>
                <w:sz w:val="17"/>
                <w:szCs w:val="17"/>
                <w:color w:val="auto"/>
              </w:rPr>
            </w:pPr>
          </w:p>
        </w:tc>
        <w:tc>
          <w:tcPr>
            <w:tcW w:w="780" w:type="dxa"/>
            <w:vAlign w:val="bottom"/>
            <w:tcBorders>
              <w:bottom w:val="single" w:sz="8" w:color="0067B3"/>
              <w:right w:val="single" w:sz="8" w:color="auto"/>
            </w:tcBorders>
          </w:tcPr>
          <w:p>
            <w:pPr>
              <w:spacing w:after="0"/>
              <w:rPr>
                <w:sz w:val="17"/>
                <w:szCs w:val="17"/>
                <w:color w:val="auto"/>
              </w:rPr>
            </w:pPr>
          </w:p>
        </w:tc>
        <w:tc>
          <w:tcPr>
            <w:tcW w:w="1580" w:type="dxa"/>
            <w:vAlign w:val="bottom"/>
            <w:tcBorders>
              <w:bottom w:val="single" w:sz="8" w:color="0067B3"/>
            </w:tcBorders>
          </w:tcPr>
          <w:p>
            <w:pPr>
              <w:spacing w:after="0"/>
              <w:rPr>
                <w:sz w:val="17"/>
                <w:szCs w:val="17"/>
                <w:color w:val="auto"/>
              </w:rPr>
            </w:pPr>
          </w:p>
        </w:tc>
        <w:tc>
          <w:tcPr>
            <w:tcW w:w="2180" w:type="dxa"/>
            <w:vAlign w:val="bottom"/>
            <w:tcBorders>
              <w:bottom w:val="single" w:sz="8" w:color="0067B3"/>
            </w:tcBorders>
          </w:tcPr>
          <w:p>
            <w:pPr>
              <w:spacing w:after="0"/>
              <w:rPr>
                <w:sz w:val="17"/>
                <w:szCs w:val="17"/>
                <w:color w:val="auto"/>
              </w:rPr>
            </w:pPr>
          </w:p>
        </w:tc>
        <w:tc>
          <w:tcPr>
            <w:tcW w:w="0" w:type="dxa"/>
            <w:vAlign w:val="bottom"/>
          </w:tcPr>
          <w:p>
            <w:pPr>
              <w:spacing w:after="0"/>
              <w:rPr>
                <w:sz w:val="1"/>
                <w:szCs w:val="1"/>
                <w:color w:val="auto"/>
              </w:rPr>
            </w:pPr>
          </w:p>
        </w:tc>
      </w:tr>
    </w:tbl>
    <w:p>
      <w:pPr>
        <w:spacing w:after="0" w:line="188" w:lineRule="exact"/>
        <w:rPr>
          <w:sz w:val="20"/>
          <w:szCs w:val="20"/>
          <w:color w:val="auto"/>
        </w:rPr>
      </w:pPr>
    </w:p>
    <w:p>
      <w:pPr>
        <w:ind w:left="200" w:right="540" w:hanging="192"/>
        <w:spacing w:after="0" w:line="286" w:lineRule="auto"/>
        <w:tabs>
          <w:tab w:leader="none" w:pos="249" w:val="left"/>
        </w:tabs>
        <w:numPr>
          <w:ilvl w:val="0"/>
          <w:numId w:val="8"/>
        </w:numPr>
        <w:rPr>
          <w:rFonts w:ascii="Arial" w:cs="Arial" w:eastAsia="Arial" w:hAnsi="Arial"/>
          <w:sz w:val="16"/>
          <w:szCs w:val="16"/>
          <w:color w:val="auto"/>
        </w:rPr>
      </w:pPr>
      <w:r>
        <w:rPr>
          <w:rFonts w:ascii="Arial" w:cs="Arial" w:eastAsia="Arial" w:hAnsi="Arial"/>
          <w:sz w:val="16"/>
          <w:szCs w:val="16"/>
          <w:color w:val="auto"/>
        </w:rPr>
        <w:t xml:space="preserve">See </w:t>
      </w:r>
      <w:r>
        <w:rPr>
          <w:rFonts w:ascii="Arial" w:cs="Arial" w:eastAsia="Arial" w:hAnsi="Arial"/>
          <w:sz w:val="16"/>
          <w:szCs w:val="16"/>
          <w:i w:val="1"/>
          <w:iCs w:val="1"/>
          <w:color w:val="auto"/>
        </w:rPr>
        <w:t>Appendix B</w:t>
      </w:r>
      <w:r>
        <w:rPr>
          <w:rFonts w:ascii="Arial" w:cs="Arial" w:eastAsia="Arial" w:hAnsi="Arial"/>
          <w:sz w:val="16"/>
          <w:szCs w:val="16"/>
          <w:color w:val="auto"/>
        </w:rPr>
        <w:t xml:space="preserve"> for information regarding non-GAAP financial measures and reconciliations of non-GAAP financial measures to their most directly comparable GAAP financial measures.</w:t>
      </w:r>
    </w:p>
    <w:p>
      <w:pPr>
        <w:spacing w:after="0" w:line="389" w:lineRule="exact"/>
        <w:rPr>
          <w:sz w:val="20"/>
          <w:szCs w:val="20"/>
          <w:color w:val="auto"/>
        </w:rPr>
      </w:pPr>
    </w:p>
    <w:tbl>
      <w:tblPr>
        <w:tblLayout w:type="fixed"/>
        <w:tblInd w:w="0" w:type="dxa"/>
        <w:tblCellMar>
          <w:top w:w="0" w:type="dxa"/>
          <w:left w:w="0" w:type="dxa"/>
          <w:bottom w:w="0" w:type="dxa"/>
          <w:right w:w="0" w:type="dxa"/>
        </w:tblCellMar>
      </w:tblPr>
      <w:tr>
        <w:trPr>
          <w:trHeight w:val="278"/>
        </w:trPr>
        <w:tc>
          <w:tcPr>
            <w:tcW w:w="10840" w:type="dxa"/>
            <w:vAlign w:val="bottom"/>
          </w:tcPr>
          <w:p>
            <w:pPr>
              <w:ind w:left="8980"/>
              <w:spacing w:after="0"/>
              <w:rPr>
                <w:sz w:val="20"/>
                <w:szCs w:val="20"/>
                <w:color w:val="auto"/>
              </w:rPr>
            </w:pPr>
            <w:r>
              <w:rPr>
                <w:rFonts w:ascii="Arial" w:cs="Arial" w:eastAsia="Arial" w:hAnsi="Arial"/>
                <w:sz w:val="16"/>
                <w:szCs w:val="16"/>
                <w:color w:val="0067B3"/>
              </w:rPr>
              <w:t>2026 Proxy Statement</w:t>
            </w:r>
          </w:p>
        </w:tc>
        <w:tc>
          <w:tcPr>
            <w:tcW w:w="400" w:type="dxa"/>
            <w:vAlign w:val="bottom"/>
          </w:tcPr>
          <w:p>
            <w:pPr>
              <w:jc w:val="right"/>
              <w:spacing w:after="0"/>
              <w:rPr>
                <w:sz w:val="20"/>
                <w:szCs w:val="20"/>
                <w:color w:val="auto"/>
              </w:rPr>
            </w:pPr>
            <w:r>
              <w:rPr>
                <w:rFonts w:ascii="Arial" w:cs="Arial" w:eastAsia="Arial" w:hAnsi="Arial"/>
                <w:sz w:val="20"/>
                <w:szCs w:val="20"/>
                <w:b w:val="1"/>
                <w:bCs w:val="1"/>
                <w:color w:val="auto"/>
              </w:rPr>
              <w:t>1</w:t>
            </w:r>
          </w:p>
        </w:tc>
      </w:tr>
      <w:tr>
        <w:trPr>
          <w:trHeight w:val="319"/>
        </w:trPr>
        <w:tc>
          <w:tcPr>
            <w:tcW w:w="1084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60"/>
          </w:cols>
          <w:pgMar w:left="320" w:top="1126" w:right="319" w:bottom="1440" w:gutter="0" w:footer="0" w:header="0"/>
        </w:sectPr>
      </w:pPr>
    </w:p>
    <w:bookmarkStart w:id="7" w:name="page8"/>
    <w:bookmarkEnd w:id="7"/>
    <w:p>
      <w:pPr>
        <w:spacing w:after="0"/>
        <w:rPr>
          <w:sz w:val="20"/>
          <w:szCs w:val="20"/>
          <w:color w:val="auto"/>
        </w:rPr>
      </w:pPr>
      <w:r>
        <w:rPr>
          <w:rFonts w:ascii="Arial" w:cs="Arial" w:eastAsia="Arial" w:hAnsi="Arial"/>
          <w:sz w:val="41"/>
          <w:szCs w:val="41"/>
          <w:b w:val="1"/>
          <w:bCs w:val="1"/>
          <w:color w:val="0067B3"/>
        </w:rPr>
        <w:t>Executive Compensation</w:t>
      </w:r>
    </w:p>
    <w:p>
      <w:pPr>
        <w:spacing w:after="0" w:line="169" w:lineRule="exact"/>
        <w:rPr>
          <w:sz w:val="20"/>
          <w:szCs w:val="20"/>
          <w:color w:val="auto"/>
        </w:rPr>
      </w:pPr>
    </w:p>
    <w:p>
      <w:pPr>
        <w:ind w:right="660"/>
        <w:spacing w:after="0" w:line="287" w:lineRule="auto"/>
        <w:rPr>
          <w:sz w:val="20"/>
          <w:szCs w:val="20"/>
          <w:color w:val="auto"/>
        </w:rPr>
      </w:pPr>
      <w:r>
        <w:rPr>
          <w:rFonts w:ascii="Arial" w:cs="Arial" w:eastAsia="Arial" w:hAnsi="Arial"/>
          <w:sz w:val="18"/>
          <w:szCs w:val="18"/>
          <w:color w:val="auto"/>
        </w:rPr>
        <w:t>Our executive compensation programs are designed to attract, retain, and motivate top executive talent and align the interests of our executive officers and our shareholders.</w:t>
      </w:r>
    </w:p>
    <w:p>
      <w:pPr>
        <w:spacing w:after="0" w:line="182" w:lineRule="exact"/>
        <w:rPr>
          <w:sz w:val="20"/>
          <w:szCs w:val="20"/>
          <w:color w:val="auto"/>
        </w:rPr>
      </w:pPr>
    </w:p>
    <w:p>
      <w:pPr>
        <w:spacing w:after="0"/>
        <w:rPr>
          <w:sz w:val="20"/>
          <w:szCs w:val="20"/>
          <w:color w:val="auto"/>
        </w:rPr>
      </w:pPr>
      <w:r>
        <w:rPr>
          <w:rFonts w:ascii="Arial" w:cs="Arial" w:eastAsia="Arial" w:hAnsi="Arial"/>
          <w:sz w:val="32"/>
          <w:szCs w:val="32"/>
          <w:b w:val="1"/>
          <w:bCs w:val="1"/>
          <w:color w:val="auto"/>
        </w:rPr>
        <w:t>Overview of CEO and Named Executive Officer Pay</w:t>
      </w:r>
    </w:p>
    <w:p>
      <w:pPr>
        <w:spacing w:after="0" w:line="156" w:lineRule="exact"/>
        <w:rPr>
          <w:sz w:val="20"/>
          <w:szCs w:val="20"/>
          <w:color w:val="auto"/>
        </w:rPr>
      </w:pPr>
    </w:p>
    <w:p>
      <w:pPr>
        <w:spacing w:after="0" w:line="262" w:lineRule="auto"/>
        <w:rPr>
          <w:sz w:val="20"/>
          <w:szCs w:val="20"/>
          <w:color w:val="auto"/>
        </w:rPr>
      </w:pPr>
      <w:r>
        <w:rPr>
          <w:rFonts w:ascii="Arial" w:cs="Arial" w:eastAsia="Arial" w:hAnsi="Arial"/>
          <w:sz w:val="18"/>
          <w:szCs w:val="18"/>
          <w:color w:val="auto"/>
        </w:rPr>
        <w:t>Executive pay at ADI is strongly aligned with long-term company performance, with a significant portion of compensation delivered in the form of long-term equity-based awards. The target compensation mix shown below is based on target compensation consisting of the annual rate of base salary for the fiscal year ended November 1, 2025 (fiscal year 2025) and short-term and long-term incentive targets approved by the Compensation and Talent Committee in fiscal year 2025.</w:t>
      </w:r>
    </w:p>
    <w:p>
      <w:pPr>
        <w:sectPr>
          <w:pgSz w:w="11900" w:h="16838" w:orient="portrait"/>
          <w:cols w:equalWidth="0" w:num="1">
            <w:col w:w="11200"/>
          </w:cols>
          <w:pgMar w:left="320" w:top="1356" w:right="379" w:bottom="1440" w:gutter="0" w:footer="0" w:header="0"/>
        </w:sectPr>
      </w:pPr>
    </w:p>
    <w:p>
      <w:pPr>
        <w:spacing w:after="0" w:line="203" w:lineRule="exact"/>
        <w:rPr>
          <w:sz w:val="20"/>
          <w:szCs w:val="20"/>
          <w:color w:val="auto"/>
        </w:rPr>
      </w:pPr>
    </w:p>
    <w:p>
      <w:pPr>
        <w:spacing w:after="0"/>
        <w:rPr>
          <w:sz w:val="20"/>
          <w:szCs w:val="20"/>
          <w:color w:val="auto"/>
        </w:rPr>
      </w:pPr>
      <w:r>
        <w:rPr>
          <w:rFonts w:ascii="Arial" w:cs="Arial" w:eastAsia="Arial" w:hAnsi="Arial"/>
          <w:sz w:val="17"/>
          <w:szCs w:val="17"/>
          <w:b w:val="1"/>
          <w:bCs w:val="1"/>
          <w:color w:val="0067B3"/>
        </w:rPr>
        <w:t>Fiscal Year 2025 Target Compensation for CEO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316230</wp:posOffset>
            </wp:positionV>
            <wp:extent cx="2957195" cy="157734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2957195" cy="157734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83" w:lineRule="exact"/>
        <w:rPr>
          <w:sz w:val="20"/>
          <w:szCs w:val="20"/>
          <w:color w:val="auto"/>
        </w:rPr>
      </w:pPr>
    </w:p>
    <w:p>
      <w:pPr>
        <w:ind w:right="720"/>
        <w:spacing w:after="0" w:line="296" w:lineRule="auto"/>
        <w:rPr>
          <w:sz w:val="20"/>
          <w:szCs w:val="20"/>
          <w:color w:val="auto"/>
        </w:rPr>
      </w:pPr>
      <w:r>
        <w:rPr>
          <w:rFonts w:ascii="Arial" w:cs="Arial" w:eastAsia="Arial" w:hAnsi="Arial"/>
          <w:sz w:val="18"/>
          <w:szCs w:val="18"/>
          <w:b w:val="1"/>
          <w:bCs w:val="1"/>
          <w:color w:val="0067B3"/>
        </w:rPr>
        <w:t>Fiscal Year 2025 Target Compensation for Other Named Executive Officers (NEOs)</w:t>
      </w:r>
      <w:r>
        <w:rPr>
          <w:rFonts w:ascii="Arial" w:cs="Arial" w:eastAsia="Arial" w:hAnsi="Arial"/>
          <w:sz w:val="11"/>
          <w:szCs w:val="11"/>
          <w:b w:val="1"/>
          <w:bCs w:val="1"/>
          <w:color w:val="0067B3"/>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116205</wp:posOffset>
            </wp:positionV>
            <wp:extent cx="2957195" cy="157734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2957195" cy="157734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020" w:space="720"/>
            <w:col w:w="5460"/>
          </w:cols>
          <w:pgMar w:left="320" w:top="1356" w:right="37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ind w:left="220" w:hanging="212"/>
        <w:spacing w:after="0"/>
        <w:tabs>
          <w:tab w:leader="none" w:pos="220" w:val="left"/>
        </w:tabs>
        <w:numPr>
          <w:ilvl w:val="0"/>
          <w:numId w:val="9"/>
        </w:numPr>
        <w:rPr>
          <w:rFonts w:ascii="Arial" w:cs="Arial" w:eastAsia="Arial" w:hAnsi="Arial"/>
          <w:sz w:val="21"/>
          <w:szCs w:val="21"/>
          <w:color w:val="auto"/>
          <w:vertAlign w:val="superscript"/>
        </w:rPr>
      </w:pPr>
      <w:r>
        <w:rPr>
          <w:rFonts w:ascii="Arial" w:cs="Arial" w:eastAsia="Arial" w:hAnsi="Arial"/>
          <w:sz w:val="16"/>
          <w:szCs w:val="16"/>
          <w:color w:val="auto"/>
        </w:rPr>
        <w:t>Consists of Richard C. Puccio, Jr., Martin Cotter, Vivek Jain, and Katsu Nakamura.</w:t>
      </w:r>
    </w:p>
    <w:p>
      <w:pPr>
        <w:spacing w:after="0" w:line="215" w:lineRule="exact"/>
        <w:rPr>
          <w:sz w:val="20"/>
          <w:szCs w:val="20"/>
          <w:color w:val="auto"/>
        </w:rPr>
      </w:pPr>
    </w:p>
    <w:p>
      <w:pPr>
        <w:spacing w:after="0"/>
        <w:rPr>
          <w:sz w:val="20"/>
          <w:szCs w:val="20"/>
          <w:color w:val="auto"/>
        </w:rPr>
      </w:pPr>
      <w:r>
        <w:rPr>
          <w:rFonts w:ascii="Arial" w:cs="Arial" w:eastAsia="Arial" w:hAnsi="Arial"/>
          <w:sz w:val="32"/>
          <w:szCs w:val="32"/>
          <w:b w:val="1"/>
          <w:bCs w:val="1"/>
          <w:color w:val="auto"/>
        </w:rPr>
        <w:t>Pay For Performance</w:t>
      </w:r>
    </w:p>
    <w:p>
      <w:pPr>
        <w:spacing w:after="0" w:line="156" w:lineRule="exact"/>
        <w:rPr>
          <w:sz w:val="20"/>
          <w:szCs w:val="20"/>
          <w:color w:val="auto"/>
        </w:rPr>
      </w:pPr>
    </w:p>
    <w:p>
      <w:pPr>
        <w:ind w:right="220"/>
        <w:spacing w:after="0" w:line="248" w:lineRule="auto"/>
        <w:rPr>
          <w:sz w:val="20"/>
          <w:szCs w:val="20"/>
          <w:color w:val="auto"/>
        </w:rPr>
      </w:pPr>
      <w:r>
        <w:rPr>
          <w:rFonts w:ascii="Arial" w:cs="Arial" w:eastAsia="Arial" w:hAnsi="Arial"/>
          <w:sz w:val="18"/>
          <w:szCs w:val="18"/>
          <w:color w:val="auto"/>
        </w:rPr>
        <w:t>A significant portion of the total target compensation for our executive officers, including our NEOs, is in the form of variable, performance-based incentive compensation, with only a small portion of the total target compensation provided in the form of “fixed” compensation. We believe this focuses our executives on achieving company objectives, supports a high-performing culture that attracts and retains highly-qualified executive talent, and aligns executives’ incentives with the creation of shareholder value. In addition, we believe our focus on variable, performance-based incentive compensation provides our executive officers an opportunity to benefit if we deliver stronger results and conversely, if we deliver weaker results, our executive officers will earn less compensation.</w:t>
      </w:r>
    </w:p>
    <w:p>
      <w:pPr>
        <w:spacing w:after="0" w:line="200" w:lineRule="exact"/>
        <w:rPr>
          <w:sz w:val="20"/>
          <w:szCs w:val="20"/>
          <w:color w:val="auto"/>
        </w:rPr>
      </w:pPr>
    </w:p>
    <w:p>
      <w:pPr>
        <w:spacing w:after="0" w:line="288" w:lineRule="exact"/>
        <w:rPr>
          <w:sz w:val="20"/>
          <w:szCs w:val="20"/>
          <w:color w:val="auto"/>
        </w:rPr>
      </w:pPr>
    </w:p>
    <w:p>
      <w:pPr>
        <w:ind w:left="640" w:hanging="614"/>
        <w:spacing w:after="0"/>
        <w:tabs>
          <w:tab w:leader="none" w:pos="640" w:val="left"/>
        </w:tabs>
        <w:numPr>
          <w:ilvl w:val="0"/>
          <w:numId w:val="10"/>
        </w:numPr>
        <w:rPr>
          <w:rFonts w:ascii="Arial" w:cs="Arial" w:eastAsia="Arial" w:hAnsi="Arial"/>
          <w:sz w:val="20"/>
          <w:szCs w:val="20"/>
          <w:b w:val="1"/>
          <w:bCs w:val="1"/>
          <w:color w:val="auto"/>
        </w:rPr>
      </w:pPr>
      <w:r>
        <w:rPr>
          <w:rFonts w:ascii="Arial" w:cs="Arial" w:eastAsia="Arial" w:hAnsi="Arial"/>
          <w:sz w:val="16"/>
          <w:szCs w:val="16"/>
          <w:color w:val="6D6E71"/>
        </w:rPr>
        <w:t>Proxy Summary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194310</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356" w:right="379" w:bottom="1440" w:gutter="0" w:footer="0" w:header="0"/>
          <w:type w:val="continuous"/>
        </w:sectPr>
      </w:pPr>
    </w:p>
    <w:bookmarkStart w:id="8" w:name="page9"/>
    <w:bookmarkEnd w:id="8"/>
    <w:p>
      <w:pPr>
        <w:spacing w:after="0"/>
        <w:rPr>
          <w:sz w:val="20"/>
          <w:szCs w:val="20"/>
          <w:color w:val="auto"/>
        </w:rPr>
      </w:pPr>
      <w:r>
        <w:rPr>
          <w:rFonts w:ascii="Arial" w:cs="Arial" w:eastAsia="Arial" w:hAnsi="Arial"/>
          <w:sz w:val="32"/>
          <w:szCs w:val="32"/>
          <w:b w:val="1"/>
          <w:bCs w:val="1"/>
          <w:color w:val="auto"/>
        </w:rPr>
        <w:t>Stock Performance Graph</w:t>
      </w:r>
    </w:p>
    <w:p>
      <w:pPr>
        <w:spacing w:after="0" w:line="170"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Fiscal year 2025 compensation actions for our executive officers, including our NEOs, are supported by solid corporate performance and strong shareholder returns. The following graph compares cumulative total shareholder return on our common stock since October 31, 2020 with the cumulative total return of the Standard &amp; Poor’s (S&amp;P) 500 Index and the Nasdaq Composite Index. The graph assumes the investment of $100 on October 31, 2020 in our common stock, the S&amp;P 500 Index, and the Nasdaq Composite Index and assumes all dividends are reinvested. Measurement points are the last trading day for each of our respective fiscal years.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1308100</wp:posOffset>
            </wp:positionH>
            <wp:positionV relativeFrom="paragraph">
              <wp:posOffset>125730</wp:posOffset>
            </wp:positionV>
            <wp:extent cx="4526280" cy="223710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4526280" cy="22371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tbl>
      <w:tblPr>
        <w:tblLayout w:type="fixed"/>
        <w:tblInd w:w="0" w:type="dxa"/>
        <w:tblCellMar>
          <w:top w:w="0" w:type="dxa"/>
          <w:left w:w="0" w:type="dxa"/>
          <w:bottom w:w="0" w:type="dxa"/>
          <w:right w:w="0" w:type="dxa"/>
        </w:tblCellMar>
      </w:tblPr>
      <w:tr>
        <w:trPr>
          <w:trHeight w:val="273"/>
        </w:trPr>
        <w:tc>
          <w:tcPr>
            <w:tcW w:w="10840" w:type="dxa"/>
            <w:vAlign w:val="bottom"/>
          </w:tcPr>
          <w:p>
            <w:pPr>
              <w:ind w:left="8980"/>
              <w:spacing w:after="0"/>
              <w:rPr>
                <w:sz w:val="20"/>
                <w:szCs w:val="20"/>
                <w:color w:val="auto"/>
              </w:rPr>
            </w:pPr>
            <w:r>
              <w:rPr>
                <w:rFonts w:ascii="Arial" w:cs="Arial" w:eastAsia="Arial" w:hAnsi="Arial"/>
                <w:sz w:val="16"/>
                <w:szCs w:val="16"/>
                <w:color w:val="0067B3"/>
              </w:rPr>
              <w:t>2026 Proxy Statement</w:t>
            </w:r>
          </w:p>
        </w:tc>
        <w:tc>
          <w:tcPr>
            <w:tcW w:w="400" w:type="dxa"/>
            <w:vAlign w:val="bottom"/>
          </w:tcPr>
          <w:p>
            <w:pPr>
              <w:jc w:val="right"/>
              <w:spacing w:after="0"/>
              <w:rPr>
                <w:sz w:val="20"/>
                <w:szCs w:val="20"/>
                <w:color w:val="auto"/>
              </w:rPr>
            </w:pPr>
            <w:r>
              <w:rPr>
                <w:rFonts w:ascii="Arial" w:cs="Arial" w:eastAsia="Arial" w:hAnsi="Arial"/>
                <w:sz w:val="20"/>
                <w:szCs w:val="20"/>
                <w:b w:val="1"/>
                <w:bCs w:val="1"/>
                <w:color w:val="auto"/>
              </w:rPr>
              <w:t>3</w:t>
            </w:r>
          </w:p>
        </w:tc>
      </w:tr>
      <w:tr>
        <w:trPr>
          <w:trHeight w:val="325"/>
        </w:trPr>
        <w:tc>
          <w:tcPr>
            <w:tcW w:w="1084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324" w:right="339" w:bottom="1440" w:gutter="0" w:footer="0" w:header="0"/>
        </w:sectPr>
      </w:pPr>
    </w:p>
    <w:bookmarkStart w:id="9" w:name="page10"/>
    <w:bookmarkEnd w:id="9"/>
    <w:p>
      <w:pPr>
        <w:spacing w:after="0"/>
        <w:rPr>
          <w:sz w:val="20"/>
          <w:szCs w:val="20"/>
          <w:color w:val="auto"/>
        </w:rPr>
      </w:pPr>
      <w:r>
        <w:rPr>
          <w:rFonts w:ascii="Arial" w:cs="Arial" w:eastAsia="Arial" w:hAnsi="Arial"/>
          <w:sz w:val="41"/>
          <w:szCs w:val="41"/>
          <w:b w:val="1"/>
          <w:bCs w:val="1"/>
          <w:color w:val="0067B3"/>
        </w:rPr>
        <w:t>Our Board of Directors and Corporate Governance</w:t>
      </w:r>
    </w:p>
    <w:p>
      <w:pPr>
        <w:spacing w:after="0" w:line="266" w:lineRule="exact"/>
        <w:rPr>
          <w:sz w:val="20"/>
          <w:szCs w:val="20"/>
          <w:color w:val="auto"/>
        </w:rPr>
      </w:pPr>
    </w:p>
    <w:p>
      <w:pPr>
        <w:spacing w:after="0"/>
        <w:rPr>
          <w:sz w:val="20"/>
          <w:szCs w:val="20"/>
          <w:color w:val="auto"/>
        </w:rPr>
      </w:pPr>
      <w:r>
        <w:rPr>
          <w:rFonts w:ascii="Arial" w:cs="Arial" w:eastAsia="Arial" w:hAnsi="Arial"/>
          <w:sz w:val="32"/>
          <w:szCs w:val="32"/>
          <w:b w:val="1"/>
          <w:bCs w:val="1"/>
          <w:color w:val="auto"/>
        </w:rPr>
        <w:t>Director Nominees</w:t>
      </w:r>
    </w:p>
    <w:p>
      <w:pPr>
        <w:spacing w:after="0" w:line="156" w:lineRule="exact"/>
        <w:rPr>
          <w:sz w:val="20"/>
          <w:szCs w:val="20"/>
          <w:color w:val="auto"/>
        </w:rPr>
      </w:pPr>
    </w:p>
    <w:p>
      <w:pPr>
        <w:ind w:right="20"/>
        <w:spacing w:after="0" w:line="248" w:lineRule="auto"/>
        <w:rPr>
          <w:sz w:val="20"/>
          <w:szCs w:val="20"/>
          <w:color w:val="auto"/>
        </w:rPr>
      </w:pPr>
      <w:r>
        <w:rPr>
          <w:rFonts w:ascii="Arial" w:cs="Arial" w:eastAsia="Arial" w:hAnsi="Arial"/>
          <w:sz w:val="18"/>
          <w:szCs w:val="18"/>
          <w:color w:val="auto"/>
        </w:rPr>
        <w:t>ADI’s Board of Directors is composed of an experienced group of global thought, business, and academic leaders. On January 20, 2026, Susie Wee informed our Board of Directors that she decided not to stand for re-election at the Annual Meeting. Dr. Wee will continue to serve as a member of the Board of Directors through the date of the Annual Meeting. Also on January 20, 2026, Yoky Matsuoka was appointed to our Board of Directors. Our Nominating and Corporate Governance Committee has recommended, and our Board of Directors has determined, to nominate each of the following members of our Board of Directors for election or re-election, as applicable, at the Annual Meeting.</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4240" w:type="dxa"/>
            <w:vAlign w:val="bottom"/>
            <w:shd w:val="clear" w:color="auto" w:fill="0067B3"/>
          </w:tcPr>
          <w:p>
            <w:pPr>
              <w:spacing w:after="0"/>
              <w:rPr>
                <w:sz w:val="16"/>
                <w:szCs w:val="16"/>
                <w:color w:val="auto"/>
              </w:rPr>
            </w:pPr>
          </w:p>
        </w:tc>
        <w:tc>
          <w:tcPr>
            <w:tcW w:w="1680" w:type="dxa"/>
            <w:vAlign w:val="bottom"/>
            <w:shd w:val="clear" w:color="auto" w:fill="0067B3"/>
          </w:tcPr>
          <w:p>
            <w:pPr>
              <w:spacing w:after="0"/>
              <w:rPr>
                <w:sz w:val="16"/>
                <w:szCs w:val="16"/>
                <w:color w:val="auto"/>
              </w:rPr>
            </w:pPr>
          </w:p>
        </w:tc>
        <w:tc>
          <w:tcPr>
            <w:tcW w:w="760" w:type="dxa"/>
            <w:vAlign w:val="bottom"/>
            <w:shd w:val="clear" w:color="auto" w:fill="0067B3"/>
          </w:tcPr>
          <w:p>
            <w:pPr>
              <w:spacing w:after="0"/>
              <w:rPr>
                <w:sz w:val="16"/>
                <w:szCs w:val="16"/>
                <w:color w:val="auto"/>
              </w:rPr>
            </w:pPr>
          </w:p>
        </w:tc>
        <w:tc>
          <w:tcPr>
            <w:tcW w:w="920" w:type="dxa"/>
            <w:vAlign w:val="bottom"/>
            <w:shd w:val="clear" w:color="auto" w:fill="0067B3"/>
          </w:tcPr>
          <w:p>
            <w:pPr>
              <w:spacing w:after="0"/>
              <w:rPr>
                <w:sz w:val="16"/>
                <w:szCs w:val="16"/>
                <w:color w:val="auto"/>
              </w:rPr>
            </w:pPr>
          </w:p>
        </w:tc>
        <w:tc>
          <w:tcPr>
            <w:tcW w:w="1220" w:type="dxa"/>
            <w:vAlign w:val="bottom"/>
            <w:shd w:val="clear" w:color="auto" w:fill="0067B3"/>
          </w:tcPr>
          <w:p>
            <w:pPr>
              <w:spacing w:after="0"/>
              <w:rPr>
                <w:sz w:val="16"/>
                <w:szCs w:val="16"/>
                <w:color w:val="auto"/>
              </w:rPr>
            </w:pPr>
          </w:p>
        </w:tc>
        <w:tc>
          <w:tcPr>
            <w:tcW w:w="1220" w:type="dxa"/>
            <w:vAlign w:val="bottom"/>
            <w:shd w:val="clear" w:color="auto" w:fill="0067B3"/>
          </w:tcPr>
          <w:p>
            <w:pPr>
              <w:jc w:val="center"/>
              <w:spacing w:after="0"/>
              <w:rPr>
                <w:sz w:val="20"/>
                <w:szCs w:val="20"/>
                <w:color w:val="auto"/>
              </w:rPr>
            </w:pPr>
            <w:r>
              <w:rPr>
                <w:rFonts w:ascii="Arial" w:cs="Arial" w:eastAsia="Arial" w:hAnsi="Arial"/>
                <w:sz w:val="16"/>
                <w:szCs w:val="16"/>
                <w:b w:val="1"/>
                <w:bCs w:val="1"/>
                <w:color w:val="FFFFFF"/>
              </w:rPr>
              <w:t>Nominating &amp;</w:t>
            </w:r>
          </w:p>
        </w:tc>
        <w:tc>
          <w:tcPr>
            <w:tcW w:w="1200" w:type="dxa"/>
            <w:vAlign w:val="bottom"/>
            <w:shd w:val="clear" w:color="auto" w:fill="0067B3"/>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240" w:type="dxa"/>
            <w:vAlign w:val="bottom"/>
            <w:shd w:val="clear" w:color="auto" w:fill="0067B3"/>
          </w:tcPr>
          <w:p>
            <w:pPr>
              <w:spacing w:after="0"/>
              <w:rPr>
                <w:sz w:val="16"/>
                <w:szCs w:val="16"/>
                <w:color w:val="auto"/>
              </w:rPr>
            </w:pPr>
          </w:p>
        </w:tc>
        <w:tc>
          <w:tcPr>
            <w:tcW w:w="1680" w:type="dxa"/>
            <w:vAlign w:val="bottom"/>
            <w:shd w:val="clear" w:color="auto" w:fill="0067B3"/>
          </w:tcPr>
          <w:p>
            <w:pPr>
              <w:spacing w:after="0"/>
              <w:rPr>
                <w:sz w:val="16"/>
                <w:szCs w:val="16"/>
                <w:color w:val="auto"/>
              </w:rPr>
            </w:pPr>
          </w:p>
        </w:tc>
        <w:tc>
          <w:tcPr>
            <w:tcW w:w="760" w:type="dxa"/>
            <w:vAlign w:val="bottom"/>
            <w:vMerge w:val="restart"/>
            <w:shd w:val="clear" w:color="auto" w:fill="0067B3"/>
          </w:tcPr>
          <w:p>
            <w:pPr>
              <w:jc w:val="center"/>
              <w:spacing w:after="0"/>
              <w:rPr>
                <w:sz w:val="20"/>
                <w:szCs w:val="20"/>
                <w:color w:val="auto"/>
              </w:rPr>
            </w:pPr>
            <w:r>
              <w:rPr>
                <w:rFonts w:ascii="Arial" w:cs="Arial" w:eastAsia="Arial" w:hAnsi="Arial"/>
                <w:sz w:val="16"/>
                <w:szCs w:val="16"/>
                <w:b w:val="1"/>
                <w:bCs w:val="1"/>
                <w:color w:val="FFFFFF"/>
              </w:rPr>
              <w:t>Director</w:t>
            </w:r>
          </w:p>
        </w:tc>
        <w:tc>
          <w:tcPr>
            <w:tcW w:w="920" w:type="dxa"/>
            <w:vAlign w:val="bottom"/>
            <w:vMerge w:val="restart"/>
            <w:shd w:val="clear" w:color="auto" w:fill="0067B3"/>
          </w:tcPr>
          <w:p>
            <w:pPr>
              <w:jc w:val="center"/>
              <w:spacing w:after="0"/>
              <w:rPr>
                <w:sz w:val="20"/>
                <w:szCs w:val="20"/>
                <w:color w:val="auto"/>
              </w:rPr>
            </w:pPr>
            <w:r>
              <w:rPr>
                <w:rFonts w:ascii="Arial" w:cs="Arial" w:eastAsia="Arial" w:hAnsi="Arial"/>
                <w:sz w:val="16"/>
                <w:szCs w:val="16"/>
                <w:b w:val="1"/>
                <w:bCs w:val="1"/>
                <w:color w:val="FFFFFF"/>
              </w:rPr>
              <w:t>Audit</w:t>
            </w:r>
          </w:p>
        </w:tc>
        <w:tc>
          <w:tcPr>
            <w:tcW w:w="1220" w:type="dxa"/>
            <w:vAlign w:val="bottom"/>
            <w:shd w:val="clear" w:color="auto" w:fill="0067B3"/>
          </w:tcPr>
          <w:p>
            <w:pPr>
              <w:jc w:val="center"/>
              <w:spacing w:after="0"/>
              <w:rPr>
                <w:sz w:val="20"/>
                <w:szCs w:val="20"/>
                <w:color w:val="auto"/>
              </w:rPr>
            </w:pPr>
            <w:r>
              <w:rPr>
                <w:rFonts w:ascii="Arial" w:cs="Arial" w:eastAsia="Arial" w:hAnsi="Arial"/>
                <w:sz w:val="16"/>
                <w:szCs w:val="16"/>
                <w:b w:val="1"/>
                <w:bCs w:val="1"/>
                <w:color w:val="FFFFFF"/>
              </w:rPr>
              <w:t>Compensation</w:t>
            </w:r>
          </w:p>
        </w:tc>
        <w:tc>
          <w:tcPr>
            <w:tcW w:w="1220" w:type="dxa"/>
            <w:vAlign w:val="bottom"/>
            <w:shd w:val="clear" w:color="auto" w:fill="0067B3"/>
          </w:tcPr>
          <w:p>
            <w:pPr>
              <w:jc w:val="center"/>
              <w:spacing w:after="0"/>
              <w:rPr>
                <w:sz w:val="20"/>
                <w:szCs w:val="20"/>
                <w:color w:val="auto"/>
              </w:rPr>
            </w:pPr>
            <w:r>
              <w:rPr>
                <w:rFonts w:ascii="Arial" w:cs="Arial" w:eastAsia="Arial" w:hAnsi="Arial"/>
                <w:sz w:val="16"/>
                <w:szCs w:val="16"/>
                <w:b w:val="1"/>
                <w:bCs w:val="1"/>
                <w:color w:val="FFFFFF"/>
              </w:rPr>
              <w:t>Corporate</w:t>
            </w:r>
          </w:p>
        </w:tc>
        <w:tc>
          <w:tcPr>
            <w:tcW w:w="1200" w:type="dxa"/>
            <w:vAlign w:val="bottom"/>
            <w:shd w:val="clear" w:color="auto" w:fill="0067B3"/>
          </w:tcPr>
          <w:p>
            <w:pPr>
              <w:jc w:val="center"/>
              <w:spacing w:after="0"/>
              <w:rPr>
                <w:sz w:val="20"/>
                <w:szCs w:val="20"/>
                <w:color w:val="auto"/>
              </w:rPr>
            </w:pPr>
            <w:r>
              <w:rPr>
                <w:rFonts w:ascii="Arial" w:cs="Arial" w:eastAsia="Arial" w:hAnsi="Arial"/>
                <w:sz w:val="16"/>
                <w:szCs w:val="16"/>
                <w:b w:val="1"/>
                <w:bCs w:val="1"/>
                <w:color w:val="FFFFFF"/>
                <w:w w:val="99"/>
              </w:rPr>
              <w:t>Corporate</w:t>
            </w:r>
          </w:p>
        </w:tc>
        <w:tc>
          <w:tcPr>
            <w:tcW w:w="0" w:type="dxa"/>
            <w:vAlign w:val="bottom"/>
          </w:tcPr>
          <w:p>
            <w:pPr>
              <w:spacing w:after="0"/>
              <w:rPr>
                <w:sz w:val="1"/>
                <w:szCs w:val="1"/>
                <w:color w:val="auto"/>
              </w:rPr>
            </w:pPr>
          </w:p>
        </w:tc>
      </w:tr>
      <w:tr>
        <w:trPr>
          <w:trHeight w:val="176"/>
        </w:trPr>
        <w:tc>
          <w:tcPr>
            <w:tcW w:w="4240" w:type="dxa"/>
            <w:vAlign w:val="bottom"/>
            <w:shd w:val="clear" w:color="auto" w:fill="0067B3"/>
          </w:tcPr>
          <w:p>
            <w:pPr>
              <w:spacing w:after="0"/>
              <w:rPr>
                <w:sz w:val="15"/>
                <w:szCs w:val="15"/>
                <w:color w:val="auto"/>
              </w:rPr>
            </w:pPr>
          </w:p>
        </w:tc>
        <w:tc>
          <w:tcPr>
            <w:tcW w:w="1680" w:type="dxa"/>
            <w:vAlign w:val="bottom"/>
            <w:shd w:val="clear" w:color="auto" w:fill="0067B3"/>
          </w:tcPr>
          <w:p>
            <w:pPr>
              <w:spacing w:after="0"/>
              <w:rPr>
                <w:sz w:val="15"/>
                <w:szCs w:val="15"/>
                <w:color w:val="auto"/>
              </w:rPr>
            </w:pPr>
          </w:p>
        </w:tc>
        <w:tc>
          <w:tcPr>
            <w:tcW w:w="760" w:type="dxa"/>
            <w:vAlign w:val="bottom"/>
            <w:vMerge w:val="continue"/>
            <w:shd w:val="clear" w:color="auto" w:fill="0067B3"/>
          </w:tcPr>
          <w:p>
            <w:pPr>
              <w:spacing w:after="0"/>
              <w:rPr>
                <w:sz w:val="15"/>
                <w:szCs w:val="15"/>
                <w:color w:val="auto"/>
              </w:rPr>
            </w:pPr>
          </w:p>
        </w:tc>
        <w:tc>
          <w:tcPr>
            <w:tcW w:w="920" w:type="dxa"/>
            <w:vAlign w:val="bottom"/>
            <w:vMerge w:val="continue"/>
            <w:shd w:val="clear" w:color="auto" w:fill="0067B3"/>
          </w:tcPr>
          <w:p>
            <w:pPr>
              <w:spacing w:after="0"/>
              <w:rPr>
                <w:sz w:val="15"/>
                <w:szCs w:val="15"/>
                <w:color w:val="auto"/>
              </w:rPr>
            </w:pPr>
          </w:p>
        </w:tc>
        <w:tc>
          <w:tcPr>
            <w:tcW w:w="1220" w:type="dxa"/>
            <w:vAlign w:val="bottom"/>
            <w:shd w:val="clear" w:color="auto" w:fill="0067B3"/>
          </w:tcPr>
          <w:p>
            <w:pPr>
              <w:jc w:val="center"/>
              <w:spacing w:after="0" w:line="175" w:lineRule="exact"/>
              <w:rPr>
                <w:sz w:val="20"/>
                <w:szCs w:val="20"/>
                <w:color w:val="auto"/>
              </w:rPr>
            </w:pPr>
            <w:r>
              <w:rPr>
                <w:rFonts w:ascii="Arial" w:cs="Arial" w:eastAsia="Arial" w:hAnsi="Arial"/>
                <w:sz w:val="16"/>
                <w:szCs w:val="16"/>
                <w:b w:val="1"/>
                <w:bCs w:val="1"/>
                <w:color w:val="FFFFFF"/>
              </w:rPr>
              <w:t>&amp; Talent</w:t>
            </w:r>
          </w:p>
        </w:tc>
        <w:tc>
          <w:tcPr>
            <w:tcW w:w="1220" w:type="dxa"/>
            <w:vAlign w:val="bottom"/>
            <w:shd w:val="clear" w:color="auto" w:fill="0067B3"/>
          </w:tcPr>
          <w:p>
            <w:pPr>
              <w:jc w:val="center"/>
              <w:spacing w:after="0" w:line="175" w:lineRule="exact"/>
              <w:rPr>
                <w:sz w:val="20"/>
                <w:szCs w:val="20"/>
                <w:color w:val="auto"/>
              </w:rPr>
            </w:pPr>
            <w:r>
              <w:rPr>
                <w:rFonts w:ascii="Arial" w:cs="Arial" w:eastAsia="Arial" w:hAnsi="Arial"/>
                <w:sz w:val="16"/>
                <w:szCs w:val="16"/>
                <w:b w:val="1"/>
                <w:bCs w:val="1"/>
                <w:color w:val="FFFFFF"/>
              </w:rPr>
              <w:t>Governance</w:t>
            </w:r>
          </w:p>
        </w:tc>
        <w:tc>
          <w:tcPr>
            <w:tcW w:w="1200" w:type="dxa"/>
            <w:vAlign w:val="bottom"/>
            <w:shd w:val="clear" w:color="auto" w:fill="0067B3"/>
          </w:tcPr>
          <w:p>
            <w:pPr>
              <w:jc w:val="center"/>
              <w:spacing w:after="0" w:line="175" w:lineRule="exact"/>
              <w:rPr>
                <w:sz w:val="20"/>
                <w:szCs w:val="20"/>
                <w:color w:val="auto"/>
              </w:rPr>
            </w:pPr>
            <w:r>
              <w:rPr>
                <w:rFonts w:ascii="Arial" w:cs="Arial" w:eastAsia="Arial" w:hAnsi="Arial"/>
                <w:sz w:val="16"/>
                <w:szCs w:val="16"/>
                <w:b w:val="1"/>
                <w:bCs w:val="1"/>
                <w:color w:val="FFFFFF"/>
                <w:w w:val="99"/>
              </w:rPr>
              <w:t>Development</w:t>
            </w:r>
          </w:p>
        </w:tc>
        <w:tc>
          <w:tcPr>
            <w:tcW w:w="0" w:type="dxa"/>
            <w:vAlign w:val="bottom"/>
          </w:tcPr>
          <w:p>
            <w:pPr>
              <w:spacing w:after="0"/>
              <w:rPr>
                <w:sz w:val="1"/>
                <w:szCs w:val="1"/>
                <w:color w:val="auto"/>
              </w:rPr>
            </w:pPr>
          </w:p>
        </w:tc>
      </w:tr>
      <w:tr>
        <w:trPr>
          <w:trHeight w:val="244"/>
        </w:trPr>
        <w:tc>
          <w:tcPr>
            <w:tcW w:w="4240" w:type="dxa"/>
            <w:vAlign w:val="bottom"/>
            <w:shd w:val="clear" w:color="auto" w:fill="0067B3"/>
          </w:tcPr>
          <w:p>
            <w:pPr>
              <w:ind w:left="100"/>
              <w:spacing w:after="0"/>
              <w:rPr>
                <w:sz w:val="20"/>
                <w:szCs w:val="20"/>
                <w:color w:val="auto"/>
              </w:rPr>
            </w:pPr>
            <w:r>
              <w:rPr>
                <w:rFonts w:ascii="Arial" w:cs="Arial" w:eastAsia="Arial" w:hAnsi="Arial"/>
                <w:sz w:val="16"/>
                <w:szCs w:val="16"/>
                <w:b w:val="1"/>
                <w:bCs w:val="1"/>
                <w:color w:val="FFFFFF"/>
              </w:rPr>
              <w:t>Name</w:t>
            </w:r>
          </w:p>
        </w:tc>
        <w:tc>
          <w:tcPr>
            <w:tcW w:w="1680" w:type="dxa"/>
            <w:vAlign w:val="bottom"/>
            <w:shd w:val="clear" w:color="auto" w:fill="0067B3"/>
          </w:tcPr>
          <w:p>
            <w:pPr>
              <w:jc w:val="right"/>
              <w:spacing w:after="0"/>
              <w:rPr>
                <w:sz w:val="20"/>
                <w:szCs w:val="20"/>
                <w:color w:val="auto"/>
              </w:rPr>
            </w:pPr>
            <w:r>
              <w:rPr>
                <w:rFonts w:ascii="Arial" w:cs="Arial" w:eastAsia="Arial" w:hAnsi="Arial"/>
                <w:sz w:val="16"/>
                <w:szCs w:val="16"/>
                <w:b w:val="1"/>
                <w:bCs w:val="1"/>
                <w:color w:val="FFFFFF"/>
              </w:rPr>
              <w:t>Independent  Age</w:t>
            </w:r>
          </w:p>
        </w:tc>
        <w:tc>
          <w:tcPr>
            <w:tcW w:w="760" w:type="dxa"/>
            <w:vAlign w:val="bottom"/>
            <w:shd w:val="clear" w:color="auto" w:fill="0067B3"/>
          </w:tcPr>
          <w:p>
            <w:pPr>
              <w:jc w:val="center"/>
              <w:spacing w:after="0"/>
              <w:rPr>
                <w:sz w:val="20"/>
                <w:szCs w:val="20"/>
                <w:color w:val="auto"/>
              </w:rPr>
            </w:pPr>
            <w:r>
              <w:rPr>
                <w:rFonts w:ascii="Arial" w:cs="Arial" w:eastAsia="Arial" w:hAnsi="Arial"/>
                <w:sz w:val="16"/>
                <w:szCs w:val="16"/>
                <w:b w:val="1"/>
                <w:bCs w:val="1"/>
                <w:color w:val="FFFFFF"/>
              </w:rPr>
              <w:t>Since</w:t>
            </w:r>
          </w:p>
        </w:tc>
        <w:tc>
          <w:tcPr>
            <w:tcW w:w="920" w:type="dxa"/>
            <w:vAlign w:val="bottom"/>
            <w:shd w:val="clear" w:color="auto" w:fill="0067B3"/>
          </w:tcPr>
          <w:p>
            <w:pPr>
              <w:jc w:val="center"/>
              <w:spacing w:after="0"/>
              <w:rPr>
                <w:sz w:val="20"/>
                <w:szCs w:val="20"/>
                <w:color w:val="auto"/>
              </w:rPr>
            </w:pPr>
            <w:r>
              <w:rPr>
                <w:rFonts w:ascii="Arial" w:cs="Arial" w:eastAsia="Arial" w:hAnsi="Arial"/>
                <w:sz w:val="16"/>
                <w:szCs w:val="16"/>
                <w:b w:val="1"/>
                <w:bCs w:val="1"/>
                <w:color w:val="FFFFFF"/>
                <w:w w:val="99"/>
              </w:rPr>
              <w:t>Committee</w:t>
            </w:r>
          </w:p>
        </w:tc>
        <w:tc>
          <w:tcPr>
            <w:tcW w:w="1220" w:type="dxa"/>
            <w:vAlign w:val="bottom"/>
            <w:shd w:val="clear" w:color="auto" w:fill="0067B3"/>
          </w:tcPr>
          <w:p>
            <w:pPr>
              <w:jc w:val="center"/>
              <w:spacing w:after="0"/>
              <w:rPr>
                <w:sz w:val="20"/>
                <w:szCs w:val="20"/>
                <w:color w:val="auto"/>
              </w:rPr>
            </w:pPr>
            <w:r>
              <w:rPr>
                <w:rFonts w:ascii="Arial" w:cs="Arial" w:eastAsia="Arial" w:hAnsi="Arial"/>
                <w:sz w:val="16"/>
                <w:szCs w:val="16"/>
                <w:b w:val="1"/>
                <w:bCs w:val="1"/>
                <w:color w:val="FFFFFF"/>
              </w:rPr>
              <w:t>Committee</w:t>
            </w:r>
          </w:p>
        </w:tc>
        <w:tc>
          <w:tcPr>
            <w:tcW w:w="1220" w:type="dxa"/>
            <w:vAlign w:val="bottom"/>
            <w:shd w:val="clear" w:color="auto" w:fill="0067B3"/>
          </w:tcPr>
          <w:p>
            <w:pPr>
              <w:jc w:val="center"/>
              <w:spacing w:after="0"/>
              <w:rPr>
                <w:sz w:val="20"/>
                <w:szCs w:val="20"/>
                <w:color w:val="auto"/>
              </w:rPr>
            </w:pPr>
            <w:r>
              <w:rPr>
                <w:rFonts w:ascii="Arial" w:cs="Arial" w:eastAsia="Arial" w:hAnsi="Arial"/>
                <w:sz w:val="16"/>
                <w:szCs w:val="16"/>
                <w:b w:val="1"/>
                <w:bCs w:val="1"/>
                <w:color w:val="FFFFFF"/>
                <w:w w:val="99"/>
              </w:rPr>
              <w:t>Committee</w:t>
            </w:r>
          </w:p>
        </w:tc>
        <w:tc>
          <w:tcPr>
            <w:tcW w:w="1200" w:type="dxa"/>
            <w:vAlign w:val="bottom"/>
            <w:shd w:val="clear" w:color="auto" w:fill="0067B3"/>
          </w:tcPr>
          <w:p>
            <w:pPr>
              <w:jc w:val="center"/>
              <w:spacing w:after="0"/>
              <w:rPr>
                <w:sz w:val="20"/>
                <w:szCs w:val="20"/>
                <w:color w:val="auto"/>
              </w:rPr>
            </w:pPr>
            <w:r>
              <w:rPr>
                <w:rFonts w:ascii="Arial" w:cs="Arial" w:eastAsia="Arial" w:hAnsi="Arial"/>
                <w:sz w:val="16"/>
                <w:szCs w:val="16"/>
                <w:b w:val="1"/>
                <w:bCs w:val="1"/>
                <w:color w:val="FFFFFF"/>
              </w:rPr>
              <w:t>Committee</w:t>
            </w:r>
          </w:p>
        </w:tc>
        <w:tc>
          <w:tcPr>
            <w:tcW w:w="0" w:type="dxa"/>
            <w:vAlign w:val="bottom"/>
          </w:tcPr>
          <w:p>
            <w:pPr>
              <w:spacing w:after="0"/>
              <w:rPr>
                <w:sz w:val="1"/>
                <w:szCs w:val="1"/>
                <w:color w:val="auto"/>
              </w:rPr>
            </w:pPr>
          </w:p>
        </w:tc>
      </w:tr>
      <w:tr>
        <w:trPr>
          <w:trHeight w:val="211"/>
        </w:trPr>
        <w:tc>
          <w:tcPr>
            <w:tcW w:w="4240" w:type="dxa"/>
            <w:vAlign w:val="bottom"/>
            <w:shd w:val="clear" w:color="auto" w:fill="E2E6F4"/>
          </w:tcPr>
          <w:p>
            <w:pPr>
              <w:ind w:left="100"/>
              <w:spacing w:after="0"/>
              <w:rPr>
                <w:sz w:val="20"/>
                <w:szCs w:val="20"/>
                <w:color w:val="auto"/>
              </w:rPr>
            </w:pPr>
            <w:r>
              <w:rPr>
                <w:rFonts w:ascii="Arial" w:cs="Arial" w:eastAsia="Arial" w:hAnsi="Arial"/>
                <w:sz w:val="18"/>
                <w:szCs w:val="18"/>
                <w:b w:val="1"/>
                <w:bCs w:val="1"/>
                <w:color w:val="0067B3"/>
              </w:rPr>
              <w:t>VINCENT ROCHE</w:t>
            </w:r>
          </w:p>
        </w:tc>
        <w:tc>
          <w:tcPr>
            <w:tcW w:w="1680" w:type="dxa"/>
            <w:vAlign w:val="bottom"/>
            <w:vMerge w:val="restart"/>
            <w:shd w:val="clear" w:color="auto" w:fill="E2E6F4"/>
          </w:tcPr>
          <w:p>
            <w:pPr>
              <w:jc w:val="right"/>
              <w:ind w:right="55"/>
              <w:spacing w:after="0"/>
              <w:rPr>
                <w:sz w:val="20"/>
                <w:szCs w:val="20"/>
                <w:color w:val="auto"/>
              </w:rPr>
            </w:pPr>
            <w:r>
              <w:rPr>
                <w:rFonts w:ascii="Arial" w:cs="Arial" w:eastAsia="Arial" w:hAnsi="Arial"/>
                <w:sz w:val="18"/>
                <w:szCs w:val="18"/>
                <w:color w:val="auto"/>
              </w:rPr>
              <w:t>65</w:t>
            </w:r>
          </w:p>
        </w:tc>
        <w:tc>
          <w:tcPr>
            <w:tcW w:w="760" w:type="dxa"/>
            <w:vAlign w:val="bottom"/>
            <w:vMerge w:val="restart"/>
            <w:shd w:val="clear" w:color="auto" w:fill="E2E6F4"/>
          </w:tcPr>
          <w:p>
            <w:pPr>
              <w:jc w:val="center"/>
              <w:spacing w:after="0"/>
              <w:rPr>
                <w:sz w:val="20"/>
                <w:szCs w:val="20"/>
                <w:color w:val="auto"/>
              </w:rPr>
            </w:pPr>
            <w:r>
              <w:rPr>
                <w:rFonts w:ascii="Arial" w:cs="Arial" w:eastAsia="Arial" w:hAnsi="Arial"/>
                <w:sz w:val="18"/>
                <w:szCs w:val="18"/>
                <w:color w:val="auto"/>
                <w:w w:val="99"/>
              </w:rPr>
              <w:t>2013</w:t>
            </w:r>
          </w:p>
        </w:tc>
        <w:tc>
          <w:tcPr>
            <w:tcW w:w="920" w:type="dxa"/>
            <w:vAlign w:val="bottom"/>
            <w:shd w:val="clear" w:color="auto" w:fill="E2E6F4"/>
          </w:tcPr>
          <w:p>
            <w:pPr>
              <w:spacing w:after="0"/>
              <w:rPr>
                <w:sz w:val="18"/>
                <w:szCs w:val="18"/>
                <w:color w:val="auto"/>
              </w:rPr>
            </w:pPr>
          </w:p>
        </w:tc>
        <w:tc>
          <w:tcPr>
            <w:tcW w:w="1220" w:type="dxa"/>
            <w:vAlign w:val="bottom"/>
            <w:shd w:val="clear" w:color="auto" w:fill="E2E6F4"/>
          </w:tcPr>
          <w:p>
            <w:pPr>
              <w:spacing w:after="0"/>
              <w:rPr>
                <w:sz w:val="18"/>
                <w:szCs w:val="18"/>
                <w:color w:val="auto"/>
              </w:rPr>
            </w:pPr>
          </w:p>
        </w:tc>
        <w:tc>
          <w:tcPr>
            <w:tcW w:w="1220" w:type="dxa"/>
            <w:vAlign w:val="bottom"/>
            <w:shd w:val="clear" w:color="auto" w:fill="E2E6F4"/>
          </w:tcPr>
          <w:p>
            <w:pPr>
              <w:spacing w:after="0"/>
              <w:rPr>
                <w:sz w:val="18"/>
                <w:szCs w:val="18"/>
                <w:color w:val="auto"/>
              </w:rPr>
            </w:pPr>
          </w:p>
        </w:tc>
        <w:tc>
          <w:tcPr>
            <w:tcW w:w="1200" w:type="dxa"/>
            <w:vAlign w:val="bottom"/>
            <w:shd w:val="clear" w:color="auto" w:fill="E2E6F4"/>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40" w:type="dxa"/>
            <w:vAlign w:val="bottom"/>
            <w:shd w:val="clear" w:color="auto" w:fill="E2E6F4"/>
          </w:tcPr>
          <w:p>
            <w:pPr>
              <w:ind w:left="100"/>
              <w:spacing w:after="0"/>
              <w:rPr>
                <w:sz w:val="20"/>
                <w:szCs w:val="20"/>
                <w:color w:val="auto"/>
              </w:rPr>
            </w:pPr>
            <w:r>
              <w:rPr>
                <w:rFonts w:ascii="Arial" w:cs="Arial" w:eastAsia="Arial" w:hAnsi="Arial"/>
                <w:sz w:val="18"/>
                <w:szCs w:val="18"/>
                <w:b w:val="1"/>
                <w:bCs w:val="1"/>
                <w:color w:val="auto"/>
              </w:rPr>
              <w:t>Chief Executive Officer and Chair of the Board</w:t>
            </w:r>
          </w:p>
        </w:tc>
        <w:tc>
          <w:tcPr>
            <w:tcW w:w="1680" w:type="dxa"/>
            <w:vAlign w:val="bottom"/>
            <w:vMerge w:val="continue"/>
            <w:shd w:val="clear" w:color="auto" w:fill="E2E6F4"/>
          </w:tcPr>
          <w:p>
            <w:pPr>
              <w:spacing w:after="0"/>
              <w:rPr>
                <w:sz w:val="18"/>
                <w:szCs w:val="18"/>
                <w:color w:val="auto"/>
              </w:rPr>
            </w:pPr>
          </w:p>
        </w:tc>
        <w:tc>
          <w:tcPr>
            <w:tcW w:w="760" w:type="dxa"/>
            <w:vAlign w:val="bottom"/>
            <w:vMerge w:val="continue"/>
            <w:shd w:val="clear" w:color="auto" w:fill="E2E6F4"/>
          </w:tcPr>
          <w:p>
            <w:pPr>
              <w:spacing w:after="0"/>
              <w:rPr>
                <w:sz w:val="18"/>
                <w:szCs w:val="18"/>
                <w:color w:val="auto"/>
              </w:rPr>
            </w:pPr>
          </w:p>
        </w:tc>
        <w:tc>
          <w:tcPr>
            <w:tcW w:w="920" w:type="dxa"/>
            <w:vAlign w:val="bottom"/>
            <w:shd w:val="clear" w:color="auto" w:fill="E2E6F4"/>
          </w:tcPr>
          <w:p>
            <w:pPr>
              <w:spacing w:after="0"/>
              <w:rPr>
                <w:sz w:val="18"/>
                <w:szCs w:val="18"/>
                <w:color w:val="auto"/>
              </w:rPr>
            </w:pPr>
          </w:p>
        </w:tc>
        <w:tc>
          <w:tcPr>
            <w:tcW w:w="1220" w:type="dxa"/>
            <w:vAlign w:val="bottom"/>
            <w:shd w:val="clear" w:color="auto" w:fill="E2E6F4"/>
          </w:tcPr>
          <w:p>
            <w:pPr>
              <w:spacing w:after="0"/>
              <w:rPr>
                <w:sz w:val="18"/>
                <w:szCs w:val="18"/>
                <w:color w:val="auto"/>
              </w:rPr>
            </w:pPr>
          </w:p>
        </w:tc>
        <w:tc>
          <w:tcPr>
            <w:tcW w:w="1220" w:type="dxa"/>
            <w:vAlign w:val="bottom"/>
            <w:shd w:val="clear" w:color="auto" w:fill="E2E6F4"/>
          </w:tcPr>
          <w:p>
            <w:pPr>
              <w:spacing w:after="0"/>
              <w:rPr>
                <w:sz w:val="18"/>
                <w:szCs w:val="18"/>
                <w:color w:val="auto"/>
              </w:rPr>
            </w:pPr>
          </w:p>
        </w:tc>
        <w:tc>
          <w:tcPr>
            <w:tcW w:w="1200" w:type="dxa"/>
            <w:vAlign w:val="bottom"/>
            <w:shd w:val="clear" w:color="auto" w:fill="E2E6F4"/>
          </w:tcPr>
          <w:p>
            <w:pPr>
              <w:spacing w:after="0"/>
              <w:rPr>
                <w:sz w:val="18"/>
                <w:szCs w:val="18"/>
                <w:color w:val="auto"/>
              </w:rPr>
            </w:pPr>
          </w:p>
        </w:tc>
        <w:tc>
          <w:tcPr>
            <w:tcW w:w="0" w:type="dxa"/>
            <w:vAlign w:val="bottom"/>
          </w:tcPr>
          <w:p>
            <w:pPr>
              <w:spacing w:after="0"/>
              <w:rPr>
                <w:sz w:val="1"/>
                <w:szCs w:val="1"/>
                <w:color w:val="auto"/>
              </w:rPr>
            </w:pPr>
          </w:p>
        </w:tc>
      </w:tr>
      <w:tr>
        <w:trPr>
          <w:trHeight w:val="248"/>
        </w:trPr>
        <w:tc>
          <w:tcPr>
            <w:tcW w:w="4240" w:type="dxa"/>
            <w:vAlign w:val="bottom"/>
            <w:shd w:val="clear" w:color="auto" w:fill="E2E6F4"/>
          </w:tcPr>
          <w:p>
            <w:pPr>
              <w:ind w:left="100"/>
              <w:spacing w:after="0"/>
              <w:rPr>
                <w:sz w:val="20"/>
                <w:szCs w:val="20"/>
                <w:color w:val="auto"/>
              </w:rPr>
            </w:pPr>
            <w:r>
              <w:rPr>
                <w:rFonts w:ascii="Arial" w:cs="Arial" w:eastAsia="Arial" w:hAnsi="Arial"/>
                <w:sz w:val="18"/>
                <w:szCs w:val="18"/>
                <w:b w:val="1"/>
                <w:bCs w:val="1"/>
                <w:color w:val="auto"/>
              </w:rPr>
              <w:t>of Directors Analog Devices, Inc.</w:t>
            </w:r>
          </w:p>
        </w:tc>
        <w:tc>
          <w:tcPr>
            <w:tcW w:w="1680" w:type="dxa"/>
            <w:vAlign w:val="bottom"/>
            <w:shd w:val="clear" w:color="auto" w:fill="E2E6F4"/>
          </w:tcPr>
          <w:p>
            <w:pPr>
              <w:spacing w:after="0"/>
              <w:rPr>
                <w:sz w:val="21"/>
                <w:szCs w:val="21"/>
                <w:color w:val="auto"/>
              </w:rPr>
            </w:pPr>
          </w:p>
        </w:tc>
        <w:tc>
          <w:tcPr>
            <w:tcW w:w="760" w:type="dxa"/>
            <w:vAlign w:val="bottom"/>
            <w:shd w:val="clear" w:color="auto" w:fill="E2E6F4"/>
          </w:tcPr>
          <w:p>
            <w:pPr>
              <w:spacing w:after="0"/>
              <w:rPr>
                <w:sz w:val="21"/>
                <w:szCs w:val="21"/>
                <w:color w:val="auto"/>
              </w:rPr>
            </w:pPr>
          </w:p>
        </w:tc>
        <w:tc>
          <w:tcPr>
            <w:tcW w:w="920" w:type="dxa"/>
            <w:vAlign w:val="bottom"/>
            <w:shd w:val="clear" w:color="auto" w:fill="E2E6F4"/>
          </w:tcPr>
          <w:p>
            <w:pPr>
              <w:spacing w:after="0"/>
              <w:rPr>
                <w:sz w:val="21"/>
                <w:szCs w:val="21"/>
                <w:color w:val="auto"/>
              </w:rPr>
            </w:pPr>
          </w:p>
        </w:tc>
        <w:tc>
          <w:tcPr>
            <w:tcW w:w="1220" w:type="dxa"/>
            <w:vAlign w:val="bottom"/>
            <w:shd w:val="clear" w:color="auto" w:fill="E2E6F4"/>
          </w:tcPr>
          <w:p>
            <w:pPr>
              <w:spacing w:after="0"/>
              <w:rPr>
                <w:sz w:val="21"/>
                <w:szCs w:val="21"/>
                <w:color w:val="auto"/>
              </w:rPr>
            </w:pPr>
          </w:p>
        </w:tc>
        <w:tc>
          <w:tcPr>
            <w:tcW w:w="1220" w:type="dxa"/>
            <w:vAlign w:val="bottom"/>
            <w:shd w:val="clear" w:color="auto" w:fill="E2E6F4"/>
          </w:tcPr>
          <w:p>
            <w:pPr>
              <w:spacing w:after="0"/>
              <w:rPr>
                <w:sz w:val="21"/>
                <w:szCs w:val="21"/>
                <w:color w:val="auto"/>
              </w:rPr>
            </w:pPr>
          </w:p>
        </w:tc>
        <w:tc>
          <w:tcPr>
            <w:tcW w:w="1200" w:type="dxa"/>
            <w:vAlign w:val="bottom"/>
            <w:shd w:val="clear" w:color="auto" w:fill="E2E6F4"/>
          </w:tcPr>
          <w:p>
            <w:pPr>
              <w:spacing w:after="0"/>
              <w:rPr>
                <w:sz w:val="21"/>
                <w:szCs w:val="21"/>
                <w:color w:val="auto"/>
              </w:rPr>
            </w:pPr>
          </w:p>
        </w:tc>
        <w:tc>
          <w:tcPr>
            <w:tcW w:w="0" w:type="dxa"/>
            <w:vAlign w:val="bottom"/>
          </w:tcPr>
          <w:p>
            <w:pPr>
              <w:spacing w:after="0"/>
              <w:rPr>
                <w:sz w:val="1"/>
                <w:szCs w:val="1"/>
                <w:color w:val="auto"/>
              </w:rPr>
            </w:pPr>
          </w:p>
        </w:tc>
      </w:tr>
    </w:tbl>
    <w:p>
      <w:pPr>
        <w:spacing w:after="0" w:line="8" w:lineRule="exact"/>
        <w:rPr>
          <w:sz w:val="20"/>
          <w:szCs w:val="20"/>
          <w:color w:val="auto"/>
        </w:rPr>
      </w:pPr>
    </w:p>
    <w:p>
      <w:pPr>
        <w:sectPr>
          <w:pgSz w:w="11900" w:h="16838" w:orient="portrait"/>
          <w:cols w:equalWidth="0" w:num="1">
            <w:col w:w="11240"/>
          </w:cols>
          <w:pgMar w:left="320" w:top="1356" w:right="339" w:bottom="1440" w:gutter="0" w:footer="0" w:header="0"/>
        </w:sectPr>
      </w:pPr>
    </w:p>
    <w:p>
      <w:pPr>
        <w:ind w:left="100"/>
        <w:spacing w:after="0"/>
        <w:rPr>
          <w:sz w:val="20"/>
          <w:szCs w:val="20"/>
          <w:color w:val="auto"/>
        </w:rPr>
      </w:pPr>
      <w:r>
        <w:rPr>
          <w:rFonts w:ascii="Arial" w:cs="Arial" w:eastAsia="Arial" w:hAnsi="Arial"/>
          <w:sz w:val="18"/>
          <w:szCs w:val="18"/>
          <w:b w:val="1"/>
          <w:bCs w:val="1"/>
          <w:color w:val="0067B3"/>
        </w:rPr>
        <w:t>STEPHEN M. JENNINGS</w:t>
      </w:r>
    </w:p>
    <w:p>
      <w:pPr>
        <w:spacing w:after="0" w:line="14" w:lineRule="exact"/>
        <w:rPr>
          <w:sz w:val="20"/>
          <w:szCs w:val="20"/>
          <w:color w:val="auto"/>
        </w:rPr>
      </w:pPr>
    </w:p>
    <w:p>
      <w:pPr>
        <w:ind w:left="100" w:right="60"/>
        <w:spacing w:after="0" w:line="263" w:lineRule="auto"/>
        <w:rPr>
          <w:sz w:val="20"/>
          <w:szCs w:val="20"/>
          <w:color w:val="auto"/>
        </w:rPr>
      </w:pPr>
      <w:r>
        <w:rPr>
          <w:rFonts w:ascii="Arial" w:cs="Arial" w:eastAsia="Arial" w:hAnsi="Arial"/>
          <w:sz w:val="18"/>
          <w:szCs w:val="18"/>
          <w:b w:val="1"/>
          <w:bCs w:val="1"/>
          <w:color w:val="auto"/>
        </w:rPr>
        <w:t>Lead Independent Director and Former Principal of Deloitte LLP</w:t>
      </w:r>
    </w:p>
    <w:p>
      <w:pPr>
        <w:spacing w:after="0" w:line="1" w:lineRule="exact"/>
        <w:rPr>
          <w:sz w:val="20"/>
          <w:szCs w:val="20"/>
          <w:color w:val="auto"/>
        </w:rPr>
      </w:pPr>
    </w:p>
    <w:p>
      <w:pPr>
        <w:ind w:left="100"/>
        <w:spacing w:after="0"/>
        <w:rPr>
          <w:sz w:val="20"/>
          <w:szCs w:val="20"/>
          <w:color w:val="auto"/>
        </w:rPr>
      </w:pPr>
      <w:r>
        <w:rPr>
          <w:rFonts w:ascii="Arial" w:cs="Arial" w:eastAsia="Arial" w:hAnsi="Arial"/>
          <w:sz w:val="18"/>
          <w:szCs w:val="18"/>
          <w:b w:val="1"/>
          <w:bCs w:val="1"/>
          <w:color w:val="0067B3"/>
        </w:rPr>
        <w:t>ANDRÉ ANDONIAN</w:t>
      </w:r>
    </w:p>
    <w:p>
      <w:pPr>
        <w:spacing w:after="0" w:line="14" w:lineRule="exact"/>
        <w:rPr>
          <w:sz w:val="20"/>
          <w:szCs w:val="20"/>
          <w:color w:val="auto"/>
        </w:rPr>
      </w:pPr>
    </w:p>
    <w:p>
      <w:pPr>
        <w:ind w:left="100" w:right="160"/>
        <w:spacing w:after="0" w:line="248" w:lineRule="auto"/>
        <w:rPr>
          <w:sz w:val="20"/>
          <w:szCs w:val="20"/>
          <w:color w:val="auto"/>
        </w:rPr>
      </w:pPr>
      <w:r>
        <w:rPr>
          <w:rFonts w:ascii="Arial" w:cs="Arial" w:eastAsia="Arial" w:hAnsi="Arial"/>
          <w:sz w:val="18"/>
          <w:szCs w:val="18"/>
          <w:b w:val="1"/>
          <w:bCs w:val="1"/>
          <w:color w:val="auto"/>
        </w:rPr>
        <w:t>Chief Executive Officer of Andonian Advisory Pte. Ltd., Chair of Asia Pacific and Strategic Advisor at Flagship Pioneering, and Senior Advisor – Senior Partner Emeritus at McKinsey &amp; Company</w:t>
      </w:r>
    </w:p>
    <w:p>
      <w:pPr>
        <w:spacing w:after="0" w:line="6" w:lineRule="exact"/>
        <w:rPr>
          <w:sz w:val="20"/>
          <w:szCs w:val="20"/>
          <w:color w:val="auto"/>
        </w:rPr>
      </w:pPr>
    </w:p>
    <w:p>
      <w:pPr>
        <w:ind w:left="100"/>
        <w:spacing w:after="0"/>
        <w:rPr>
          <w:sz w:val="20"/>
          <w:szCs w:val="20"/>
          <w:color w:val="auto"/>
        </w:rPr>
      </w:pPr>
      <w:r>
        <w:rPr>
          <w:rFonts w:ascii="Arial" w:cs="Arial" w:eastAsia="Arial" w:hAnsi="Arial"/>
          <w:sz w:val="18"/>
          <w:szCs w:val="18"/>
          <w:b w:val="1"/>
          <w:bCs w:val="1"/>
          <w:color w:val="0067B3"/>
        </w:rPr>
        <w:t>EDWARD H. FRANK, Ph.D.</w:t>
      </w:r>
    </w:p>
    <w:p>
      <w:pPr>
        <w:spacing w:after="0" w:line="14" w:lineRule="exact"/>
        <w:rPr>
          <w:sz w:val="20"/>
          <w:szCs w:val="20"/>
          <w:color w:val="auto"/>
        </w:rPr>
      </w:pPr>
    </w:p>
    <w:p>
      <w:pPr>
        <w:ind w:left="100"/>
        <w:spacing w:after="0"/>
        <w:rPr>
          <w:sz w:val="20"/>
          <w:szCs w:val="20"/>
          <w:color w:val="auto"/>
        </w:rPr>
      </w:pPr>
      <w:r>
        <w:rPr>
          <w:rFonts w:ascii="Arial" w:cs="Arial" w:eastAsia="Arial" w:hAnsi="Arial"/>
          <w:sz w:val="18"/>
          <w:szCs w:val="18"/>
          <w:b w:val="1"/>
          <w:bCs w:val="1"/>
          <w:color w:val="auto"/>
        </w:rPr>
        <w:t>Executive Chair of Gradient Technologies</w:t>
      </w:r>
    </w:p>
    <w:p>
      <w:pPr>
        <w:spacing w:after="0" w:line="45" w:lineRule="exact"/>
        <w:rPr>
          <w:sz w:val="20"/>
          <w:szCs w:val="20"/>
          <w:color w:val="auto"/>
        </w:rPr>
      </w:pPr>
    </w:p>
    <w:p>
      <w:pPr>
        <w:ind w:left="100"/>
        <w:spacing w:after="0"/>
        <w:rPr>
          <w:sz w:val="20"/>
          <w:szCs w:val="20"/>
          <w:color w:val="auto"/>
        </w:rPr>
      </w:pPr>
      <w:r>
        <w:rPr>
          <w:rFonts w:ascii="Arial" w:cs="Arial" w:eastAsia="Arial" w:hAnsi="Arial"/>
          <w:sz w:val="18"/>
          <w:szCs w:val="18"/>
          <w:b w:val="1"/>
          <w:bCs w:val="1"/>
          <w:color w:val="0067B3"/>
        </w:rPr>
        <w:t>KAREN M. GOLZ</w:t>
      </w:r>
    </w:p>
    <w:p>
      <w:pPr>
        <w:spacing w:after="0" w:line="14" w:lineRule="exact"/>
        <w:rPr>
          <w:sz w:val="20"/>
          <w:szCs w:val="20"/>
          <w:color w:val="auto"/>
        </w:rPr>
      </w:pPr>
    </w:p>
    <w:p>
      <w:pPr>
        <w:ind w:left="100"/>
        <w:spacing w:after="0"/>
        <w:rPr>
          <w:sz w:val="20"/>
          <w:szCs w:val="20"/>
          <w:color w:val="auto"/>
        </w:rPr>
      </w:pPr>
      <w:r>
        <w:rPr>
          <w:rFonts w:ascii="Arial" w:cs="Arial" w:eastAsia="Arial" w:hAnsi="Arial"/>
          <w:sz w:val="18"/>
          <w:szCs w:val="18"/>
          <w:b w:val="1"/>
          <w:bCs w:val="1"/>
          <w:color w:val="auto"/>
        </w:rPr>
        <w:t>Former Global Vice Chair of Ernst &amp; Young LLP</w:t>
      </w:r>
    </w:p>
    <w:p>
      <w:pPr>
        <w:spacing w:after="0" w:line="45" w:lineRule="exact"/>
        <w:rPr>
          <w:sz w:val="20"/>
          <w:szCs w:val="20"/>
          <w:color w:val="auto"/>
        </w:rPr>
      </w:pPr>
    </w:p>
    <w:p>
      <w:pPr>
        <w:ind w:left="100"/>
        <w:spacing w:after="0"/>
        <w:rPr>
          <w:sz w:val="20"/>
          <w:szCs w:val="20"/>
          <w:color w:val="auto"/>
        </w:rPr>
      </w:pPr>
      <w:r>
        <w:rPr>
          <w:rFonts w:ascii="Arial" w:cs="Arial" w:eastAsia="Arial" w:hAnsi="Arial"/>
          <w:sz w:val="18"/>
          <w:szCs w:val="18"/>
          <w:b w:val="1"/>
          <w:bCs w:val="1"/>
          <w:color w:val="0067B3"/>
        </w:rPr>
        <w:t>PETER B. HENRY, Ph.D.</w:t>
      </w:r>
    </w:p>
    <w:p>
      <w:pPr>
        <w:spacing w:after="0" w:line="14" w:lineRule="exact"/>
        <w:rPr>
          <w:sz w:val="20"/>
          <w:szCs w:val="20"/>
          <w:color w:val="auto"/>
        </w:rPr>
      </w:pPr>
    </w:p>
    <w:p>
      <w:pPr>
        <w:ind w:left="100"/>
        <w:spacing w:after="0" w:line="248" w:lineRule="auto"/>
        <w:rPr>
          <w:sz w:val="20"/>
          <w:szCs w:val="20"/>
          <w:color w:val="auto"/>
        </w:rPr>
      </w:pPr>
      <w:r>
        <w:rPr>
          <w:rFonts w:ascii="Arial" w:cs="Arial" w:eastAsia="Arial" w:hAnsi="Arial"/>
          <w:sz w:val="18"/>
          <w:szCs w:val="18"/>
          <w:b w:val="1"/>
          <w:bCs w:val="1"/>
          <w:color w:val="auto"/>
        </w:rPr>
        <w:t>Class of 1984 Senior Fellow at Stanford University’s Hoover Institution and Senior Fellow at Stanford’s Freeman Spogli Institute for International Studies</w:t>
      </w:r>
    </w:p>
    <w:p>
      <w:pPr>
        <w:spacing w:after="0" w:line="17" w:lineRule="exact"/>
        <w:rPr>
          <w:sz w:val="20"/>
          <w:szCs w:val="20"/>
          <w:color w:val="auto"/>
        </w:rPr>
      </w:pPr>
    </w:p>
    <w:p>
      <w:pPr>
        <w:ind w:left="100"/>
        <w:spacing w:after="0"/>
        <w:rPr>
          <w:sz w:val="20"/>
          <w:szCs w:val="20"/>
          <w:color w:val="auto"/>
        </w:rPr>
      </w:pPr>
      <w:r>
        <w:rPr>
          <w:rFonts w:ascii="Arial" w:cs="Arial" w:eastAsia="Arial" w:hAnsi="Arial"/>
          <w:sz w:val="18"/>
          <w:szCs w:val="18"/>
          <w:b w:val="1"/>
          <w:bCs w:val="1"/>
          <w:color w:val="0067B3"/>
        </w:rPr>
        <w:t>MERCEDES JOHNSON</w:t>
      </w:r>
    </w:p>
    <w:p>
      <w:pPr>
        <w:spacing w:after="0" w:line="14" w:lineRule="exact"/>
        <w:rPr>
          <w:sz w:val="20"/>
          <w:szCs w:val="20"/>
          <w:color w:val="auto"/>
        </w:rPr>
      </w:pPr>
    </w:p>
    <w:p>
      <w:pPr>
        <w:ind w:left="100" w:right="800"/>
        <w:spacing w:after="0" w:line="263" w:lineRule="auto"/>
        <w:rPr>
          <w:sz w:val="20"/>
          <w:szCs w:val="20"/>
          <w:color w:val="auto"/>
        </w:rPr>
      </w:pPr>
      <w:r>
        <w:rPr>
          <w:rFonts w:ascii="Arial" w:cs="Arial" w:eastAsia="Arial" w:hAnsi="Arial"/>
          <w:sz w:val="18"/>
          <w:szCs w:val="18"/>
          <w:b w:val="1"/>
          <w:bCs w:val="1"/>
          <w:color w:val="auto"/>
        </w:rPr>
        <w:t>Former Chief Financial Officer of Avago Technologies (now Broadcom)</w:t>
      </w:r>
    </w:p>
    <w:p>
      <w:pPr>
        <w:spacing w:after="0" w:line="1" w:lineRule="exact"/>
        <w:rPr>
          <w:sz w:val="20"/>
          <w:szCs w:val="20"/>
          <w:color w:val="auto"/>
        </w:rPr>
      </w:pPr>
    </w:p>
    <w:p>
      <w:pPr>
        <w:ind w:left="100"/>
        <w:spacing w:after="0"/>
        <w:rPr>
          <w:sz w:val="20"/>
          <w:szCs w:val="20"/>
          <w:color w:val="auto"/>
        </w:rPr>
      </w:pPr>
      <w:r>
        <w:rPr>
          <w:rFonts w:ascii="Arial" w:cs="Arial" w:eastAsia="Arial" w:hAnsi="Arial"/>
          <w:sz w:val="18"/>
          <w:szCs w:val="18"/>
          <w:b w:val="1"/>
          <w:bCs w:val="1"/>
          <w:color w:val="0067B3"/>
        </w:rPr>
        <w:t>YOKY MATSUOKA, Ph.D.</w:t>
      </w:r>
    </w:p>
    <w:p>
      <w:pPr>
        <w:spacing w:after="0" w:line="14" w:lineRule="exact"/>
        <w:rPr>
          <w:sz w:val="20"/>
          <w:szCs w:val="20"/>
          <w:color w:val="auto"/>
        </w:rPr>
      </w:pPr>
    </w:p>
    <w:p>
      <w:pPr>
        <w:ind w:left="100" w:right="720"/>
        <w:spacing w:after="0" w:line="263" w:lineRule="auto"/>
        <w:rPr>
          <w:sz w:val="20"/>
          <w:szCs w:val="20"/>
          <w:color w:val="auto"/>
        </w:rPr>
      </w:pPr>
      <w:r>
        <w:rPr>
          <w:rFonts w:ascii="Arial" w:cs="Arial" w:eastAsia="Arial" w:hAnsi="Arial"/>
          <w:sz w:val="18"/>
          <w:szCs w:val="18"/>
          <w:b w:val="1"/>
          <w:bCs w:val="1"/>
          <w:color w:val="auto"/>
        </w:rPr>
        <w:t>Executive Officer of Panasonic Holdings Corporation</w:t>
      </w:r>
    </w:p>
    <w:p>
      <w:pPr>
        <w:spacing w:after="0" w:line="1" w:lineRule="exact"/>
        <w:rPr>
          <w:sz w:val="20"/>
          <w:szCs w:val="20"/>
          <w:color w:val="auto"/>
        </w:rPr>
      </w:pPr>
    </w:p>
    <w:p>
      <w:pPr>
        <w:ind w:left="100"/>
        <w:spacing w:after="0"/>
        <w:rPr>
          <w:sz w:val="20"/>
          <w:szCs w:val="20"/>
          <w:color w:val="auto"/>
        </w:rPr>
      </w:pPr>
      <w:r>
        <w:rPr>
          <w:rFonts w:ascii="Arial" w:cs="Arial" w:eastAsia="Arial" w:hAnsi="Arial"/>
          <w:sz w:val="18"/>
          <w:szCs w:val="18"/>
          <w:b w:val="1"/>
          <w:bCs w:val="1"/>
          <w:color w:val="0067B3"/>
        </w:rPr>
        <w:t>RAY STATA</w:t>
      </w:r>
    </w:p>
    <w:p>
      <w:pPr>
        <w:spacing w:after="0" w:line="14" w:lineRule="exact"/>
        <w:rPr>
          <w:sz w:val="20"/>
          <w:szCs w:val="20"/>
          <w:color w:val="auto"/>
        </w:rPr>
      </w:pPr>
    </w:p>
    <w:p>
      <w:pPr>
        <w:ind w:left="100" w:right="300"/>
        <w:spacing w:after="0" w:line="263" w:lineRule="auto"/>
        <w:rPr>
          <w:sz w:val="20"/>
          <w:szCs w:val="20"/>
          <w:color w:val="auto"/>
        </w:rPr>
      </w:pPr>
      <w:r>
        <w:rPr>
          <w:rFonts w:ascii="Arial" w:cs="Arial" w:eastAsia="Arial" w:hAnsi="Arial"/>
          <w:sz w:val="18"/>
          <w:szCs w:val="18"/>
          <w:b w:val="1"/>
          <w:bCs w:val="1"/>
          <w:color w:val="auto"/>
        </w:rPr>
        <w:t>Co-Founder and Former Chair of the Board of Directors of Analog Devices, Inc.</w:t>
      </w:r>
    </w:p>
    <w:p>
      <w:pPr>
        <w:spacing w:after="0" w:line="1" w:lineRule="exact"/>
        <w:rPr>
          <w:sz w:val="20"/>
          <w:szCs w:val="20"/>
          <w:color w:val="auto"/>
        </w:rPr>
      </w:pPr>
    </w:p>
    <w:p>
      <w:pPr>
        <w:ind w:left="100"/>
        <w:spacing w:after="0"/>
        <w:rPr>
          <w:sz w:val="20"/>
          <w:szCs w:val="20"/>
          <w:color w:val="auto"/>
        </w:rPr>
      </w:pPr>
      <w:r>
        <w:rPr>
          <w:rFonts w:ascii="Arial" w:cs="Arial" w:eastAsia="Arial" w:hAnsi="Arial"/>
          <w:sz w:val="18"/>
          <w:szCs w:val="18"/>
          <w:b w:val="1"/>
          <w:bCs w:val="1"/>
          <w:color w:val="0067B3"/>
        </w:rPr>
        <w:t>ANDREA F. WAINER</w:t>
      </w:r>
    </w:p>
    <w:p>
      <w:pPr>
        <w:spacing w:after="0" w:line="14" w:lineRule="exact"/>
        <w:rPr>
          <w:sz w:val="20"/>
          <w:szCs w:val="20"/>
          <w:color w:val="auto"/>
        </w:rPr>
      </w:pPr>
    </w:p>
    <w:p>
      <w:pPr>
        <w:ind w:left="100"/>
        <w:spacing w:after="0"/>
        <w:rPr>
          <w:sz w:val="20"/>
          <w:szCs w:val="20"/>
          <w:color w:val="auto"/>
        </w:rPr>
      </w:pPr>
      <w:r>
        <w:rPr>
          <w:rFonts w:ascii="Arial" w:cs="Arial" w:eastAsia="Arial" w:hAnsi="Arial"/>
          <w:sz w:val="18"/>
          <w:szCs w:val="18"/>
          <w:b w:val="1"/>
          <w:bCs w:val="1"/>
          <w:color w:val="auto"/>
        </w:rPr>
        <w:t>Former Executive Vice President, Rapid and</w:t>
      </w:r>
    </w:p>
    <w:p>
      <w:pPr>
        <w:spacing w:after="0" w:line="9" w:lineRule="exact"/>
        <w:rPr>
          <w:sz w:val="20"/>
          <w:szCs w:val="20"/>
          <w:color w:val="auto"/>
        </w:rPr>
      </w:pPr>
    </w:p>
    <w:p>
      <w:pPr>
        <w:ind w:left="100"/>
        <w:spacing w:after="0"/>
        <w:rPr>
          <w:sz w:val="20"/>
          <w:szCs w:val="20"/>
          <w:color w:val="auto"/>
        </w:rPr>
      </w:pPr>
      <w:r>
        <w:rPr>
          <w:rFonts w:ascii="Arial" w:cs="Arial" w:eastAsia="Arial" w:hAnsi="Arial"/>
          <w:sz w:val="18"/>
          <w:szCs w:val="18"/>
          <w:b w:val="1"/>
          <w:bCs w:val="1"/>
          <w:color w:val="auto"/>
        </w:rPr>
        <w:t>Molecular Diagnostics, Abbott Laboratories</w:t>
      </w:r>
    </w:p>
    <w:p>
      <w:pPr>
        <w:spacing w:after="0" w:line="20" w:lineRule="exact"/>
        <w:rPr>
          <w:sz w:val="20"/>
          <w:szCs w:val="20"/>
          <w:color w:val="auto"/>
        </w:rPr>
      </w:pPr>
      <w:r>
        <w:rPr>
          <w:sz w:val="20"/>
          <w:szCs w:val="20"/>
          <w:color w:val="auto"/>
        </w:rPr>
        <w:br w:type="column"/>
      </w:r>
    </w:p>
    <w:p>
      <w:pPr>
        <w:spacing w:after="0" w:line="169" w:lineRule="exact"/>
        <w:rPr>
          <w:sz w:val="20"/>
          <w:szCs w:val="20"/>
          <w:color w:val="auto"/>
        </w:rPr>
      </w:pPr>
    </w:p>
    <w:p>
      <w:pPr>
        <w:ind w:left="9"/>
        <w:spacing w:after="0"/>
        <w:tabs>
          <w:tab w:leader="none" w:pos="708" w:val="left"/>
          <w:tab w:leader="none" w:pos="1228" w:val="left"/>
        </w:tabs>
        <w:rPr>
          <w:sz w:val="20"/>
          <w:szCs w:val="20"/>
          <w:color w:val="auto"/>
        </w:rPr>
      </w:pPr>
      <w:r>
        <w:rPr>
          <w:rFonts w:ascii="Wingdings" w:cs="Wingdings" w:eastAsia="Wingdings" w:hAnsi="Wingdings"/>
          <w:sz w:val="18"/>
          <w:szCs w:val="18"/>
          <w:b w:val="1"/>
          <w:bCs w:val="1"/>
          <w:color w:val="auto"/>
        </w:rPr>
        <w:t>ü</w:t>
      </w:r>
      <w:r>
        <w:rPr>
          <w:sz w:val="20"/>
          <w:szCs w:val="20"/>
          <w:color w:val="auto"/>
        </w:rPr>
        <w:tab/>
      </w:r>
      <w:r>
        <w:rPr>
          <w:rFonts w:ascii="Arial" w:cs="Arial" w:eastAsia="Arial" w:hAnsi="Arial"/>
          <w:sz w:val="18"/>
          <w:szCs w:val="18"/>
          <w:color w:val="auto"/>
        </w:rPr>
        <w:t>64</w:t>
      </w:r>
      <w:r>
        <w:rPr>
          <w:sz w:val="20"/>
          <w:szCs w:val="20"/>
          <w:color w:val="auto"/>
        </w:rPr>
        <w:tab/>
      </w:r>
      <w:r>
        <w:rPr>
          <w:rFonts w:ascii="Arial" w:cs="Arial" w:eastAsia="Arial" w:hAnsi="Arial"/>
          <w:sz w:val="17"/>
          <w:szCs w:val="17"/>
          <w:color w:val="auto"/>
        </w:rPr>
        <w:t>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-3074670</wp:posOffset>
            </wp:positionH>
            <wp:positionV relativeFrom="paragraph">
              <wp:posOffset>172085</wp:posOffset>
            </wp:positionV>
            <wp:extent cx="7132320" cy="82296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8229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ind w:left="9"/>
        <w:spacing w:after="0"/>
        <w:tabs>
          <w:tab w:leader="none" w:pos="708" w:val="left"/>
          <w:tab w:leader="none" w:pos="1228" w:val="left"/>
        </w:tabs>
        <w:rPr>
          <w:sz w:val="20"/>
          <w:szCs w:val="20"/>
          <w:color w:val="auto"/>
        </w:rPr>
      </w:pPr>
      <w:r>
        <w:rPr>
          <w:rFonts w:ascii="Wingdings" w:cs="Wingdings" w:eastAsia="Wingdings" w:hAnsi="Wingdings"/>
          <w:sz w:val="18"/>
          <w:szCs w:val="18"/>
          <w:b w:val="1"/>
          <w:bCs w:val="1"/>
          <w:color w:val="auto"/>
        </w:rPr>
        <w:t>ü</w:t>
      </w:r>
      <w:r>
        <w:rPr>
          <w:sz w:val="20"/>
          <w:szCs w:val="20"/>
          <w:color w:val="auto"/>
        </w:rPr>
        <w:tab/>
      </w:r>
      <w:r>
        <w:rPr>
          <w:rFonts w:ascii="Arial" w:cs="Arial" w:eastAsia="Arial" w:hAnsi="Arial"/>
          <w:sz w:val="18"/>
          <w:szCs w:val="18"/>
          <w:color w:val="auto"/>
        </w:rPr>
        <w:t>63</w:t>
      </w:r>
      <w:r>
        <w:rPr>
          <w:sz w:val="20"/>
          <w:szCs w:val="20"/>
          <w:color w:val="auto"/>
        </w:rPr>
        <w:tab/>
      </w:r>
      <w:r>
        <w:rPr>
          <w:rFonts w:ascii="Arial" w:cs="Arial" w:eastAsia="Arial" w:hAnsi="Arial"/>
          <w:sz w:val="17"/>
          <w:szCs w:val="17"/>
          <w:color w:val="auto"/>
        </w:rPr>
        <w:t>2022</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9"/>
        <w:spacing w:after="0"/>
        <w:tabs>
          <w:tab w:leader="none" w:pos="708" w:val="left"/>
          <w:tab w:leader="none" w:pos="1228" w:val="left"/>
        </w:tabs>
        <w:rPr>
          <w:sz w:val="20"/>
          <w:szCs w:val="20"/>
          <w:color w:val="auto"/>
        </w:rPr>
      </w:pPr>
      <w:r>
        <w:rPr>
          <w:rFonts w:ascii="Wingdings" w:cs="Wingdings" w:eastAsia="Wingdings" w:hAnsi="Wingdings"/>
          <w:sz w:val="18"/>
          <w:szCs w:val="18"/>
          <w:b w:val="1"/>
          <w:bCs w:val="1"/>
          <w:color w:val="auto"/>
        </w:rPr>
        <w:t>ü</w:t>
      </w:r>
      <w:r>
        <w:rPr>
          <w:sz w:val="20"/>
          <w:szCs w:val="20"/>
          <w:color w:val="auto"/>
        </w:rPr>
        <w:tab/>
      </w:r>
      <w:r>
        <w:rPr>
          <w:rFonts w:ascii="Arial" w:cs="Arial" w:eastAsia="Arial" w:hAnsi="Arial"/>
          <w:sz w:val="18"/>
          <w:szCs w:val="18"/>
          <w:color w:val="auto"/>
        </w:rPr>
        <w:t>69</w:t>
      </w:r>
      <w:r>
        <w:rPr>
          <w:sz w:val="20"/>
          <w:szCs w:val="20"/>
          <w:color w:val="auto"/>
        </w:rPr>
        <w:tab/>
      </w:r>
      <w:r>
        <w:rPr>
          <w:rFonts w:ascii="Arial" w:cs="Arial" w:eastAsia="Arial" w:hAnsi="Arial"/>
          <w:sz w:val="17"/>
          <w:szCs w:val="17"/>
          <w:color w:val="auto"/>
        </w:rPr>
        <w:t>2014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-3074670</wp:posOffset>
            </wp:positionH>
            <wp:positionV relativeFrom="paragraph">
              <wp:posOffset>103505</wp:posOffset>
            </wp:positionV>
            <wp:extent cx="7132320" cy="3003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300355"/>
                    </a:xfrm>
                    <a:prstGeom prst="rect">
                      <a:avLst/>
                    </a:prstGeom>
                    <a:noFill/>
                  </pic:spPr>
                </pic:pic>
              </a:graphicData>
            </a:graphic>
          </wp:anchor>
        </w:drawing>
      </w:r>
    </w:p>
    <w:p>
      <w:pPr>
        <w:spacing w:after="0" w:line="246" w:lineRule="exact"/>
        <w:rPr>
          <w:sz w:val="20"/>
          <w:szCs w:val="20"/>
          <w:color w:val="auto"/>
        </w:rPr>
      </w:pPr>
    </w:p>
    <w:p>
      <w:pPr>
        <w:ind w:left="9"/>
        <w:spacing w:after="0"/>
        <w:tabs>
          <w:tab w:leader="none" w:pos="708" w:val="left"/>
          <w:tab w:leader="none" w:pos="1228" w:val="left"/>
        </w:tabs>
        <w:rPr>
          <w:sz w:val="20"/>
          <w:szCs w:val="20"/>
          <w:color w:val="auto"/>
        </w:rPr>
      </w:pPr>
      <w:r>
        <w:rPr>
          <w:rFonts w:ascii="Wingdings" w:cs="Wingdings" w:eastAsia="Wingdings" w:hAnsi="Wingdings"/>
          <w:sz w:val="18"/>
          <w:szCs w:val="18"/>
          <w:b w:val="1"/>
          <w:bCs w:val="1"/>
          <w:color w:val="auto"/>
        </w:rPr>
        <w:t>ü</w:t>
      </w:r>
      <w:r>
        <w:rPr>
          <w:sz w:val="20"/>
          <w:szCs w:val="20"/>
          <w:color w:val="auto"/>
        </w:rPr>
        <w:tab/>
      </w:r>
      <w:r>
        <w:rPr>
          <w:rFonts w:ascii="Arial" w:cs="Arial" w:eastAsia="Arial" w:hAnsi="Arial"/>
          <w:sz w:val="18"/>
          <w:szCs w:val="18"/>
          <w:color w:val="auto"/>
        </w:rPr>
        <w:t>71</w:t>
      </w:r>
      <w:r>
        <w:rPr>
          <w:sz w:val="20"/>
          <w:szCs w:val="20"/>
          <w:color w:val="auto"/>
        </w:rPr>
        <w:tab/>
      </w:r>
      <w:r>
        <w:rPr>
          <w:rFonts w:ascii="Arial" w:cs="Arial" w:eastAsia="Arial" w:hAnsi="Arial"/>
          <w:sz w:val="17"/>
          <w:szCs w:val="17"/>
          <w:color w:val="auto"/>
        </w:rPr>
        <w:t>2018</w:t>
      </w:r>
    </w:p>
    <w:p>
      <w:pPr>
        <w:spacing w:after="0" w:line="200" w:lineRule="exact"/>
        <w:rPr>
          <w:sz w:val="20"/>
          <w:szCs w:val="20"/>
          <w:color w:val="auto"/>
        </w:rPr>
      </w:pPr>
    </w:p>
    <w:p>
      <w:pPr>
        <w:spacing w:after="0" w:line="376" w:lineRule="exact"/>
        <w:rPr>
          <w:sz w:val="20"/>
          <w:szCs w:val="20"/>
          <w:color w:val="auto"/>
        </w:rPr>
      </w:pPr>
    </w:p>
    <w:p>
      <w:pPr>
        <w:ind w:left="9"/>
        <w:spacing w:after="0"/>
        <w:tabs>
          <w:tab w:leader="none" w:pos="708" w:val="left"/>
          <w:tab w:leader="none" w:pos="1228" w:val="left"/>
        </w:tabs>
        <w:rPr>
          <w:sz w:val="20"/>
          <w:szCs w:val="20"/>
          <w:color w:val="auto"/>
        </w:rPr>
      </w:pPr>
      <w:r>
        <w:rPr>
          <w:rFonts w:ascii="Wingdings" w:cs="Wingdings" w:eastAsia="Wingdings" w:hAnsi="Wingdings"/>
          <w:sz w:val="18"/>
          <w:szCs w:val="18"/>
          <w:b w:val="1"/>
          <w:bCs w:val="1"/>
          <w:color w:val="auto"/>
        </w:rPr>
        <w:t>ü</w:t>
      </w:r>
      <w:r>
        <w:rPr>
          <w:sz w:val="20"/>
          <w:szCs w:val="20"/>
          <w:color w:val="auto"/>
        </w:rPr>
        <w:tab/>
      </w:r>
      <w:r>
        <w:rPr>
          <w:rFonts w:ascii="Arial" w:cs="Arial" w:eastAsia="Arial" w:hAnsi="Arial"/>
          <w:sz w:val="18"/>
          <w:szCs w:val="18"/>
          <w:color w:val="auto"/>
        </w:rPr>
        <w:t>56</w:t>
      </w:r>
      <w:r>
        <w:rPr>
          <w:sz w:val="20"/>
          <w:szCs w:val="20"/>
          <w:color w:val="auto"/>
        </w:rPr>
        <w:tab/>
      </w:r>
      <w:r>
        <w:rPr>
          <w:rFonts w:ascii="Arial" w:cs="Arial" w:eastAsia="Arial" w:hAnsi="Arial"/>
          <w:sz w:val="17"/>
          <w:szCs w:val="17"/>
          <w:color w:val="auto"/>
        </w:rPr>
        <w:t>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-3074670</wp:posOffset>
            </wp:positionH>
            <wp:positionV relativeFrom="paragraph">
              <wp:posOffset>300355</wp:posOffset>
            </wp:positionV>
            <wp:extent cx="7132320" cy="42862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4286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9"/>
        <w:spacing w:after="0"/>
        <w:tabs>
          <w:tab w:leader="none" w:pos="708" w:val="left"/>
          <w:tab w:leader="none" w:pos="1228" w:val="left"/>
        </w:tabs>
        <w:rPr>
          <w:sz w:val="20"/>
          <w:szCs w:val="20"/>
          <w:color w:val="auto"/>
        </w:rPr>
      </w:pPr>
      <w:r>
        <w:rPr>
          <w:rFonts w:ascii="Wingdings" w:cs="Wingdings" w:eastAsia="Wingdings" w:hAnsi="Wingdings"/>
          <w:sz w:val="18"/>
          <w:szCs w:val="18"/>
          <w:b w:val="1"/>
          <w:bCs w:val="1"/>
          <w:color w:val="auto"/>
        </w:rPr>
        <w:t>ü</w:t>
      </w:r>
      <w:r>
        <w:rPr>
          <w:sz w:val="20"/>
          <w:szCs w:val="20"/>
          <w:color w:val="auto"/>
        </w:rPr>
        <w:tab/>
      </w:r>
      <w:r>
        <w:rPr>
          <w:rFonts w:ascii="Arial" w:cs="Arial" w:eastAsia="Arial" w:hAnsi="Arial"/>
          <w:sz w:val="18"/>
          <w:szCs w:val="18"/>
          <w:color w:val="auto"/>
        </w:rPr>
        <w:t>71</w:t>
      </w:r>
      <w:r>
        <w:rPr>
          <w:sz w:val="20"/>
          <w:szCs w:val="20"/>
          <w:color w:val="auto"/>
        </w:rPr>
        <w:tab/>
      </w:r>
      <w:r>
        <w:rPr>
          <w:rFonts w:ascii="Arial" w:cs="Arial" w:eastAsia="Arial" w:hAnsi="Arial"/>
          <w:sz w:val="17"/>
          <w:szCs w:val="17"/>
          <w:color w:val="auto"/>
        </w:rPr>
        <w:t>2021</w:t>
      </w:r>
    </w:p>
    <w:p>
      <w:pPr>
        <w:spacing w:after="0" w:line="200" w:lineRule="exact"/>
        <w:rPr>
          <w:sz w:val="20"/>
          <w:szCs w:val="20"/>
          <w:color w:val="auto"/>
        </w:rPr>
      </w:pPr>
    </w:p>
    <w:p>
      <w:pPr>
        <w:spacing w:after="0" w:line="268" w:lineRule="exact"/>
        <w:rPr>
          <w:sz w:val="20"/>
          <w:szCs w:val="20"/>
          <w:color w:val="auto"/>
        </w:rPr>
      </w:pPr>
    </w:p>
    <w:p>
      <w:pPr>
        <w:ind w:left="9"/>
        <w:spacing w:after="0"/>
        <w:tabs>
          <w:tab w:leader="none" w:pos="708" w:val="left"/>
          <w:tab w:leader="none" w:pos="1228" w:val="left"/>
        </w:tabs>
        <w:rPr>
          <w:sz w:val="20"/>
          <w:szCs w:val="20"/>
          <w:color w:val="auto"/>
        </w:rPr>
      </w:pPr>
      <w:r>
        <w:rPr>
          <w:rFonts w:ascii="Wingdings" w:cs="Wingdings" w:eastAsia="Wingdings" w:hAnsi="Wingdings"/>
          <w:sz w:val="18"/>
          <w:szCs w:val="18"/>
          <w:b w:val="1"/>
          <w:bCs w:val="1"/>
          <w:color w:val="auto"/>
        </w:rPr>
        <w:t>ü</w:t>
      </w:r>
      <w:r>
        <w:rPr>
          <w:sz w:val="20"/>
          <w:szCs w:val="20"/>
          <w:color w:val="auto"/>
        </w:rPr>
        <w:tab/>
      </w:r>
      <w:r>
        <w:rPr>
          <w:rFonts w:ascii="Arial" w:cs="Arial" w:eastAsia="Arial" w:hAnsi="Arial"/>
          <w:sz w:val="18"/>
          <w:szCs w:val="18"/>
          <w:color w:val="auto"/>
        </w:rPr>
        <w:t>54</w:t>
      </w:r>
      <w:r>
        <w:rPr>
          <w:sz w:val="20"/>
          <w:szCs w:val="20"/>
          <w:color w:val="auto"/>
        </w:rPr>
        <w:tab/>
      </w:r>
      <w:r>
        <w:rPr>
          <w:rFonts w:ascii="Arial" w:cs="Arial" w:eastAsia="Arial" w:hAnsi="Arial"/>
          <w:sz w:val="17"/>
          <w:szCs w:val="17"/>
          <w:color w:val="auto"/>
        </w:rPr>
        <w:t>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-3074670</wp:posOffset>
            </wp:positionH>
            <wp:positionV relativeFrom="paragraph">
              <wp:posOffset>172085</wp:posOffset>
            </wp:positionV>
            <wp:extent cx="7132320" cy="42862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428625"/>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left="729"/>
        <w:spacing w:after="0"/>
        <w:rPr>
          <w:sz w:val="20"/>
          <w:szCs w:val="20"/>
          <w:color w:val="auto"/>
        </w:rPr>
      </w:pPr>
      <w:r>
        <w:rPr>
          <w:rFonts w:ascii="Arial" w:cs="Arial" w:eastAsia="Arial" w:hAnsi="Arial"/>
          <w:sz w:val="18"/>
          <w:szCs w:val="18"/>
          <w:color w:val="auto"/>
        </w:rPr>
        <w:t>91    1965</w:t>
      </w:r>
    </w:p>
    <w:p>
      <w:pPr>
        <w:spacing w:after="0" w:line="200" w:lineRule="exact"/>
        <w:rPr>
          <w:sz w:val="20"/>
          <w:szCs w:val="20"/>
          <w:color w:val="auto"/>
        </w:rPr>
      </w:pPr>
    </w:p>
    <w:p>
      <w:pPr>
        <w:spacing w:after="0" w:line="268" w:lineRule="exact"/>
        <w:rPr>
          <w:sz w:val="20"/>
          <w:szCs w:val="20"/>
          <w:color w:val="auto"/>
        </w:rPr>
      </w:pPr>
    </w:p>
    <w:p>
      <w:pPr>
        <w:ind w:left="729" w:hanging="729"/>
        <w:spacing w:after="0"/>
        <w:tabs>
          <w:tab w:leader="none" w:pos="729" w:val="left"/>
        </w:tabs>
        <w:numPr>
          <w:ilvl w:val="0"/>
          <w:numId w:val="11"/>
        </w:numPr>
        <w:rPr>
          <w:rFonts w:ascii="Wingdings" w:cs="Wingdings" w:eastAsia="Wingdings" w:hAnsi="Wingdings"/>
          <w:sz w:val="18"/>
          <w:szCs w:val="18"/>
          <w:b w:val="1"/>
          <w:bCs w:val="1"/>
          <w:color w:val="auto"/>
        </w:rPr>
      </w:pPr>
      <w:r>
        <w:rPr>
          <w:rFonts w:ascii="Arial" w:cs="Arial" w:eastAsia="Arial" w:hAnsi="Arial"/>
          <w:sz w:val="18"/>
          <w:szCs w:val="18"/>
          <w:color w:val="auto"/>
        </w:rPr>
        <w:t>57    2025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-3074670</wp:posOffset>
            </wp:positionH>
            <wp:positionV relativeFrom="paragraph">
              <wp:posOffset>172085</wp:posOffset>
            </wp:positionV>
            <wp:extent cx="713232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21" w:lineRule="exact"/>
        <w:rPr>
          <w:sz w:val="20"/>
          <w:szCs w:val="20"/>
          <w:color w:val="auto"/>
        </w:rPr>
      </w:pPr>
    </w:p>
    <w:p>
      <w:pPr>
        <w:ind w:left="2260"/>
        <w:spacing w:after="0"/>
        <w:rPr>
          <w:sz w:val="20"/>
          <w:szCs w:val="20"/>
          <w:color w:val="auto"/>
        </w:rPr>
      </w:pPr>
      <w:r>
        <w:rPr>
          <w:rFonts w:ascii="Wingdings" w:cs="Wingdings" w:eastAsia="Wingdings" w:hAnsi="Wingdings"/>
          <w:sz w:val="14"/>
          <w:szCs w:val="14"/>
          <w:b w:val="1"/>
          <w:bCs w:val="1"/>
          <w:color w:val="0067B3"/>
        </w:rPr>
        <w:t>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both"/>
        <w:ind w:left="1040"/>
        <w:spacing w:after="0"/>
        <w:tabs>
          <w:tab w:leader="none" w:pos="3460" w:val="left"/>
        </w:tabs>
        <w:rPr>
          <w:sz w:val="20"/>
          <w:szCs w:val="20"/>
          <w:color w:val="auto"/>
        </w:rPr>
      </w:pPr>
      <w:r>
        <w:rPr>
          <w:rFonts w:ascii="Wingdings" w:cs="Wingdings" w:eastAsia="Wingdings" w:hAnsi="Wingdings"/>
          <w:sz w:val="14"/>
          <w:szCs w:val="14"/>
          <w:b w:val="1"/>
          <w:bCs w:val="1"/>
          <w:color w:val="0067B3"/>
        </w:rPr>
        <w:t>l</w:t>
      </w:r>
      <w:r>
        <w:rPr>
          <w:sz w:val="20"/>
          <w:szCs w:val="20"/>
          <w:color w:val="auto"/>
        </w:rPr>
        <w:tab/>
      </w:r>
      <w:r>
        <w:rPr>
          <w:rFonts w:ascii="Wingdings" w:cs="Wingdings" w:eastAsia="Wingdings" w:hAnsi="Wingdings"/>
          <w:sz w:val="14"/>
          <w:szCs w:val="14"/>
          <w:b w:val="1"/>
          <w:bCs w:val="1"/>
          <w:color w:val="auto"/>
        </w:rPr>
        <w:t>l</w:t>
      </w: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jc w:val="both"/>
        <w:ind w:left="1040"/>
        <w:spacing w:after="0"/>
        <w:tabs>
          <w:tab w:leader="none" w:pos="3460" w:val="left"/>
        </w:tabs>
        <w:rPr>
          <w:sz w:val="20"/>
          <w:szCs w:val="20"/>
          <w:color w:val="auto"/>
        </w:rPr>
      </w:pPr>
      <w:r>
        <w:rPr>
          <w:rFonts w:ascii="Wingdings" w:cs="Wingdings" w:eastAsia="Wingdings" w:hAnsi="Wingdings"/>
          <w:sz w:val="14"/>
          <w:szCs w:val="14"/>
          <w:b w:val="1"/>
          <w:bCs w:val="1"/>
          <w:color w:val="auto"/>
        </w:rPr>
        <w:t>l</w:t>
      </w:r>
      <w:r>
        <w:rPr>
          <w:sz w:val="20"/>
          <w:szCs w:val="20"/>
          <w:color w:val="auto"/>
        </w:rPr>
        <w:tab/>
      </w:r>
      <w:r>
        <w:rPr>
          <w:rFonts w:ascii="Wingdings" w:cs="Wingdings" w:eastAsia="Wingdings" w:hAnsi="Wingdings"/>
          <w:sz w:val="14"/>
          <w:szCs w:val="14"/>
          <w:b w:val="1"/>
          <w:bCs w:val="1"/>
          <w:color w:val="0067B3"/>
        </w:rPr>
        <w:t>l</w:t>
      </w:r>
    </w:p>
    <w:p>
      <w:pPr>
        <w:spacing w:after="0" w:line="317" w:lineRule="exact"/>
        <w:rPr>
          <w:sz w:val="20"/>
          <w:szCs w:val="20"/>
          <w:color w:val="auto"/>
        </w:rPr>
      </w:pPr>
    </w:p>
    <w:p>
      <w:pPr>
        <w:spacing w:after="0"/>
        <w:rPr>
          <w:sz w:val="20"/>
          <w:szCs w:val="20"/>
          <w:color w:val="auto"/>
        </w:rPr>
      </w:pPr>
      <w:r>
        <w:rPr>
          <w:rFonts w:ascii="Wingdings" w:cs="Wingdings" w:eastAsia="Wingdings" w:hAnsi="Wingdings"/>
          <w:sz w:val="14"/>
          <w:szCs w:val="14"/>
          <w:b w:val="1"/>
          <w:bCs w:val="1"/>
          <w:color w:val="0067B3"/>
        </w:rPr>
        <w:t>l</w:t>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spacing w:after="0"/>
        <w:tabs>
          <w:tab w:leader="none" w:pos="3460" w:val="left"/>
        </w:tabs>
        <w:rPr>
          <w:sz w:val="20"/>
          <w:szCs w:val="20"/>
          <w:color w:val="auto"/>
        </w:rPr>
      </w:pPr>
      <w:r>
        <w:rPr>
          <w:rFonts w:ascii="Wingdings" w:cs="Wingdings" w:eastAsia="Wingdings" w:hAnsi="Wingdings"/>
          <w:sz w:val="14"/>
          <w:szCs w:val="14"/>
          <w:b w:val="1"/>
          <w:bCs w:val="1"/>
          <w:color w:val="auto"/>
        </w:rPr>
        <w:t>l</w:t>
      </w:r>
      <w:r>
        <w:rPr>
          <w:sz w:val="20"/>
          <w:szCs w:val="20"/>
          <w:color w:val="auto"/>
        </w:rPr>
        <w:tab/>
      </w:r>
      <w:r>
        <w:rPr>
          <w:rFonts w:ascii="Wingdings" w:cs="Wingdings" w:eastAsia="Wingdings" w:hAnsi="Wingdings"/>
          <w:sz w:val="14"/>
          <w:szCs w:val="14"/>
          <w:b w:val="1"/>
          <w:bCs w:val="1"/>
          <w:color w:val="auto"/>
        </w:rPr>
        <w:t>l</w:t>
      </w: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spacing w:after="0"/>
        <w:rPr>
          <w:sz w:val="20"/>
          <w:szCs w:val="20"/>
          <w:color w:val="auto"/>
        </w:rPr>
      </w:pPr>
      <w:r>
        <w:rPr>
          <w:rFonts w:ascii="Wingdings" w:cs="Wingdings" w:eastAsia="Wingdings" w:hAnsi="Wingdings"/>
          <w:sz w:val="14"/>
          <w:szCs w:val="14"/>
          <w:b w:val="1"/>
          <w:bCs w:val="1"/>
          <w:color w:val="auto"/>
        </w:rPr>
        <w:t>l</w:t>
      </w:r>
    </w:p>
    <w:p>
      <w:pPr>
        <w:spacing w:after="0" w:line="200" w:lineRule="exact"/>
        <w:rPr>
          <w:sz w:val="20"/>
          <w:szCs w:val="20"/>
          <w:color w:val="auto"/>
        </w:rPr>
      </w:pPr>
    </w:p>
    <w:p>
      <w:pPr>
        <w:spacing w:after="0" w:line="320" w:lineRule="exact"/>
        <w:rPr>
          <w:sz w:val="20"/>
          <w:szCs w:val="20"/>
          <w:color w:val="auto"/>
        </w:rPr>
      </w:pPr>
    </w:p>
    <w:p>
      <w:pPr>
        <w:jc w:val="right"/>
        <w:ind w:right="540"/>
        <w:spacing w:after="0"/>
        <w:rPr>
          <w:sz w:val="20"/>
          <w:szCs w:val="20"/>
          <w:color w:val="auto"/>
        </w:rPr>
      </w:pPr>
      <w:r>
        <w:rPr>
          <w:rFonts w:ascii="Wingdings" w:cs="Wingdings" w:eastAsia="Wingdings" w:hAnsi="Wingdings"/>
          <w:sz w:val="14"/>
          <w:szCs w:val="14"/>
          <w:b w:val="1"/>
          <w:bCs w:val="1"/>
          <w:color w:val="auto"/>
        </w:rPr>
        <w:t>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ind w:left="1040"/>
        <w:spacing w:after="0"/>
        <w:tabs>
          <w:tab w:leader="none" w:pos="2240" w:val="left"/>
        </w:tabs>
        <w:rPr>
          <w:sz w:val="20"/>
          <w:szCs w:val="20"/>
          <w:color w:val="auto"/>
        </w:rPr>
      </w:pPr>
      <w:r>
        <w:rPr>
          <w:rFonts w:ascii="Wingdings" w:cs="Wingdings" w:eastAsia="Wingdings" w:hAnsi="Wingdings"/>
          <w:sz w:val="14"/>
          <w:szCs w:val="14"/>
          <w:b w:val="1"/>
          <w:bCs w:val="1"/>
          <w:color w:val="auto"/>
        </w:rPr>
        <w:t>l</w:t>
      </w:r>
      <w:r>
        <w:rPr>
          <w:sz w:val="20"/>
          <w:szCs w:val="20"/>
          <w:color w:val="auto"/>
        </w:rPr>
        <w:tab/>
      </w:r>
      <w:r>
        <w:rPr>
          <w:rFonts w:ascii="Wingdings" w:cs="Wingdings" w:eastAsia="Wingdings" w:hAnsi="Wingdings"/>
          <w:sz w:val="14"/>
          <w:szCs w:val="14"/>
          <w:b w:val="1"/>
          <w:bCs w:val="1"/>
          <w:color w:val="auto"/>
        </w:rPr>
        <w:t>l</w:t>
      </w:r>
    </w:p>
    <w:p>
      <w:pPr>
        <w:spacing w:after="0" w:line="447" w:lineRule="exact"/>
        <w:rPr>
          <w:sz w:val="20"/>
          <w:szCs w:val="20"/>
          <w:color w:val="auto"/>
        </w:rPr>
      </w:pPr>
    </w:p>
    <w:p>
      <w:pPr>
        <w:sectPr>
          <w:pgSz w:w="11900" w:h="16838" w:orient="portrait"/>
          <w:cols w:equalWidth="0" w:num="3">
            <w:col w:w="4280" w:space="571"/>
            <w:col w:w="1649" w:space="600"/>
            <w:col w:w="4140"/>
          </w:cols>
          <w:pgMar w:left="320" w:top="1356" w:right="339" w:bottom="1440" w:gutter="0" w:footer="0" w:header="0"/>
          <w:type w:val="continuous"/>
        </w:sectPr>
      </w:pPr>
    </w:p>
    <w:p>
      <w:pPr>
        <w:spacing w:after="0" w:line="21" w:lineRule="exact"/>
        <w:rPr>
          <w:sz w:val="20"/>
          <w:szCs w:val="20"/>
          <w:color w:val="auto"/>
        </w:rPr>
      </w:pPr>
    </w:p>
    <w:p>
      <w:pPr>
        <w:spacing w:after="0"/>
        <w:tabs>
          <w:tab w:leader="none" w:pos="860" w:val="left"/>
        </w:tabs>
        <w:rPr>
          <w:sz w:val="20"/>
          <w:szCs w:val="20"/>
          <w:color w:val="auto"/>
        </w:rPr>
      </w:pPr>
      <w:r>
        <w:rPr>
          <w:rFonts w:ascii="Wingdings" w:cs="Wingdings" w:eastAsia="Wingdings" w:hAnsi="Wingdings"/>
          <w:sz w:val="14"/>
          <w:szCs w:val="14"/>
          <w:b w:val="1"/>
          <w:bCs w:val="1"/>
          <w:color w:val="0067B3"/>
        </w:rPr>
        <w:t xml:space="preserve">l </w:t>
      </w:r>
      <w:r>
        <w:rPr>
          <w:rFonts w:ascii="Arial" w:cs="Arial" w:eastAsia="Arial" w:hAnsi="Arial"/>
          <w:sz w:val="17"/>
          <w:szCs w:val="17"/>
          <w:color w:val="000000"/>
        </w:rPr>
        <w:t>- Chair</w:t>
      </w:r>
      <w:r>
        <w:rPr>
          <w:sz w:val="20"/>
          <w:szCs w:val="20"/>
          <w:color w:val="auto"/>
        </w:rPr>
        <w:tab/>
      </w:r>
      <w:r>
        <w:rPr>
          <w:rFonts w:ascii="Wingdings" w:cs="Wingdings" w:eastAsia="Wingdings" w:hAnsi="Wingdings"/>
          <w:sz w:val="14"/>
          <w:szCs w:val="14"/>
          <w:b w:val="1"/>
          <w:bCs w:val="1"/>
          <w:color w:val="auto"/>
        </w:rPr>
        <w:t xml:space="preserve">l </w:t>
      </w:r>
      <w:r>
        <w:rPr>
          <w:rFonts w:ascii="Arial" w:cs="Arial" w:eastAsia="Arial" w:hAnsi="Arial"/>
          <w:sz w:val="16"/>
          <w:szCs w:val="16"/>
          <w:color w:val="auto"/>
        </w:rPr>
        <w:t>- Member</w:t>
      </w:r>
    </w:p>
    <w:p>
      <w:pPr>
        <w:spacing w:after="0" w:line="200" w:lineRule="exact"/>
        <w:rPr>
          <w:sz w:val="20"/>
          <w:szCs w:val="20"/>
          <w:color w:val="auto"/>
        </w:rPr>
      </w:pPr>
    </w:p>
    <w:p>
      <w:pPr>
        <w:spacing w:after="0" w:line="228" w:lineRule="exact"/>
        <w:rPr>
          <w:sz w:val="20"/>
          <w:szCs w:val="20"/>
          <w:color w:val="auto"/>
        </w:rPr>
      </w:pPr>
    </w:p>
    <w:p>
      <w:pPr>
        <w:ind w:left="640" w:hanging="614"/>
        <w:spacing w:after="0"/>
        <w:tabs>
          <w:tab w:leader="none" w:pos="640" w:val="left"/>
        </w:tabs>
        <w:numPr>
          <w:ilvl w:val="0"/>
          <w:numId w:val="12"/>
        </w:numPr>
        <w:rPr>
          <w:rFonts w:ascii="Arial" w:cs="Arial" w:eastAsia="Arial" w:hAnsi="Arial"/>
          <w:sz w:val="20"/>
          <w:szCs w:val="20"/>
          <w:b w:val="1"/>
          <w:bCs w:val="1"/>
          <w:color w:val="auto"/>
        </w:rPr>
      </w:pPr>
      <w:r>
        <w:rPr>
          <w:rFonts w:ascii="Arial" w:cs="Arial" w:eastAsia="Arial" w:hAnsi="Arial"/>
          <w:sz w:val="16"/>
          <w:szCs w:val="16"/>
          <w:color w:val="6D6E71"/>
        </w:rPr>
        <w:t>Proxy Summary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194310</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56" w:right="339" w:bottom="1440" w:gutter="0" w:footer="0" w:header="0"/>
          <w:type w:val="continuous"/>
        </w:sectPr>
      </w:pPr>
    </w:p>
    <w:bookmarkStart w:id="10" w:name="page11"/>
    <w:bookmarkEnd w:id="10"/>
    <w:p>
      <w:pPr>
        <w:spacing w:after="0"/>
        <w:rPr>
          <w:sz w:val="20"/>
          <w:szCs w:val="20"/>
          <w:color w:val="auto"/>
        </w:rPr>
      </w:pPr>
      <w:r>
        <w:rPr>
          <w:rFonts w:ascii="Arial" w:cs="Arial" w:eastAsia="Arial" w:hAnsi="Arial"/>
          <w:sz w:val="32"/>
          <w:szCs w:val="32"/>
          <w:b w:val="1"/>
          <w:bCs w:val="1"/>
          <w:color w:val="auto"/>
        </w:rPr>
        <w:t>Board Profile</w:t>
      </w:r>
    </w:p>
    <w:p>
      <w:pPr>
        <w:spacing w:after="0" w:line="143" w:lineRule="exact"/>
        <w:rPr>
          <w:sz w:val="20"/>
          <w:szCs w:val="20"/>
          <w:color w:val="auto"/>
        </w:rPr>
      </w:pPr>
    </w:p>
    <w:p>
      <w:pPr>
        <w:ind w:right="620"/>
        <w:spacing w:after="0" w:line="271" w:lineRule="auto"/>
        <w:rPr>
          <w:sz w:val="20"/>
          <w:szCs w:val="20"/>
          <w:color w:val="auto"/>
        </w:rPr>
      </w:pPr>
      <w:r>
        <w:rPr>
          <w:rFonts w:ascii="Arial" w:cs="Arial" w:eastAsia="Arial" w:hAnsi="Arial"/>
          <w:sz w:val="18"/>
          <w:szCs w:val="18"/>
          <w:color w:val="auto"/>
        </w:rPr>
        <w:t>ADI’s directors contribute significant experience in the areas most relevant to overseeing our business and strategy. The matrix below provides a high-level summary of the experience and qualifications of our director nominees: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66675</wp:posOffset>
            </wp:positionV>
            <wp:extent cx="713232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6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120" w:type="dxa"/>
            <w:vAlign w:val="bottom"/>
            <w:vMerge w:val="restart"/>
          </w:tcPr>
          <w:p>
            <w:pPr>
              <w:ind w:left="520"/>
              <w:spacing w:after="0"/>
              <w:rPr>
                <w:sz w:val="20"/>
                <w:szCs w:val="20"/>
                <w:color w:val="auto"/>
              </w:rPr>
            </w:pPr>
            <w:r>
              <w:rPr>
                <w:rFonts w:ascii="Arial" w:cs="Arial" w:eastAsia="Arial" w:hAnsi="Arial"/>
                <w:sz w:val="18"/>
                <w:szCs w:val="18"/>
                <w:color w:val="auto"/>
              </w:rPr>
              <w:t>Executive Leadership</w:t>
            </w:r>
          </w:p>
        </w:tc>
        <w:tc>
          <w:tcPr>
            <w:tcW w:w="980" w:type="dxa"/>
            <w:vAlign w:val="bottom"/>
            <w:vMerge w:val="restart"/>
          </w:tcPr>
          <w:p>
            <w:pPr>
              <w:jc w:val="right"/>
              <w:ind w:right="370"/>
              <w:spacing w:after="0"/>
              <w:rPr>
                <w:sz w:val="20"/>
                <w:szCs w:val="20"/>
                <w:color w:val="auto"/>
              </w:rPr>
            </w:pPr>
            <w:r>
              <w:rPr>
                <w:rFonts w:ascii="Arial" w:cs="Arial" w:eastAsia="Arial" w:hAnsi="Arial"/>
                <w:sz w:val="18"/>
                <w:szCs w:val="18"/>
                <w:b w:val="1"/>
                <w:bCs w:val="1"/>
                <w:color w:val="0067B3"/>
              </w:rPr>
              <w:t>6</w:t>
            </w:r>
            <w:r>
              <w:rPr>
                <w:rFonts w:ascii="Arial" w:cs="Arial" w:eastAsia="Arial" w:hAnsi="Arial"/>
                <w:sz w:val="18"/>
                <w:szCs w:val="18"/>
                <w:color w:val="000000"/>
              </w:rPr>
              <w:t>/10</w:t>
            </w:r>
          </w:p>
        </w:tc>
        <w:tc>
          <w:tcPr>
            <w:tcW w:w="2500" w:type="dxa"/>
            <w:vAlign w:val="bottom"/>
            <w:vMerge w:val="restart"/>
          </w:tcPr>
          <w:p>
            <w:pPr>
              <w:ind w:left="160"/>
              <w:spacing w:after="0"/>
              <w:rPr>
                <w:sz w:val="20"/>
                <w:szCs w:val="20"/>
                <w:color w:val="auto"/>
              </w:rPr>
            </w:pPr>
            <w:r>
              <w:rPr>
                <w:rFonts w:ascii="Arial" w:cs="Arial" w:eastAsia="Arial" w:hAnsi="Arial"/>
                <w:sz w:val="18"/>
                <w:szCs w:val="18"/>
                <w:color w:val="auto"/>
              </w:rPr>
              <w:t>International</w:t>
            </w:r>
          </w:p>
        </w:tc>
        <w:tc>
          <w:tcPr>
            <w:tcW w:w="920" w:type="dxa"/>
            <w:vAlign w:val="bottom"/>
            <w:vMerge w:val="restart"/>
          </w:tcPr>
          <w:p>
            <w:pPr>
              <w:jc w:val="center"/>
              <w:ind w:left="210"/>
              <w:spacing w:after="0"/>
              <w:rPr>
                <w:sz w:val="20"/>
                <w:szCs w:val="20"/>
                <w:color w:val="auto"/>
              </w:rPr>
            </w:pPr>
            <w:r>
              <w:rPr>
                <w:rFonts w:ascii="Arial" w:cs="Arial" w:eastAsia="Arial" w:hAnsi="Arial"/>
                <w:sz w:val="18"/>
                <w:szCs w:val="18"/>
                <w:b w:val="1"/>
                <w:bCs w:val="1"/>
                <w:color w:val="0067B3"/>
                <w:w w:val="96"/>
              </w:rPr>
              <w:t>9</w:t>
            </w:r>
            <w:r>
              <w:rPr>
                <w:rFonts w:ascii="Arial" w:cs="Arial" w:eastAsia="Arial" w:hAnsi="Arial"/>
                <w:sz w:val="18"/>
                <w:szCs w:val="18"/>
                <w:color w:val="000000"/>
                <w:w w:val="96"/>
              </w:rPr>
              <w:t>/10</w:t>
            </w:r>
          </w:p>
        </w:tc>
        <w:tc>
          <w:tcPr>
            <w:tcW w:w="3060" w:type="dxa"/>
            <w:vAlign w:val="bottom"/>
          </w:tcPr>
          <w:p>
            <w:pPr>
              <w:ind w:left="480"/>
              <w:spacing w:after="0"/>
              <w:rPr>
                <w:sz w:val="20"/>
                <w:szCs w:val="20"/>
                <w:color w:val="auto"/>
              </w:rPr>
            </w:pPr>
            <w:r>
              <w:rPr>
                <w:rFonts w:ascii="Arial" w:cs="Arial" w:eastAsia="Arial" w:hAnsi="Arial"/>
                <w:sz w:val="18"/>
                <w:szCs w:val="18"/>
                <w:color w:val="auto"/>
              </w:rPr>
              <w:t>Cybersecurity, Information</w:t>
            </w:r>
          </w:p>
        </w:tc>
        <w:tc>
          <w:tcPr>
            <w:tcW w:w="660" w:type="dxa"/>
            <w:vAlign w:val="bottom"/>
            <w:vMerge w:val="restart"/>
          </w:tcPr>
          <w:p>
            <w:pPr>
              <w:jc w:val="right"/>
              <w:ind w:right="10"/>
              <w:spacing w:after="0"/>
              <w:rPr>
                <w:sz w:val="20"/>
                <w:szCs w:val="20"/>
                <w:color w:val="auto"/>
              </w:rPr>
            </w:pPr>
            <w:r>
              <w:rPr>
                <w:rFonts w:ascii="Arial" w:cs="Arial" w:eastAsia="Arial" w:hAnsi="Arial"/>
                <w:sz w:val="18"/>
                <w:szCs w:val="18"/>
                <w:b w:val="1"/>
                <w:bCs w:val="1"/>
                <w:color w:val="0067B3"/>
              </w:rPr>
              <w:t>2</w:t>
            </w:r>
            <w:r>
              <w:rPr>
                <w:rFonts w:ascii="Arial" w:cs="Arial" w:eastAsia="Arial" w:hAnsi="Arial"/>
                <w:sz w:val="18"/>
                <w:szCs w:val="18"/>
                <w:color w:val="000000"/>
              </w:rPr>
              <w:t>/10</w:t>
            </w:r>
          </w:p>
        </w:tc>
        <w:tc>
          <w:tcPr>
            <w:tcW w:w="0" w:type="dxa"/>
            <w:vAlign w:val="bottom"/>
          </w:tcPr>
          <w:p>
            <w:pPr>
              <w:spacing w:after="0"/>
              <w:rPr>
                <w:sz w:val="1"/>
                <w:szCs w:val="1"/>
                <w:color w:val="auto"/>
              </w:rPr>
            </w:pPr>
          </w:p>
        </w:tc>
      </w:tr>
      <w:tr>
        <w:trPr>
          <w:trHeight w:val="139"/>
        </w:trPr>
        <w:tc>
          <w:tcPr>
            <w:tcW w:w="3120" w:type="dxa"/>
            <w:vAlign w:val="bottom"/>
            <w:vMerge w:val="continue"/>
          </w:tcPr>
          <w:p>
            <w:pPr>
              <w:spacing w:after="0"/>
              <w:rPr>
                <w:sz w:val="12"/>
                <w:szCs w:val="12"/>
                <w:color w:val="auto"/>
              </w:rPr>
            </w:pPr>
          </w:p>
        </w:tc>
        <w:tc>
          <w:tcPr>
            <w:tcW w:w="980" w:type="dxa"/>
            <w:vAlign w:val="bottom"/>
            <w:vMerge w:val="continue"/>
          </w:tcPr>
          <w:p>
            <w:pPr>
              <w:spacing w:after="0"/>
              <w:rPr>
                <w:sz w:val="12"/>
                <w:szCs w:val="12"/>
                <w:color w:val="auto"/>
              </w:rPr>
            </w:pPr>
          </w:p>
        </w:tc>
        <w:tc>
          <w:tcPr>
            <w:tcW w:w="2500" w:type="dxa"/>
            <w:vAlign w:val="bottom"/>
            <w:vMerge w:val="continue"/>
          </w:tcPr>
          <w:p>
            <w:pPr>
              <w:spacing w:after="0"/>
              <w:rPr>
                <w:sz w:val="12"/>
                <w:szCs w:val="12"/>
                <w:color w:val="auto"/>
              </w:rPr>
            </w:pPr>
          </w:p>
        </w:tc>
        <w:tc>
          <w:tcPr>
            <w:tcW w:w="920" w:type="dxa"/>
            <w:vAlign w:val="bottom"/>
            <w:vMerge w:val="continue"/>
          </w:tcPr>
          <w:p>
            <w:pPr>
              <w:spacing w:after="0"/>
              <w:rPr>
                <w:sz w:val="12"/>
                <w:szCs w:val="12"/>
                <w:color w:val="auto"/>
              </w:rPr>
            </w:pPr>
          </w:p>
        </w:tc>
        <w:tc>
          <w:tcPr>
            <w:tcW w:w="3060" w:type="dxa"/>
            <w:vAlign w:val="bottom"/>
            <w:vMerge w:val="restart"/>
          </w:tcPr>
          <w:p>
            <w:pPr>
              <w:ind w:left="480"/>
              <w:spacing w:after="0"/>
              <w:rPr>
                <w:sz w:val="20"/>
                <w:szCs w:val="20"/>
                <w:color w:val="auto"/>
              </w:rPr>
            </w:pPr>
            <w:r>
              <w:rPr>
                <w:rFonts w:ascii="Arial" w:cs="Arial" w:eastAsia="Arial" w:hAnsi="Arial"/>
                <w:sz w:val="18"/>
                <w:szCs w:val="18"/>
                <w:color w:val="auto"/>
              </w:rPr>
              <w:t>Systems</w:t>
            </w:r>
          </w:p>
        </w:tc>
        <w:tc>
          <w:tcPr>
            <w:tcW w:w="6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00"/>
        </w:trPr>
        <w:tc>
          <w:tcPr>
            <w:tcW w:w="3120" w:type="dxa"/>
            <w:vAlign w:val="bottom"/>
          </w:tcPr>
          <w:p>
            <w:pPr>
              <w:spacing w:after="0"/>
              <w:rPr>
                <w:sz w:val="8"/>
                <w:szCs w:val="8"/>
                <w:color w:val="auto"/>
              </w:rPr>
            </w:pPr>
          </w:p>
        </w:tc>
        <w:tc>
          <w:tcPr>
            <w:tcW w:w="980" w:type="dxa"/>
            <w:vAlign w:val="bottom"/>
          </w:tcPr>
          <w:p>
            <w:pPr>
              <w:spacing w:after="0"/>
              <w:rPr>
                <w:sz w:val="8"/>
                <w:szCs w:val="8"/>
                <w:color w:val="auto"/>
              </w:rPr>
            </w:pPr>
          </w:p>
        </w:tc>
        <w:tc>
          <w:tcPr>
            <w:tcW w:w="2500" w:type="dxa"/>
            <w:vAlign w:val="bottom"/>
          </w:tcPr>
          <w:p>
            <w:pPr>
              <w:spacing w:after="0"/>
              <w:rPr>
                <w:sz w:val="8"/>
                <w:szCs w:val="8"/>
                <w:color w:val="auto"/>
              </w:rPr>
            </w:pPr>
          </w:p>
        </w:tc>
        <w:tc>
          <w:tcPr>
            <w:tcW w:w="920" w:type="dxa"/>
            <w:vAlign w:val="bottom"/>
          </w:tcPr>
          <w:p>
            <w:pPr>
              <w:spacing w:after="0"/>
              <w:rPr>
                <w:sz w:val="8"/>
                <w:szCs w:val="8"/>
                <w:color w:val="auto"/>
              </w:rPr>
            </w:pPr>
          </w:p>
        </w:tc>
        <w:tc>
          <w:tcPr>
            <w:tcW w:w="3060" w:type="dxa"/>
            <w:vAlign w:val="bottom"/>
            <w:vMerge w:val="continue"/>
          </w:tcPr>
          <w:p>
            <w:pPr>
              <w:spacing w:after="0"/>
              <w:rPr>
                <w:sz w:val="8"/>
                <w:szCs w:val="8"/>
                <w:color w:val="auto"/>
              </w:rPr>
            </w:pPr>
          </w:p>
        </w:tc>
        <w:tc>
          <w:tcPr>
            <w:tcW w:w="6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2"/>
        </w:trPr>
        <w:tc>
          <w:tcPr>
            <w:tcW w:w="3120" w:type="dxa"/>
            <w:vAlign w:val="bottom"/>
            <w:tcBorders>
              <w:bottom w:val="single" w:sz="8" w:color="939598"/>
            </w:tcBorders>
          </w:tcPr>
          <w:p>
            <w:pPr>
              <w:spacing w:after="0"/>
              <w:rPr>
                <w:sz w:val="18"/>
                <w:szCs w:val="18"/>
                <w:color w:val="auto"/>
              </w:rPr>
            </w:pPr>
          </w:p>
        </w:tc>
        <w:tc>
          <w:tcPr>
            <w:tcW w:w="980" w:type="dxa"/>
            <w:vAlign w:val="bottom"/>
            <w:tcBorders>
              <w:bottom w:val="single" w:sz="8" w:color="939598"/>
            </w:tcBorders>
          </w:tcPr>
          <w:p>
            <w:pPr>
              <w:spacing w:after="0"/>
              <w:rPr>
                <w:sz w:val="18"/>
                <w:szCs w:val="18"/>
                <w:color w:val="auto"/>
              </w:rPr>
            </w:pPr>
          </w:p>
        </w:tc>
        <w:tc>
          <w:tcPr>
            <w:tcW w:w="2500" w:type="dxa"/>
            <w:vAlign w:val="bottom"/>
            <w:tcBorders>
              <w:bottom w:val="single" w:sz="8" w:color="939598"/>
            </w:tcBorders>
          </w:tcPr>
          <w:p>
            <w:pPr>
              <w:spacing w:after="0"/>
              <w:rPr>
                <w:sz w:val="18"/>
                <w:szCs w:val="18"/>
                <w:color w:val="auto"/>
              </w:rPr>
            </w:pPr>
          </w:p>
        </w:tc>
        <w:tc>
          <w:tcPr>
            <w:tcW w:w="920" w:type="dxa"/>
            <w:vAlign w:val="bottom"/>
            <w:tcBorders>
              <w:bottom w:val="single" w:sz="8" w:color="939598"/>
            </w:tcBorders>
          </w:tcPr>
          <w:p>
            <w:pPr>
              <w:spacing w:after="0"/>
              <w:rPr>
                <w:sz w:val="18"/>
                <w:szCs w:val="18"/>
                <w:color w:val="auto"/>
              </w:rPr>
            </w:pPr>
          </w:p>
        </w:tc>
        <w:tc>
          <w:tcPr>
            <w:tcW w:w="3060" w:type="dxa"/>
            <w:vAlign w:val="bottom"/>
            <w:tcBorders>
              <w:bottom w:val="single" w:sz="8" w:color="939598"/>
            </w:tcBorders>
          </w:tcPr>
          <w:p>
            <w:pPr>
              <w:spacing w:after="0"/>
              <w:rPr>
                <w:sz w:val="18"/>
                <w:szCs w:val="18"/>
                <w:color w:val="auto"/>
              </w:rPr>
            </w:pPr>
          </w:p>
        </w:tc>
        <w:tc>
          <w:tcPr>
            <w:tcW w:w="660" w:type="dxa"/>
            <w:vAlign w:val="bottom"/>
            <w:tcBorders>
              <w:bottom w:val="single" w:sz="8" w:color="939598"/>
            </w:tcBorders>
          </w:tcPr>
          <w:p>
            <w:pPr>
              <w:spacing w:after="0"/>
              <w:rPr>
                <w:sz w:val="18"/>
                <w:szCs w:val="18"/>
                <w:color w:val="auto"/>
              </w:rPr>
            </w:pPr>
          </w:p>
        </w:tc>
        <w:tc>
          <w:tcPr>
            <w:tcW w:w="0" w:type="dxa"/>
            <w:vAlign w:val="bottom"/>
          </w:tcPr>
          <w:p>
            <w:pPr>
              <w:spacing w:after="0"/>
              <w:rPr>
                <w:sz w:val="1"/>
                <w:szCs w:val="1"/>
                <w:color w:val="auto"/>
              </w:rPr>
            </w:pPr>
          </w:p>
        </w:tc>
      </w:tr>
      <w:tr>
        <w:trPr>
          <w:trHeight w:val="339"/>
        </w:trPr>
        <w:tc>
          <w:tcPr>
            <w:tcW w:w="3120" w:type="dxa"/>
            <w:vAlign w:val="bottom"/>
            <w:vMerge w:val="restart"/>
          </w:tcPr>
          <w:p>
            <w:pPr>
              <w:ind w:left="520"/>
              <w:spacing w:after="0"/>
              <w:rPr>
                <w:sz w:val="20"/>
                <w:szCs w:val="20"/>
                <w:color w:val="auto"/>
              </w:rPr>
            </w:pPr>
            <w:r>
              <w:rPr>
                <w:rFonts w:ascii="Arial" w:cs="Arial" w:eastAsia="Arial" w:hAnsi="Arial"/>
                <w:sz w:val="18"/>
                <w:szCs w:val="18"/>
                <w:color w:val="auto"/>
              </w:rPr>
              <w:t>Industry</w:t>
            </w:r>
          </w:p>
        </w:tc>
        <w:tc>
          <w:tcPr>
            <w:tcW w:w="980" w:type="dxa"/>
            <w:vAlign w:val="bottom"/>
            <w:vMerge w:val="restart"/>
          </w:tcPr>
          <w:p>
            <w:pPr>
              <w:jc w:val="right"/>
              <w:ind w:right="370"/>
              <w:spacing w:after="0"/>
              <w:rPr>
                <w:sz w:val="20"/>
                <w:szCs w:val="20"/>
                <w:color w:val="auto"/>
              </w:rPr>
            </w:pPr>
            <w:r>
              <w:rPr>
                <w:rFonts w:ascii="Arial" w:cs="Arial" w:eastAsia="Arial" w:hAnsi="Arial"/>
                <w:sz w:val="18"/>
                <w:szCs w:val="18"/>
                <w:b w:val="1"/>
                <w:bCs w:val="1"/>
                <w:color w:val="0067B3"/>
              </w:rPr>
              <w:t>8</w:t>
            </w:r>
            <w:r>
              <w:rPr>
                <w:rFonts w:ascii="Arial" w:cs="Arial" w:eastAsia="Arial" w:hAnsi="Arial"/>
                <w:sz w:val="18"/>
                <w:szCs w:val="18"/>
                <w:color w:val="000000"/>
              </w:rPr>
              <w:t>/10</w:t>
            </w:r>
          </w:p>
        </w:tc>
        <w:tc>
          <w:tcPr>
            <w:tcW w:w="2500" w:type="dxa"/>
            <w:vAlign w:val="bottom"/>
          </w:tcPr>
          <w:p>
            <w:pPr>
              <w:ind w:left="160"/>
              <w:spacing w:after="0"/>
              <w:rPr>
                <w:sz w:val="20"/>
                <w:szCs w:val="20"/>
                <w:color w:val="auto"/>
              </w:rPr>
            </w:pPr>
            <w:r>
              <w:rPr>
                <w:rFonts w:ascii="Arial" w:cs="Arial" w:eastAsia="Arial" w:hAnsi="Arial"/>
                <w:sz w:val="18"/>
                <w:szCs w:val="18"/>
                <w:color w:val="auto"/>
              </w:rPr>
              <w:t>Large-Scale Operations,</w:t>
            </w:r>
          </w:p>
        </w:tc>
        <w:tc>
          <w:tcPr>
            <w:tcW w:w="920" w:type="dxa"/>
            <w:vAlign w:val="bottom"/>
            <w:vMerge w:val="restart"/>
          </w:tcPr>
          <w:p>
            <w:pPr>
              <w:jc w:val="center"/>
              <w:ind w:left="210"/>
              <w:spacing w:after="0"/>
              <w:rPr>
                <w:sz w:val="20"/>
                <w:szCs w:val="20"/>
                <w:color w:val="auto"/>
              </w:rPr>
            </w:pPr>
            <w:r>
              <w:rPr>
                <w:rFonts w:ascii="Arial" w:cs="Arial" w:eastAsia="Arial" w:hAnsi="Arial"/>
                <w:sz w:val="18"/>
                <w:szCs w:val="18"/>
                <w:b w:val="1"/>
                <w:bCs w:val="1"/>
                <w:color w:val="0067B3"/>
                <w:w w:val="96"/>
              </w:rPr>
              <w:t>8</w:t>
            </w:r>
            <w:r>
              <w:rPr>
                <w:rFonts w:ascii="Arial" w:cs="Arial" w:eastAsia="Arial" w:hAnsi="Arial"/>
                <w:sz w:val="18"/>
                <w:szCs w:val="18"/>
                <w:color w:val="000000"/>
                <w:w w:val="96"/>
              </w:rPr>
              <w:t>/10</w:t>
            </w:r>
          </w:p>
        </w:tc>
        <w:tc>
          <w:tcPr>
            <w:tcW w:w="3060" w:type="dxa"/>
            <w:vAlign w:val="bottom"/>
            <w:vMerge w:val="restart"/>
          </w:tcPr>
          <w:p>
            <w:pPr>
              <w:ind w:left="480"/>
              <w:spacing w:after="0"/>
              <w:rPr>
                <w:sz w:val="20"/>
                <w:szCs w:val="20"/>
                <w:color w:val="auto"/>
              </w:rPr>
            </w:pPr>
            <w:r>
              <w:rPr>
                <w:rFonts w:ascii="Arial" w:cs="Arial" w:eastAsia="Arial" w:hAnsi="Arial"/>
                <w:sz w:val="18"/>
                <w:szCs w:val="18"/>
                <w:color w:val="auto"/>
              </w:rPr>
              <w:t>Mergers and Acquisitions</w:t>
            </w:r>
          </w:p>
        </w:tc>
        <w:tc>
          <w:tcPr>
            <w:tcW w:w="660" w:type="dxa"/>
            <w:vAlign w:val="bottom"/>
            <w:vMerge w:val="restart"/>
          </w:tcPr>
          <w:p>
            <w:pPr>
              <w:jc w:val="right"/>
              <w:ind w:right="10"/>
              <w:spacing w:after="0"/>
              <w:rPr>
                <w:sz w:val="20"/>
                <w:szCs w:val="20"/>
                <w:color w:val="auto"/>
              </w:rPr>
            </w:pPr>
            <w:r>
              <w:rPr>
                <w:rFonts w:ascii="Arial" w:cs="Arial" w:eastAsia="Arial" w:hAnsi="Arial"/>
                <w:sz w:val="18"/>
                <w:szCs w:val="18"/>
                <w:b w:val="1"/>
                <w:bCs w:val="1"/>
                <w:color w:val="0067B3"/>
              </w:rPr>
              <w:t>5</w:t>
            </w:r>
            <w:r>
              <w:rPr>
                <w:rFonts w:ascii="Arial" w:cs="Arial" w:eastAsia="Arial" w:hAnsi="Arial"/>
                <w:sz w:val="18"/>
                <w:szCs w:val="18"/>
                <w:color w:val="000000"/>
              </w:rPr>
              <w:t>/10</w:t>
            </w:r>
          </w:p>
        </w:tc>
        <w:tc>
          <w:tcPr>
            <w:tcW w:w="0" w:type="dxa"/>
            <w:vAlign w:val="bottom"/>
          </w:tcPr>
          <w:p>
            <w:pPr>
              <w:spacing w:after="0"/>
              <w:rPr>
                <w:sz w:val="1"/>
                <w:szCs w:val="1"/>
                <w:color w:val="auto"/>
              </w:rPr>
            </w:pPr>
          </w:p>
        </w:tc>
      </w:tr>
      <w:tr>
        <w:trPr>
          <w:trHeight w:val="152"/>
        </w:trPr>
        <w:tc>
          <w:tcPr>
            <w:tcW w:w="3120" w:type="dxa"/>
            <w:vAlign w:val="bottom"/>
            <w:vMerge w:val="continue"/>
          </w:tcPr>
          <w:p>
            <w:pPr>
              <w:spacing w:after="0"/>
              <w:rPr>
                <w:sz w:val="13"/>
                <w:szCs w:val="13"/>
                <w:color w:val="auto"/>
              </w:rPr>
            </w:pPr>
          </w:p>
        </w:tc>
        <w:tc>
          <w:tcPr>
            <w:tcW w:w="980" w:type="dxa"/>
            <w:vAlign w:val="bottom"/>
            <w:vMerge w:val="continue"/>
          </w:tcPr>
          <w:p>
            <w:pPr>
              <w:spacing w:after="0"/>
              <w:rPr>
                <w:sz w:val="13"/>
                <w:szCs w:val="13"/>
                <w:color w:val="auto"/>
              </w:rPr>
            </w:pPr>
          </w:p>
        </w:tc>
        <w:tc>
          <w:tcPr>
            <w:tcW w:w="2500" w:type="dxa"/>
            <w:vAlign w:val="bottom"/>
            <w:vMerge w:val="restart"/>
          </w:tcPr>
          <w:p>
            <w:pPr>
              <w:ind w:left="160"/>
              <w:spacing w:after="0"/>
              <w:rPr>
                <w:sz w:val="20"/>
                <w:szCs w:val="20"/>
                <w:color w:val="auto"/>
              </w:rPr>
            </w:pPr>
            <w:r>
              <w:rPr>
                <w:rFonts w:ascii="Arial" w:cs="Arial" w:eastAsia="Arial" w:hAnsi="Arial"/>
                <w:sz w:val="18"/>
                <w:szCs w:val="18"/>
                <w:color w:val="auto"/>
              </w:rPr>
              <w:t>Manufacturing</w:t>
            </w:r>
          </w:p>
        </w:tc>
        <w:tc>
          <w:tcPr>
            <w:tcW w:w="920" w:type="dxa"/>
            <w:vAlign w:val="bottom"/>
            <w:vMerge w:val="continue"/>
          </w:tcPr>
          <w:p>
            <w:pPr>
              <w:spacing w:after="0"/>
              <w:rPr>
                <w:sz w:val="13"/>
                <w:szCs w:val="13"/>
                <w:color w:val="auto"/>
              </w:rPr>
            </w:pPr>
          </w:p>
        </w:tc>
        <w:tc>
          <w:tcPr>
            <w:tcW w:w="3060" w:type="dxa"/>
            <w:vAlign w:val="bottom"/>
            <w:vMerge w:val="continue"/>
          </w:tcPr>
          <w:p>
            <w:pPr>
              <w:spacing w:after="0"/>
              <w:rPr>
                <w:sz w:val="13"/>
                <w:szCs w:val="13"/>
                <w:color w:val="auto"/>
              </w:rPr>
            </w:pPr>
          </w:p>
        </w:tc>
        <w:tc>
          <w:tcPr>
            <w:tcW w:w="6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7"/>
        </w:trPr>
        <w:tc>
          <w:tcPr>
            <w:tcW w:w="3120" w:type="dxa"/>
            <w:vAlign w:val="bottom"/>
          </w:tcPr>
          <w:p>
            <w:pPr>
              <w:spacing w:after="0"/>
              <w:rPr>
                <w:sz w:val="7"/>
                <w:szCs w:val="7"/>
                <w:color w:val="auto"/>
              </w:rPr>
            </w:pPr>
          </w:p>
        </w:tc>
        <w:tc>
          <w:tcPr>
            <w:tcW w:w="980" w:type="dxa"/>
            <w:vAlign w:val="bottom"/>
          </w:tcPr>
          <w:p>
            <w:pPr>
              <w:spacing w:after="0"/>
              <w:rPr>
                <w:sz w:val="7"/>
                <w:szCs w:val="7"/>
                <w:color w:val="auto"/>
              </w:rPr>
            </w:pPr>
          </w:p>
        </w:tc>
        <w:tc>
          <w:tcPr>
            <w:tcW w:w="2500" w:type="dxa"/>
            <w:vAlign w:val="bottom"/>
            <w:vMerge w:val="continue"/>
          </w:tcPr>
          <w:p>
            <w:pPr>
              <w:spacing w:after="0"/>
              <w:rPr>
                <w:sz w:val="7"/>
                <w:szCs w:val="7"/>
                <w:color w:val="auto"/>
              </w:rPr>
            </w:pPr>
          </w:p>
        </w:tc>
        <w:tc>
          <w:tcPr>
            <w:tcW w:w="920" w:type="dxa"/>
            <w:vAlign w:val="bottom"/>
          </w:tcPr>
          <w:p>
            <w:pPr>
              <w:spacing w:after="0"/>
              <w:rPr>
                <w:sz w:val="7"/>
                <w:szCs w:val="7"/>
                <w:color w:val="auto"/>
              </w:rPr>
            </w:pPr>
          </w:p>
        </w:tc>
        <w:tc>
          <w:tcPr>
            <w:tcW w:w="3060" w:type="dxa"/>
            <w:vAlign w:val="bottom"/>
          </w:tcPr>
          <w:p>
            <w:pPr>
              <w:spacing w:after="0"/>
              <w:rPr>
                <w:sz w:val="7"/>
                <w:szCs w:val="7"/>
                <w:color w:val="auto"/>
              </w:rPr>
            </w:pPr>
          </w:p>
        </w:tc>
        <w:tc>
          <w:tcPr>
            <w:tcW w:w="6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98"/>
        </w:trPr>
        <w:tc>
          <w:tcPr>
            <w:tcW w:w="3120" w:type="dxa"/>
            <w:vAlign w:val="bottom"/>
            <w:tcBorders>
              <w:bottom w:val="single" w:sz="8" w:color="939598"/>
            </w:tcBorders>
          </w:tcPr>
          <w:p>
            <w:pPr>
              <w:spacing w:after="0"/>
              <w:rPr>
                <w:sz w:val="17"/>
                <w:szCs w:val="17"/>
                <w:color w:val="auto"/>
              </w:rPr>
            </w:pPr>
          </w:p>
        </w:tc>
        <w:tc>
          <w:tcPr>
            <w:tcW w:w="980" w:type="dxa"/>
            <w:vAlign w:val="bottom"/>
            <w:tcBorders>
              <w:bottom w:val="single" w:sz="8" w:color="939598"/>
            </w:tcBorders>
          </w:tcPr>
          <w:p>
            <w:pPr>
              <w:spacing w:after="0"/>
              <w:rPr>
                <w:sz w:val="17"/>
                <w:szCs w:val="17"/>
                <w:color w:val="auto"/>
              </w:rPr>
            </w:pPr>
          </w:p>
        </w:tc>
        <w:tc>
          <w:tcPr>
            <w:tcW w:w="2500" w:type="dxa"/>
            <w:vAlign w:val="bottom"/>
            <w:tcBorders>
              <w:bottom w:val="single" w:sz="8" w:color="939598"/>
            </w:tcBorders>
          </w:tcPr>
          <w:p>
            <w:pPr>
              <w:spacing w:after="0"/>
              <w:rPr>
                <w:sz w:val="17"/>
                <w:szCs w:val="17"/>
                <w:color w:val="auto"/>
              </w:rPr>
            </w:pPr>
          </w:p>
        </w:tc>
        <w:tc>
          <w:tcPr>
            <w:tcW w:w="920" w:type="dxa"/>
            <w:vAlign w:val="bottom"/>
            <w:tcBorders>
              <w:bottom w:val="single" w:sz="8" w:color="939598"/>
            </w:tcBorders>
          </w:tcPr>
          <w:p>
            <w:pPr>
              <w:spacing w:after="0"/>
              <w:rPr>
                <w:sz w:val="17"/>
                <w:szCs w:val="17"/>
                <w:color w:val="auto"/>
              </w:rPr>
            </w:pPr>
          </w:p>
        </w:tc>
        <w:tc>
          <w:tcPr>
            <w:tcW w:w="3060" w:type="dxa"/>
            <w:vAlign w:val="bottom"/>
            <w:tcBorders>
              <w:bottom w:val="single" w:sz="8" w:color="939598"/>
            </w:tcBorders>
          </w:tcPr>
          <w:p>
            <w:pPr>
              <w:spacing w:after="0"/>
              <w:rPr>
                <w:sz w:val="17"/>
                <w:szCs w:val="17"/>
                <w:color w:val="auto"/>
              </w:rPr>
            </w:pPr>
          </w:p>
        </w:tc>
        <w:tc>
          <w:tcPr>
            <w:tcW w:w="660" w:type="dxa"/>
            <w:vAlign w:val="bottom"/>
            <w:tcBorders>
              <w:bottom w:val="single" w:sz="8" w:color="939598"/>
            </w:tcBorders>
          </w:tcPr>
          <w:p>
            <w:pPr>
              <w:spacing w:after="0"/>
              <w:rPr>
                <w:sz w:val="17"/>
                <w:szCs w:val="17"/>
                <w:color w:val="auto"/>
              </w:rPr>
            </w:pPr>
          </w:p>
        </w:tc>
        <w:tc>
          <w:tcPr>
            <w:tcW w:w="0" w:type="dxa"/>
            <w:vAlign w:val="bottom"/>
          </w:tcPr>
          <w:p>
            <w:pPr>
              <w:spacing w:after="0"/>
              <w:rPr>
                <w:sz w:val="1"/>
                <w:szCs w:val="1"/>
                <w:color w:val="auto"/>
              </w:rPr>
            </w:pPr>
          </w:p>
        </w:tc>
      </w:tr>
      <w:tr>
        <w:trPr>
          <w:trHeight w:val="339"/>
        </w:trPr>
        <w:tc>
          <w:tcPr>
            <w:tcW w:w="3120" w:type="dxa"/>
            <w:vAlign w:val="bottom"/>
          </w:tcPr>
          <w:p>
            <w:pPr>
              <w:ind w:left="520"/>
              <w:spacing w:after="0"/>
              <w:rPr>
                <w:sz w:val="20"/>
                <w:szCs w:val="20"/>
                <w:color w:val="auto"/>
              </w:rPr>
            </w:pPr>
            <w:r>
              <w:rPr>
                <w:rFonts w:ascii="Arial" w:cs="Arial" w:eastAsia="Arial" w:hAnsi="Arial"/>
                <w:sz w:val="18"/>
                <w:szCs w:val="18"/>
                <w:color w:val="auto"/>
              </w:rPr>
              <w:t>Innovation and Emerging</w:t>
            </w:r>
          </w:p>
        </w:tc>
        <w:tc>
          <w:tcPr>
            <w:tcW w:w="980" w:type="dxa"/>
            <w:vAlign w:val="bottom"/>
            <w:vMerge w:val="restart"/>
          </w:tcPr>
          <w:p>
            <w:pPr>
              <w:jc w:val="right"/>
              <w:ind w:right="370"/>
              <w:spacing w:after="0"/>
              <w:rPr>
                <w:sz w:val="20"/>
                <w:szCs w:val="20"/>
                <w:color w:val="auto"/>
              </w:rPr>
            </w:pPr>
            <w:r>
              <w:rPr>
                <w:rFonts w:ascii="Arial" w:cs="Arial" w:eastAsia="Arial" w:hAnsi="Arial"/>
                <w:sz w:val="18"/>
                <w:szCs w:val="18"/>
                <w:b w:val="1"/>
                <w:bCs w:val="1"/>
                <w:color w:val="0067B3"/>
              </w:rPr>
              <w:t>9</w:t>
            </w:r>
            <w:r>
              <w:rPr>
                <w:rFonts w:ascii="Arial" w:cs="Arial" w:eastAsia="Arial" w:hAnsi="Arial"/>
                <w:sz w:val="18"/>
                <w:szCs w:val="18"/>
                <w:color w:val="000000"/>
              </w:rPr>
              <w:t>/10</w:t>
            </w:r>
          </w:p>
        </w:tc>
        <w:tc>
          <w:tcPr>
            <w:tcW w:w="2500" w:type="dxa"/>
            <w:vAlign w:val="bottom"/>
          </w:tcPr>
          <w:p>
            <w:pPr>
              <w:ind w:left="160"/>
              <w:spacing w:after="0"/>
              <w:rPr>
                <w:sz w:val="20"/>
                <w:szCs w:val="20"/>
                <w:color w:val="auto"/>
              </w:rPr>
            </w:pPr>
            <w:r>
              <w:rPr>
                <w:rFonts w:ascii="Arial" w:cs="Arial" w:eastAsia="Arial" w:hAnsi="Arial"/>
                <w:sz w:val="18"/>
                <w:szCs w:val="18"/>
                <w:color w:val="auto"/>
              </w:rPr>
              <w:t>Government Affairs,</w:t>
            </w:r>
          </w:p>
        </w:tc>
        <w:tc>
          <w:tcPr>
            <w:tcW w:w="920" w:type="dxa"/>
            <w:vAlign w:val="bottom"/>
            <w:vMerge w:val="restart"/>
          </w:tcPr>
          <w:p>
            <w:pPr>
              <w:jc w:val="center"/>
              <w:ind w:left="210"/>
              <w:spacing w:after="0"/>
              <w:rPr>
                <w:sz w:val="20"/>
                <w:szCs w:val="20"/>
                <w:color w:val="auto"/>
              </w:rPr>
            </w:pPr>
            <w:r>
              <w:rPr>
                <w:rFonts w:ascii="Arial" w:cs="Arial" w:eastAsia="Arial" w:hAnsi="Arial"/>
                <w:sz w:val="18"/>
                <w:szCs w:val="18"/>
                <w:b w:val="1"/>
                <w:bCs w:val="1"/>
                <w:color w:val="0067B3"/>
                <w:w w:val="96"/>
              </w:rPr>
              <w:t>3</w:t>
            </w:r>
            <w:r>
              <w:rPr>
                <w:rFonts w:ascii="Arial" w:cs="Arial" w:eastAsia="Arial" w:hAnsi="Arial"/>
                <w:sz w:val="18"/>
                <w:szCs w:val="18"/>
                <w:color w:val="000000"/>
                <w:w w:val="96"/>
              </w:rPr>
              <w:t>/10</w:t>
            </w:r>
          </w:p>
        </w:tc>
        <w:tc>
          <w:tcPr>
            <w:tcW w:w="3060" w:type="dxa"/>
            <w:vAlign w:val="bottom"/>
          </w:tcPr>
          <w:p>
            <w:pPr>
              <w:ind w:left="480"/>
              <w:spacing w:after="0"/>
              <w:rPr>
                <w:sz w:val="20"/>
                <w:szCs w:val="20"/>
                <w:color w:val="auto"/>
              </w:rPr>
            </w:pPr>
            <w:r>
              <w:rPr>
                <w:rFonts w:ascii="Arial" w:cs="Arial" w:eastAsia="Arial" w:hAnsi="Arial"/>
                <w:sz w:val="18"/>
                <w:szCs w:val="18"/>
                <w:color w:val="auto"/>
              </w:rPr>
              <w:t>Sustainability, Human Capital,</w:t>
            </w:r>
          </w:p>
        </w:tc>
        <w:tc>
          <w:tcPr>
            <w:tcW w:w="660" w:type="dxa"/>
            <w:vAlign w:val="bottom"/>
            <w:vMerge w:val="restart"/>
          </w:tcPr>
          <w:p>
            <w:pPr>
              <w:jc w:val="right"/>
              <w:ind w:right="10"/>
              <w:spacing w:after="0"/>
              <w:rPr>
                <w:sz w:val="20"/>
                <w:szCs w:val="20"/>
                <w:color w:val="auto"/>
              </w:rPr>
            </w:pPr>
            <w:r>
              <w:rPr>
                <w:rFonts w:ascii="Arial" w:cs="Arial" w:eastAsia="Arial" w:hAnsi="Arial"/>
                <w:sz w:val="18"/>
                <w:szCs w:val="18"/>
                <w:b w:val="1"/>
                <w:bCs w:val="1"/>
                <w:color w:val="0067B3"/>
              </w:rPr>
              <w:t>6</w:t>
            </w:r>
            <w:r>
              <w:rPr>
                <w:rFonts w:ascii="Arial" w:cs="Arial" w:eastAsia="Arial" w:hAnsi="Arial"/>
                <w:sz w:val="18"/>
                <w:szCs w:val="18"/>
                <w:color w:val="000000"/>
              </w:rPr>
              <w:t>/10</w:t>
            </w:r>
          </w:p>
        </w:tc>
        <w:tc>
          <w:tcPr>
            <w:tcW w:w="0" w:type="dxa"/>
            <w:vAlign w:val="bottom"/>
          </w:tcPr>
          <w:p>
            <w:pPr>
              <w:spacing w:after="0"/>
              <w:rPr>
                <w:sz w:val="1"/>
                <w:szCs w:val="1"/>
                <w:color w:val="auto"/>
              </w:rPr>
            </w:pPr>
          </w:p>
        </w:tc>
      </w:tr>
      <w:tr>
        <w:trPr>
          <w:trHeight w:val="152"/>
        </w:trPr>
        <w:tc>
          <w:tcPr>
            <w:tcW w:w="3120" w:type="dxa"/>
            <w:vAlign w:val="bottom"/>
            <w:vMerge w:val="restart"/>
          </w:tcPr>
          <w:p>
            <w:pPr>
              <w:ind w:left="520"/>
              <w:spacing w:after="0"/>
              <w:rPr>
                <w:sz w:val="20"/>
                <w:szCs w:val="20"/>
                <w:color w:val="auto"/>
              </w:rPr>
            </w:pPr>
            <w:r>
              <w:rPr>
                <w:rFonts w:ascii="Arial" w:cs="Arial" w:eastAsia="Arial" w:hAnsi="Arial"/>
                <w:sz w:val="18"/>
                <w:szCs w:val="18"/>
                <w:color w:val="auto"/>
              </w:rPr>
              <w:t>Technologies</w:t>
            </w:r>
          </w:p>
        </w:tc>
        <w:tc>
          <w:tcPr>
            <w:tcW w:w="980" w:type="dxa"/>
            <w:vAlign w:val="bottom"/>
            <w:vMerge w:val="continue"/>
          </w:tcPr>
          <w:p>
            <w:pPr>
              <w:spacing w:after="0"/>
              <w:rPr>
                <w:sz w:val="13"/>
                <w:szCs w:val="13"/>
                <w:color w:val="auto"/>
              </w:rPr>
            </w:pPr>
          </w:p>
        </w:tc>
        <w:tc>
          <w:tcPr>
            <w:tcW w:w="2500" w:type="dxa"/>
            <w:vAlign w:val="bottom"/>
            <w:vMerge w:val="restart"/>
          </w:tcPr>
          <w:p>
            <w:pPr>
              <w:ind w:left="160"/>
              <w:spacing w:after="0"/>
              <w:rPr>
                <w:sz w:val="20"/>
                <w:szCs w:val="20"/>
                <w:color w:val="auto"/>
              </w:rPr>
            </w:pPr>
            <w:r>
              <w:rPr>
                <w:rFonts w:ascii="Arial" w:cs="Arial" w:eastAsia="Arial" w:hAnsi="Arial"/>
                <w:sz w:val="18"/>
                <w:szCs w:val="18"/>
                <w:color w:val="auto"/>
              </w:rPr>
              <w:t>Public Policy</w:t>
            </w:r>
          </w:p>
        </w:tc>
        <w:tc>
          <w:tcPr>
            <w:tcW w:w="920" w:type="dxa"/>
            <w:vAlign w:val="bottom"/>
            <w:vMerge w:val="continue"/>
          </w:tcPr>
          <w:p>
            <w:pPr>
              <w:spacing w:after="0"/>
              <w:rPr>
                <w:sz w:val="13"/>
                <w:szCs w:val="13"/>
                <w:color w:val="auto"/>
              </w:rPr>
            </w:pPr>
          </w:p>
        </w:tc>
        <w:tc>
          <w:tcPr>
            <w:tcW w:w="3060" w:type="dxa"/>
            <w:vAlign w:val="bottom"/>
            <w:vMerge w:val="restart"/>
          </w:tcPr>
          <w:p>
            <w:pPr>
              <w:ind w:left="480"/>
              <w:spacing w:after="0"/>
              <w:rPr>
                <w:sz w:val="20"/>
                <w:szCs w:val="20"/>
                <w:color w:val="auto"/>
              </w:rPr>
            </w:pPr>
            <w:r>
              <w:rPr>
                <w:rFonts w:ascii="Arial" w:cs="Arial" w:eastAsia="Arial" w:hAnsi="Arial"/>
                <w:sz w:val="18"/>
                <w:szCs w:val="18"/>
                <w:color w:val="auto"/>
              </w:rPr>
              <w:t>Human Rights, and Diversity</w:t>
            </w:r>
          </w:p>
        </w:tc>
        <w:tc>
          <w:tcPr>
            <w:tcW w:w="6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7"/>
        </w:trPr>
        <w:tc>
          <w:tcPr>
            <w:tcW w:w="3120" w:type="dxa"/>
            <w:vAlign w:val="bottom"/>
            <w:vMerge w:val="continue"/>
          </w:tcPr>
          <w:p>
            <w:pPr>
              <w:spacing w:after="0"/>
              <w:rPr>
                <w:sz w:val="7"/>
                <w:szCs w:val="7"/>
                <w:color w:val="auto"/>
              </w:rPr>
            </w:pPr>
          </w:p>
        </w:tc>
        <w:tc>
          <w:tcPr>
            <w:tcW w:w="980" w:type="dxa"/>
            <w:vAlign w:val="bottom"/>
          </w:tcPr>
          <w:p>
            <w:pPr>
              <w:spacing w:after="0"/>
              <w:rPr>
                <w:sz w:val="7"/>
                <w:szCs w:val="7"/>
                <w:color w:val="auto"/>
              </w:rPr>
            </w:pPr>
          </w:p>
        </w:tc>
        <w:tc>
          <w:tcPr>
            <w:tcW w:w="2500" w:type="dxa"/>
            <w:vAlign w:val="bottom"/>
            <w:vMerge w:val="continue"/>
          </w:tcPr>
          <w:p>
            <w:pPr>
              <w:spacing w:after="0"/>
              <w:rPr>
                <w:sz w:val="7"/>
                <w:szCs w:val="7"/>
                <w:color w:val="auto"/>
              </w:rPr>
            </w:pPr>
          </w:p>
        </w:tc>
        <w:tc>
          <w:tcPr>
            <w:tcW w:w="920" w:type="dxa"/>
            <w:vAlign w:val="bottom"/>
          </w:tcPr>
          <w:p>
            <w:pPr>
              <w:spacing w:after="0"/>
              <w:rPr>
                <w:sz w:val="7"/>
                <w:szCs w:val="7"/>
                <w:color w:val="auto"/>
              </w:rPr>
            </w:pPr>
          </w:p>
        </w:tc>
        <w:tc>
          <w:tcPr>
            <w:tcW w:w="3060" w:type="dxa"/>
            <w:vAlign w:val="bottom"/>
            <w:vMerge w:val="continue"/>
          </w:tcPr>
          <w:p>
            <w:pPr>
              <w:spacing w:after="0"/>
              <w:rPr>
                <w:sz w:val="7"/>
                <w:szCs w:val="7"/>
                <w:color w:val="auto"/>
              </w:rPr>
            </w:pPr>
          </w:p>
        </w:tc>
        <w:tc>
          <w:tcPr>
            <w:tcW w:w="6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98"/>
        </w:trPr>
        <w:tc>
          <w:tcPr>
            <w:tcW w:w="3120" w:type="dxa"/>
            <w:vAlign w:val="bottom"/>
            <w:tcBorders>
              <w:bottom w:val="single" w:sz="8" w:color="939598"/>
            </w:tcBorders>
          </w:tcPr>
          <w:p>
            <w:pPr>
              <w:spacing w:after="0"/>
              <w:rPr>
                <w:sz w:val="17"/>
                <w:szCs w:val="17"/>
                <w:color w:val="auto"/>
              </w:rPr>
            </w:pPr>
          </w:p>
        </w:tc>
        <w:tc>
          <w:tcPr>
            <w:tcW w:w="980" w:type="dxa"/>
            <w:vAlign w:val="bottom"/>
            <w:tcBorders>
              <w:bottom w:val="single" w:sz="8" w:color="939598"/>
            </w:tcBorders>
          </w:tcPr>
          <w:p>
            <w:pPr>
              <w:spacing w:after="0"/>
              <w:rPr>
                <w:sz w:val="17"/>
                <w:szCs w:val="17"/>
                <w:color w:val="auto"/>
              </w:rPr>
            </w:pPr>
          </w:p>
        </w:tc>
        <w:tc>
          <w:tcPr>
            <w:tcW w:w="2500" w:type="dxa"/>
            <w:vAlign w:val="bottom"/>
            <w:tcBorders>
              <w:bottom w:val="single" w:sz="8" w:color="939598"/>
            </w:tcBorders>
          </w:tcPr>
          <w:p>
            <w:pPr>
              <w:spacing w:after="0"/>
              <w:rPr>
                <w:sz w:val="17"/>
                <w:szCs w:val="17"/>
                <w:color w:val="auto"/>
              </w:rPr>
            </w:pPr>
          </w:p>
        </w:tc>
        <w:tc>
          <w:tcPr>
            <w:tcW w:w="920" w:type="dxa"/>
            <w:vAlign w:val="bottom"/>
            <w:tcBorders>
              <w:bottom w:val="single" w:sz="8" w:color="939598"/>
            </w:tcBorders>
          </w:tcPr>
          <w:p>
            <w:pPr>
              <w:spacing w:after="0"/>
              <w:rPr>
                <w:sz w:val="17"/>
                <w:szCs w:val="17"/>
                <w:color w:val="auto"/>
              </w:rPr>
            </w:pPr>
          </w:p>
        </w:tc>
        <w:tc>
          <w:tcPr>
            <w:tcW w:w="3060" w:type="dxa"/>
            <w:vAlign w:val="bottom"/>
            <w:tcBorders>
              <w:bottom w:val="single" w:sz="8" w:color="939598"/>
            </w:tcBorders>
          </w:tcPr>
          <w:p>
            <w:pPr>
              <w:spacing w:after="0"/>
              <w:rPr>
                <w:sz w:val="17"/>
                <w:szCs w:val="17"/>
                <w:color w:val="auto"/>
              </w:rPr>
            </w:pPr>
          </w:p>
        </w:tc>
        <w:tc>
          <w:tcPr>
            <w:tcW w:w="660" w:type="dxa"/>
            <w:vAlign w:val="bottom"/>
            <w:tcBorders>
              <w:bottom w:val="single" w:sz="8" w:color="939598"/>
            </w:tcBorders>
          </w:tcPr>
          <w:p>
            <w:pPr>
              <w:spacing w:after="0"/>
              <w:rPr>
                <w:sz w:val="17"/>
                <w:szCs w:val="17"/>
                <w:color w:val="auto"/>
              </w:rPr>
            </w:pPr>
          </w:p>
        </w:tc>
        <w:tc>
          <w:tcPr>
            <w:tcW w:w="0" w:type="dxa"/>
            <w:vAlign w:val="bottom"/>
          </w:tcPr>
          <w:p>
            <w:pPr>
              <w:spacing w:after="0"/>
              <w:rPr>
                <w:sz w:val="1"/>
                <w:szCs w:val="1"/>
                <w:color w:val="auto"/>
              </w:rPr>
            </w:pPr>
          </w:p>
        </w:tc>
      </w:tr>
      <w:tr>
        <w:trPr>
          <w:trHeight w:val="339"/>
        </w:trPr>
        <w:tc>
          <w:tcPr>
            <w:tcW w:w="3120" w:type="dxa"/>
            <w:vAlign w:val="bottom"/>
          </w:tcPr>
          <w:p>
            <w:pPr>
              <w:ind w:left="520"/>
              <w:spacing w:after="0"/>
              <w:rPr>
                <w:sz w:val="20"/>
                <w:szCs w:val="20"/>
                <w:color w:val="auto"/>
              </w:rPr>
            </w:pPr>
            <w:r>
              <w:rPr>
                <w:rFonts w:ascii="Arial" w:cs="Arial" w:eastAsia="Arial" w:hAnsi="Arial"/>
                <w:sz w:val="18"/>
                <w:szCs w:val="18"/>
                <w:color w:val="auto"/>
              </w:rPr>
              <w:t>Corporate Governance, Public</w:t>
            </w:r>
          </w:p>
        </w:tc>
        <w:tc>
          <w:tcPr>
            <w:tcW w:w="980" w:type="dxa"/>
            <w:vAlign w:val="bottom"/>
            <w:vMerge w:val="restart"/>
          </w:tcPr>
          <w:p>
            <w:pPr>
              <w:jc w:val="right"/>
              <w:ind w:right="370"/>
              <w:spacing w:after="0"/>
              <w:rPr>
                <w:sz w:val="20"/>
                <w:szCs w:val="20"/>
                <w:color w:val="auto"/>
              </w:rPr>
            </w:pPr>
            <w:r>
              <w:rPr>
                <w:rFonts w:ascii="Arial" w:cs="Arial" w:eastAsia="Arial" w:hAnsi="Arial"/>
                <w:sz w:val="18"/>
                <w:szCs w:val="18"/>
                <w:b w:val="1"/>
                <w:bCs w:val="1"/>
                <w:color w:val="0067B3"/>
              </w:rPr>
              <w:t>8</w:t>
            </w:r>
            <w:r>
              <w:rPr>
                <w:rFonts w:ascii="Arial" w:cs="Arial" w:eastAsia="Arial" w:hAnsi="Arial"/>
                <w:sz w:val="18"/>
                <w:szCs w:val="18"/>
                <w:color w:val="000000"/>
              </w:rPr>
              <w:t>/10</w:t>
            </w:r>
          </w:p>
        </w:tc>
        <w:tc>
          <w:tcPr>
            <w:tcW w:w="2500" w:type="dxa"/>
            <w:vAlign w:val="bottom"/>
            <w:vMerge w:val="restart"/>
          </w:tcPr>
          <w:p>
            <w:pPr>
              <w:ind w:left="160"/>
              <w:spacing w:after="0"/>
              <w:rPr>
                <w:sz w:val="20"/>
                <w:szCs w:val="20"/>
                <w:color w:val="auto"/>
              </w:rPr>
            </w:pPr>
            <w:r>
              <w:rPr>
                <w:rFonts w:ascii="Arial" w:cs="Arial" w:eastAsia="Arial" w:hAnsi="Arial"/>
                <w:sz w:val="18"/>
                <w:szCs w:val="18"/>
                <w:color w:val="auto"/>
              </w:rPr>
              <w:t>Strategy</w:t>
            </w:r>
          </w:p>
        </w:tc>
        <w:tc>
          <w:tcPr>
            <w:tcW w:w="920" w:type="dxa"/>
            <w:vAlign w:val="bottom"/>
            <w:vMerge w:val="restart"/>
          </w:tcPr>
          <w:p>
            <w:pPr>
              <w:jc w:val="center"/>
              <w:ind w:left="210"/>
              <w:spacing w:after="0"/>
              <w:rPr>
                <w:sz w:val="20"/>
                <w:szCs w:val="20"/>
                <w:color w:val="auto"/>
              </w:rPr>
            </w:pPr>
            <w:r>
              <w:rPr>
                <w:rFonts w:ascii="Arial" w:cs="Arial" w:eastAsia="Arial" w:hAnsi="Arial"/>
                <w:sz w:val="18"/>
                <w:szCs w:val="18"/>
                <w:b w:val="1"/>
                <w:bCs w:val="1"/>
                <w:color w:val="0067B3"/>
              </w:rPr>
              <w:t>10</w:t>
            </w:r>
            <w:r>
              <w:rPr>
                <w:rFonts w:ascii="Arial" w:cs="Arial" w:eastAsia="Arial" w:hAnsi="Arial"/>
                <w:sz w:val="18"/>
                <w:szCs w:val="18"/>
                <w:color w:val="000000"/>
              </w:rPr>
              <w:t>/10</w:t>
            </w:r>
          </w:p>
        </w:tc>
        <w:tc>
          <w:tcPr>
            <w:tcW w:w="30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2"/>
        </w:trPr>
        <w:tc>
          <w:tcPr>
            <w:tcW w:w="3120" w:type="dxa"/>
            <w:vAlign w:val="bottom"/>
            <w:vMerge w:val="restart"/>
          </w:tcPr>
          <w:p>
            <w:pPr>
              <w:ind w:left="520"/>
              <w:spacing w:after="0"/>
              <w:rPr>
                <w:sz w:val="20"/>
                <w:szCs w:val="20"/>
                <w:color w:val="auto"/>
              </w:rPr>
            </w:pPr>
            <w:r>
              <w:rPr>
                <w:rFonts w:ascii="Arial" w:cs="Arial" w:eastAsia="Arial" w:hAnsi="Arial"/>
                <w:sz w:val="18"/>
                <w:szCs w:val="18"/>
                <w:color w:val="auto"/>
              </w:rPr>
              <w:t>Company Board</w:t>
            </w:r>
          </w:p>
        </w:tc>
        <w:tc>
          <w:tcPr>
            <w:tcW w:w="980" w:type="dxa"/>
            <w:vAlign w:val="bottom"/>
            <w:vMerge w:val="continue"/>
          </w:tcPr>
          <w:p>
            <w:pPr>
              <w:spacing w:after="0"/>
              <w:rPr>
                <w:sz w:val="13"/>
                <w:szCs w:val="13"/>
                <w:color w:val="auto"/>
              </w:rPr>
            </w:pPr>
          </w:p>
        </w:tc>
        <w:tc>
          <w:tcPr>
            <w:tcW w:w="2500" w:type="dxa"/>
            <w:vAlign w:val="bottom"/>
            <w:vMerge w:val="continue"/>
          </w:tcPr>
          <w:p>
            <w:pPr>
              <w:spacing w:after="0"/>
              <w:rPr>
                <w:sz w:val="13"/>
                <w:szCs w:val="13"/>
                <w:color w:val="auto"/>
              </w:rPr>
            </w:pPr>
          </w:p>
        </w:tc>
        <w:tc>
          <w:tcPr>
            <w:tcW w:w="920" w:type="dxa"/>
            <w:vAlign w:val="bottom"/>
            <w:vMerge w:val="continue"/>
          </w:tcPr>
          <w:p>
            <w:pPr>
              <w:spacing w:after="0"/>
              <w:rPr>
                <w:sz w:val="13"/>
                <w:szCs w:val="13"/>
                <w:color w:val="auto"/>
              </w:rPr>
            </w:pPr>
          </w:p>
        </w:tc>
        <w:tc>
          <w:tcPr>
            <w:tcW w:w="30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87"/>
        </w:trPr>
        <w:tc>
          <w:tcPr>
            <w:tcW w:w="3120" w:type="dxa"/>
            <w:vAlign w:val="bottom"/>
            <w:vMerge w:val="continue"/>
          </w:tcPr>
          <w:p>
            <w:pPr>
              <w:spacing w:after="0"/>
              <w:rPr>
                <w:sz w:val="7"/>
                <w:szCs w:val="7"/>
                <w:color w:val="auto"/>
              </w:rPr>
            </w:pPr>
          </w:p>
        </w:tc>
        <w:tc>
          <w:tcPr>
            <w:tcW w:w="980" w:type="dxa"/>
            <w:vAlign w:val="bottom"/>
          </w:tcPr>
          <w:p>
            <w:pPr>
              <w:spacing w:after="0"/>
              <w:rPr>
                <w:sz w:val="7"/>
                <w:szCs w:val="7"/>
                <w:color w:val="auto"/>
              </w:rPr>
            </w:pPr>
          </w:p>
        </w:tc>
        <w:tc>
          <w:tcPr>
            <w:tcW w:w="2500" w:type="dxa"/>
            <w:vAlign w:val="bottom"/>
          </w:tcPr>
          <w:p>
            <w:pPr>
              <w:spacing w:after="0"/>
              <w:rPr>
                <w:sz w:val="7"/>
                <w:szCs w:val="7"/>
                <w:color w:val="auto"/>
              </w:rPr>
            </w:pPr>
          </w:p>
        </w:tc>
        <w:tc>
          <w:tcPr>
            <w:tcW w:w="920" w:type="dxa"/>
            <w:vAlign w:val="bottom"/>
          </w:tcPr>
          <w:p>
            <w:pPr>
              <w:spacing w:after="0"/>
              <w:rPr>
                <w:sz w:val="7"/>
                <w:szCs w:val="7"/>
                <w:color w:val="auto"/>
              </w:rPr>
            </w:pPr>
          </w:p>
        </w:tc>
        <w:tc>
          <w:tcPr>
            <w:tcW w:w="3060" w:type="dxa"/>
            <w:vAlign w:val="bottom"/>
          </w:tcPr>
          <w:p>
            <w:pPr>
              <w:spacing w:after="0"/>
              <w:rPr>
                <w:sz w:val="7"/>
                <w:szCs w:val="7"/>
                <w:color w:val="auto"/>
              </w:rPr>
            </w:pPr>
          </w:p>
        </w:tc>
        <w:tc>
          <w:tcPr>
            <w:tcW w:w="6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98"/>
        </w:trPr>
        <w:tc>
          <w:tcPr>
            <w:tcW w:w="3120" w:type="dxa"/>
            <w:vAlign w:val="bottom"/>
            <w:tcBorders>
              <w:bottom w:val="single" w:sz="8" w:color="939598"/>
            </w:tcBorders>
          </w:tcPr>
          <w:p>
            <w:pPr>
              <w:spacing w:after="0"/>
              <w:rPr>
                <w:sz w:val="17"/>
                <w:szCs w:val="17"/>
                <w:color w:val="auto"/>
              </w:rPr>
            </w:pPr>
          </w:p>
        </w:tc>
        <w:tc>
          <w:tcPr>
            <w:tcW w:w="980" w:type="dxa"/>
            <w:vAlign w:val="bottom"/>
            <w:tcBorders>
              <w:bottom w:val="single" w:sz="8" w:color="939598"/>
            </w:tcBorders>
          </w:tcPr>
          <w:p>
            <w:pPr>
              <w:spacing w:after="0"/>
              <w:rPr>
                <w:sz w:val="17"/>
                <w:szCs w:val="17"/>
                <w:color w:val="auto"/>
              </w:rPr>
            </w:pPr>
          </w:p>
        </w:tc>
        <w:tc>
          <w:tcPr>
            <w:tcW w:w="2500" w:type="dxa"/>
            <w:vAlign w:val="bottom"/>
            <w:tcBorders>
              <w:bottom w:val="single" w:sz="8" w:color="939598"/>
            </w:tcBorders>
          </w:tcPr>
          <w:p>
            <w:pPr>
              <w:spacing w:after="0"/>
              <w:rPr>
                <w:sz w:val="17"/>
                <w:szCs w:val="17"/>
                <w:color w:val="auto"/>
              </w:rPr>
            </w:pPr>
          </w:p>
        </w:tc>
        <w:tc>
          <w:tcPr>
            <w:tcW w:w="920" w:type="dxa"/>
            <w:vAlign w:val="bottom"/>
            <w:tcBorders>
              <w:bottom w:val="single" w:sz="8" w:color="939598"/>
            </w:tcBorders>
          </w:tcPr>
          <w:p>
            <w:pPr>
              <w:spacing w:after="0"/>
              <w:rPr>
                <w:sz w:val="17"/>
                <w:szCs w:val="17"/>
                <w:color w:val="auto"/>
              </w:rPr>
            </w:pPr>
          </w:p>
        </w:tc>
        <w:tc>
          <w:tcPr>
            <w:tcW w:w="3060" w:type="dxa"/>
            <w:vAlign w:val="bottom"/>
            <w:tcBorders>
              <w:bottom w:val="single" w:sz="8" w:color="939598"/>
            </w:tcBorders>
          </w:tcPr>
          <w:p>
            <w:pPr>
              <w:spacing w:after="0"/>
              <w:rPr>
                <w:sz w:val="17"/>
                <w:szCs w:val="17"/>
                <w:color w:val="auto"/>
              </w:rPr>
            </w:pPr>
          </w:p>
        </w:tc>
        <w:tc>
          <w:tcPr>
            <w:tcW w:w="660" w:type="dxa"/>
            <w:vAlign w:val="bottom"/>
            <w:tcBorders>
              <w:bottom w:val="single" w:sz="8" w:color="939598"/>
            </w:tcBorders>
          </w:tcPr>
          <w:p>
            <w:pPr>
              <w:spacing w:after="0"/>
              <w:rPr>
                <w:sz w:val="17"/>
                <w:szCs w:val="17"/>
                <w:color w:val="auto"/>
              </w:rPr>
            </w:pPr>
          </w:p>
        </w:tc>
        <w:tc>
          <w:tcPr>
            <w:tcW w:w="0" w:type="dxa"/>
            <w:vAlign w:val="bottom"/>
          </w:tcPr>
          <w:p>
            <w:pPr>
              <w:spacing w:after="0"/>
              <w:rPr>
                <w:sz w:val="1"/>
                <w:szCs w:val="1"/>
                <w:color w:val="auto"/>
              </w:rPr>
            </w:pPr>
          </w:p>
        </w:tc>
      </w:tr>
      <w:tr>
        <w:trPr>
          <w:trHeight w:val="339"/>
        </w:trPr>
        <w:tc>
          <w:tcPr>
            <w:tcW w:w="3120" w:type="dxa"/>
            <w:vAlign w:val="bottom"/>
            <w:vMerge w:val="restart"/>
          </w:tcPr>
          <w:p>
            <w:pPr>
              <w:ind w:left="520"/>
              <w:spacing w:after="0"/>
              <w:rPr>
                <w:sz w:val="20"/>
                <w:szCs w:val="20"/>
                <w:color w:val="auto"/>
              </w:rPr>
            </w:pPr>
            <w:r>
              <w:rPr>
                <w:rFonts w:ascii="Arial" w:cs="Arial" w:eastAsia="Arial" w:hAnsi="Arial"/>
                <w:sz w:val="18"/>
                <w:szCs w:val="18"/>
                <w:color w:val="auto"/>
              </w:rPr>
              <w:t>Financial, Accounting, Auditing</w:t>
            </w:r>
          </w:p>
        </w:tc>
        <w:tc>
          <w:tcPr>
            <w:tcW w:w="980" w:type="dxa"/>
            <w:vAlign w:val="bottom"/>
            <w:vMerge w:val="restart"/>
          </w:tcPr>
          <w:p>
            <w:pPr>
              <w:jc w:val="right"/>
              <w:ind w:right="370"/>
              <w:spacing w:after="0"/>
              <w:rPr>
                <w:sz w:val="20"/>
                <w:szCs w:val="20"/>
                <w:color w:val="auto"/>
              </w:rPr>
            </w:pPr>
            <w:r>
              <w:rPr>
                <w:rFonts w:ascii="Arial" w:cs="Arial" w:eastAsia="Arial" w:hAnsi="Arial"/>
                <w:sz w:val="18"/>
                <w:szCs w:val="18"/>
                <w:b w:val="1"/>
                <w:bCs w:val="1"/>
                <w:color w:val="0067B3"/>
              </w:rPr>
              <w:t>4</w:t>
            </w:r>
            <w:r>
              <w:rPr>
                <w:rFonts w:ascii="Arial" w:cs="Arial" w:eastAsia="Arial" w:hAnsi="Arial"/>
                <w:sz w:val="18"/>
                <w:szCs w:val="18"/>
                <w:color w:val="000000"/>
              </w:rPr>
              <w:t>/10</w:t>
            </w:r>
          </w:p>
        </w:tc>
        <w:tc>
          <w:tcPr>
            <w:tcW w:w="2500" w:type="dxa"/>
            <w:vAlign w:val="bottom"/>
          </w:tcPr>
          <w:p>
            <w:pPr>
              <w:ind w:left="160"/>
              <w:spacing w:after="0"/>
              <w:rPr>
                <w:sz w:val="20"/>
                <w:szCs w:val="20"/>
                <w:color w:val="auto"/>
              </w:rPr>
            </w:pPr>
            <w:r>
              <w:rPr>
                <w:rFonts w:ascii="Arial" w:cs="Arial" w:eastAsia="Arial" w:hAnsi="Arial"/>
                <w:sz w:val="18"/>
                <w:szCs w:val="18"/>
                <w:color w:val="auto"/>
              </w:rPr>
              <w:t>Risk Management,</w:t>
            </w:r>
          </w:p>
        </w:tc>
        <w:tc>
          <w:tcPr>
            <w:tcW w:w="920" w:type="dxa"/>
            <w:vAlign w:val="bottom"/>
            <w:vMerge w:val="restart"/>
          </w:tcPr>
          <w:p>
            <w:pPr>
              <w:jc w:val="center"/>
              <w:ind w:left="210"/>
              <w:spacing w:after="0"/>
              <w:rPr>
                <w:sz w:val="20"/>
                <w:szCs w:val="20"/>
                <w:color w:val="auto"/>
              </w:rPr>
            </w:pPr>
            <w:r>
              <w:rPr>
                <w:rFonts w:ascii="Arial" w:cs="Arial" w:eastAsia="Arial" w:hAnsi="Arial"/>
                <w:sz w:val="18"/>
                <w:szCs w:val="18"/>
                <w:b w:val="1"/>
                <w:bCs w:val="1"/>
                <w:color w:val="0067B3"/>
                <w:w w:val="96"/>
              </w:rPr>
              <w:t>2</w:t>
            </w:r>
            <w:r>
              <w:rPr>
                <w:rFonts w:ascii="Arial" w:cs="Arial" w:eastAsia="Arial" w:hAnsi="Arial"/>
                <w:sz w:val="18"/>
                <w:szCs w:val="18"/>
                <w:color w:val="000000"/>
                <w:w w:val="96"/>
              </w:rPr>
              <w:t>/10</w:t>
            </w:r>
          </w:p>
        </w:tc>
        <w:tc>
          <w:tcPr>
            <w:tcW w:w="30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2"/>
        </w:trPr>
        <w:tc>
          <w:tcPr>
            <w:tcW w:w="3120" w:type="dxa"/>
            <w:vAlign w:val="bottom"/>
            <w:vMerge w:val="continue"/>
          </w:tcPr>
          <w:p>
            <w:pPr>
              <w:spacing w:after="0"/>
              <w:rPr>
                <w:sz w:val="13"/>
                <w:szCs w:val="13"/>
                <w:color w:val="auto"/>
              </w:rPr>
            </w:pPr>
          </w:p>
        </w:tc>
        <w:tc>
          <w:tcPr>
            <w:tcW w:w="980" w:type="dxa"/>
            <w:vAlign w:val="bottom"/>
            <w:vMerge w:val="continue"/>
          </w:tcPr>
          <w:p>
            <w:pPr>
              <w:spacing w:after="0"/>
              <w:rPr>
                <w:sz w:val="13"/>
                <w:szCs w:val="13"/>
                <w:color w:val="auto"/>
              </w:rPr>
            </w:pPr>
          </w:p>
        </w:tc>
        <w:tc>
          <w:tcPr>
            <w:tcW w:w="2500" w:type="dxa"/>
            <w:vAlign w:val="bottom"/>
            <w:vMerge w:val="restart"/>
          </w:tcPr>
          <w:p>
            <w:pPr>
              <w:ind w:left="160"/>
              <w:spacing w:after="0"/>
              <w:rPr>
                <w:sz w:val="20"/>
                <w:szCs w:val="20"/>
                <w:color w:val="auto"/>
              </w:rPr>
            </w:pPr>
            <w:r>
              <w:rPr>
                <w:rFonts w:ascii="Arial" w:cs="Arial" w:eastAsia="Arial" w:hAnsi="Arial"/>
                <w:sz w:val="18"/>
                <w:szCs w:val="18"/>
                <w:color w:val="auto"/>
              </w:rPr>
              <w:t>Regulatory, Compliance</w:t>
            </w:r>
          </w:p>
        </w:tc>
        <w:tc>
          <w:tcPr>
            <w:tcW w:w="920" w:type="dxa"/>
            <w:vAlign w:val="bottom"/>
            <w:vMerge w:val="continue"/>
          </w:tcPr>
          <w:p>
            <w:pPr>
              <w:spacing w:after="0"/>
              <w:rPr>
                <w:sz w:val="13"/>
                <w:szCs w:val="13"/>
                <w:color w:val="auto"/>
              </w:rPr>
            </w:pPr>
          </w:p>
        </w:tc>
        <w:tc>
          <w:tcPr>
            <w:tcW w:w="30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87"/>
        </w:trPr>
        <w:tc>
          <w:tcPr>
            <w:tcW w:w="3120" w:type="dxa"/>
            <w:vAlign w:val="bottom"/>
          </w:tcPr>
          <w:p>
            <w:pPr>
              <w:spacing w:after="0"/>
              <w:rPr>
                <w:sz w:val="7"/>
                <w:szCs w:val="7"/>
                <w:color w:val="auto"/>
              </w:rPr>
            </w:pPr>
          </w:p>
        </w:tc>
        <w:tc>
          <w:tcPr>
            <w:tcW w:w="980" w:type="dxa"/>
            <w:vAlign w:val="bottom"/>
          </w:tcPr>
          <w:p>
            <w:pPr>
              <w:spacing w:after="0"/>
              <w:rPr>
                <w:sz w:val="7"/>
                <w:szCs w:val="7"/>
                <w:color w:val="auto"/>
              </w:rPr>
            </w:pPr>
          </w:p>
        </w:tc>
        <w:tc>
          <w:tcPr>
            <w:tcW w:w="2500" w:type="dxa"/>
            <w:vAlign w:val="bottom"/>
            <w:vMerge w:val="continue"/>
          </w:tcPr>
          <w:p>
            <w:pPr>
              <w:spacing w:after="0"/>
              <w:rPr>
                <w:sz w:val="7"/>
                <w:szCs w:val="7"/>
                <w:color w:val="auto"/>
              </w:rPr>
            </w:pPr>
          </w:p>
        </w:tc>
        <w:tc>
          <w:tcPr>
            <w:tcW w:w="920" w:type="dxa"/>
            <w:vAlign w:val="bottom"/>
          </w:tcPr>
          <w:p>
            <w:pPr>
              <w:spacing w:after="0"/>
              <w:rPr>
                <w:sz w:val="7"/>
                <w:szCs w:val="7"/>
                <w:color w:val="auto"/>
              </w:rPr>
            </w:pPr>
          </w:p>
        </w:tc>
        <w:tc>
          <w:tcPr>
            <w:tcW w:w="3060" w:type="dxa"/>
            <w:vAlign w:val="bottom"/>
          </w:tcPr>
          <w:p>
            <w:pPr>
              <w:spacing w:after="0"/>
              <w:rPr>
                <w:sz w:val="7"/>
                <w:szCs w:val="7"/>
                <w:color w:val="auto"/>
              </w:rPr>
            </w:pPr>
          </w:p>
        </w:tc>
        <w:tc>
          <w:tcPr>
            <w:tcW w:w="6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98"/>
        </w:trPr>
        <w:tc>
          <w:tcPr>
            <w:tcW w:w="3120" w:type="dxa"/>
            <w:vAlign w:val="bottom"/>
            <w:tcBorders>
              <w:bottom w:val="single" w:sz="8" w:color="0067B3"/>
            </w:tcBorders>
          </w:tcPr>
          <w:p>
            <w:pPr>
              <w:spacing w:after="0"/>
              <w:rPr>
                <w:sz w:val="17"/>
                <w:szCs w:val="17"/>
                <w:color w:val="auto"/>
              </w:rPr>
            </w:pPr>
          </w:p>
        </w:tc>
        <w:tc>
          <w:tcPr>
            <w:tcW w:w="980" w:type="dxa"/>
            <w:vAlign w:val="bottom"/>
            <w:tcBorders>
              <w:bottom w:val="single" w:sz="8" w:color="0067B3"/>
            </w:tcBorders>
          </w:tcPr>
          <w:p>
            <w:pPr>
              <w:spacing w:after="0"/>
              <w:rPr>
                <w:sz w:val="17"/>
                <w:szCs w:val="17"/>
                <w:color w:val="auto"/>
              </w:rPr>
            </w:pPr>
          </w:p>
        </w:tc>
        <w:tc>
          <w:tcPr>
            <w:tcW w:w="2500" w:type="dxa"/>
            <w:vAlign w:val="bottom"/>
            <w:tcBorders>
              <w:bottom w:val="single" w:sz="8" w:color="0067B3"/>
            </w:tcBorders>
          </w:tcPr>
          <w:p>
            <w:pPr>
              <w:spacing w:after="0"/>
              <w:rPr>
                <w:sz w:val="17"/>
                <w:szCs w:val="17"/>
                <w:color w:val="auto"/>
              </w:rPr>
            </w:pPr>
          </w:p>
        </w:tc>
        <w:tc>
          <w:tcPr>
            <w:tcW w:w="3980" w:type="dxa"/>
            <w:vAlign w:val="bottom"/>
            <w:tcBorders>
              <w:bottom w:val="single" w:sz="8" w:color="0067B3"/>
            </w:tcBorders>
            <w:gridSpan w:val="2"/>
          </w:tcPr>
          <w:p>
            <w:pPr>
              <w:spacing w:after="0"/>
              <w:rPr>
                <w:sz w:val="17"/>
                <w:szCs w:val="17"/>
                <w:color w:val="auto"/>
              </w:rPr>
            </w:pPr>
          </w:p>
        </w:tc>
        <w:tc>
          <w:tcPr>
            <w:tcW w:w="660" w:type="dxa"/>
            <w:vAlign w:val="bottom"/>
            <w:tcBorders>
              <w:bottom w:val="single" w:sz="8" w:color="0067B3"/>
            </w:tcBorders>
          </w:tcPr>
          <w:p>
            <w:pPr>
              <w:spacing w:after="0"/>
              <w:rPr>
                <w:sz w:val="17"/>
                <w:szCs w:val="17"/>
                <w:color w:val="auto"/>
              </w:rPr>
            </w:pPr>
          </w:p>
        </w:tc>
        <w:tc>
          <w:tcPr>
            <w:tcW w:w="0" w:type="dxa"/>
            <w:vAlign w:val="bottom"/>
          </w:tcPr>
          <w:p>
            <w:pPr>
              <w:spacing w:after="0"/>
              <w:rPr>
                <w:sz w:val="1"/>
                <w:szCs w:val="1"/>
                <w:color w:val="auto"/>
              </w:rPr>
            </w:pPr>
          </w:p>
        </w:tc>
      </w:tr>
      <w:tr>
        <w:trPr>
          <w:trHeight w:val="353"/>
        </w:trPr>
        <w:tc>
          <w:tcPr>
            <w:tcW w:w="4100" w:type="dxa"/>
            <w:vAlign w:val="bottom"/>
            <w:gridSpan w:val="2"/>
            <w:vMerge w:val="restart"/>
          </w:tcPr>
          <w:p>
            <w:pPr>
              <w:ind w:left="1680"/>
              <w:spacing w:after="0"/>
              <w:rPr>
                <w:sz w:val="20"/>
                <w:szCs w:val="20"/>
                <w:color w:val="auto"/>
              </w:rPr>
            </w:pPr>
            <w:r>
              <w:rPr>
                <w:rFonts w:ascii="Arial" w:cs="Arial" w:eastAsia="Arial" w:hAnsi="Arial"/>
                <w:sz w:val="18"/>
                <w:szCs w:val="18"/>
                <w:b w:val="1"/>
                <w:bCs w:val="1"/>
                <w:color w:val="0067B3"/>
              </w:rPr>
              <w:t>DIRECTOR NOMINEE AGE</w:t>
            </w:r>
          </w:p>
        </w:tc>
        <w:tc>
          <w:tcPr>
            <w:tcW w:w="2500" w:type="dxa"/>
            <w:vAlign w:val="bottom"/>
          </w:tcPr>
          <w:p>
            <w:pPr>
              <w:spacing w:after="0"/>
              <w:rPr>
                <w:sz w:val="24"/>
                <w:szCs w:val="24"/>
                <w:color w:val="auto"/>
              </w:rPr>
            </w:pPr>
          </w:p>
        </w:tc>
        <w:tc>
          <w:tcPr>
            <w:tcW w:w="3980" w:type="dxa"/>
            <w:vAlign w:val="bottom"/>
            <w:gridSpan w:val="2"/>
          </w:tcPr>
          <w:p>
            <w:pPr>
              <w:ind w:left="700"/>
              <w:spacing w:after="0"/>
              <w:rPr>
                <w:sz w:val="20"/>
                <w:szCs w:val="20"/>
                <w:color w:val="auto"/>
              </w:rPr>
            </w:pPr>
            <w:r>
              <w:rPr>
                <w:rFonts w:ascii="Arial" w:cs="Arial" w:eastAsia="Arial" w:hAnsi="Arial"/>
                <w:sz w:val="18"/>
                <w:szCs w:val="18"/>
                <w:b w:val="1"/>
                <w:bCs w:val="1"/>
                <w:color w:val="0067B3"/>
              </w:rPr>
              <w:t>INDEPENDENT DIRECTOR</w:t>
            </w:r>
          </w:p>
        </w:tc>
        <w:tc>
          <w:tcPr>
            <w:tcW w:w="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9"/>
        </w:trPr>
        <w:tc>
          <w:tcPr>
            <w:tcW w:w="4100" w:type="dxa"/>
            <w:vAlign w:val="bottom"/>
            <w:gridSpan w:val="2"/>
            <w:vMerge w:val="continue"/>
          </w:tcPr>
          <w:p>
            <w:pPr>
              <w:spacing w:after="0"/>
              <w:rPr>
                <w:sz w:val="12"/>
                <w:szCs w:val="12"/>
                <w:color w:val="auto"/>
              </w:rPr>
            </w:pPr>
          </w:p>
        </w:tc>
        <w:tc>
          <w:tcPr>
            <w:tcW w:w="25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3060" w:type="dxa"/>
            <w:vAlign w:val="bottom"/>
            <w:vMerge w:val="restart"/>
          </w:tcPr>
          <w:p>
            <w:pPr>
              <w:ind w:left="100"/>
              <w:spacing w:after="0"/>
              <w:rPr>
                <w:sz w:val="20"/>
                <w:szCs w:val="20"/>
                <w:color w:val="auto"/>
              </w:rPr>
            </w:pPr>
            <w:r>
              <w:rPr>
                <w:rFonts w:ascii="Arial" w:cs="Arial" w:eastAsia="Arial" w:hAnsi="Arial"/>
                <w:sz w:val="18"/>
                <w:szCs w:val="18"/>
                <w:b w:val="1"/>
                <w:bCs w:val="1"/>
                <w:color w:val="0067B3"/>
              </w:rPr>
              <w:t>NOMINEE TENURE</w:t>
            </w:r>
          </w:p>
        </w:tc>
        <w:tc>
          <w:tcPr>
            <w:tcW w:w="6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3120" w:type="dxa"/>
            <w:vAlign w:val="bottom"/>
          </w:tcPr>
          <w:p>
            <w:pPr>
              <w:spacing w:after="0"/>
              <w:rPr>
                <w:sz w:val="9"/>
                <w:szCs w:val="9"/>
                <w:color w:val="auto"/>
              </w:rPr>
            </w:pPr>
          </w:p>
        </w:tc>
        <w:tc>
          <w:tcPr>
            <w:tcW w:w="980" w:type="dxa"/>
            <w:vAlign w:val="bottom"/>
          </w:tcPr>
          <w:p>
            <w:pPr>
              <w:spacing w:after="0"/>
              <w:rPr>
                <w:sz w:val="9"/>
                <w:szCs w:val="9"/>
                <w:color w:val="auto"/>
              </w:rPr>
            </w:pPr>
          </w:p>
        </w:tc>
        <w:tc>
          <w:tcPr>
            <w:tcW w:w="2500" w:type="dxa"/>
            <w:vAlign w:val="bottom"/>
          </w:tcPr>
          <w:p>
            <w:pPr>
              <w:spacing w:after="0"/>
              <w:rPr>
                <w:sz w:val="9"/>
                <w:szCs w:val="9"/>
                <w:color w:val="auto"/>
              </w:rPr>
            </w:pPr>
          </w:p>
        </w:tc>
        <w:tc>
          <w:tcPr>
            <w:tcW w:w="920" w:type="dxa"/>
            <w:vAlign w:val="bottom"/>
          </w:tcPr>
          <w:p>
            <w:pPr>
              <w:spacing w:after="0"/>
              <w:rPr>
                <w:sz w:val="9"/>
                <w:szCs w:val="9"/>
                <w:color w:val="auto"/>
              </w:rPr>
            </w:pPr>
          </w:p>
        </w:tc>
        <w:tc>
          <w:tcPr>
            <w:tcW w:w="3060" w:type="dxa"/>
            <w:vAlign w:val="bottom"/>
            <w:vMerge w:val="continue"/>
          </w:tcPr>
          <w:p>
            <w:pPr>
              <w:spacing w:after="0"/>
              <w:rPr>
                <w:sz w:val="9"/>
                <w:szCs w:val="9"/>
                <w:color w:val="auto"/>
              </w:rPr>
            </w:pPr>
          </w:p>
        </w:tc>
        <w:tc>
          <w:tcPr>
            <w:tcW w:w="66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56515</wp:posOffset>
            </wp:positionH>
            <wp:positionV relativeFrom="paragraph">
              <wp:posOffset>-2827655</wp:posOffset>
            </wp:positionV>
            <wp:extent cx="214630" cy="21463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214630" cy="214630"/>
                    </a:xfrm>
                    <a:prstGeom prst="rect">
                      <a:avLst/>
                    </a:prstGeom>
                    <a:noFill/>
                  </pic:spPr>
                </pic:pic>
              </a:graphicData>
            </a:graphic>
          </wp:anchor>
        </w:drawing>
        <w:drawing>
          <wp:anchor simplePos="0" relativeHeight="251657728" behindDoc="1" locked="0" layoutInCell="0" allowOverlap="1">
            <wp:simplePos x="0" y="0"/>
            <wp:positionH relativeFrom="column">
              <wp:posOffset>2430780</wp:posOffset>
            </wp:positionH>
            <wp:positionV relativeFrom="paragraph">
              <wp:posOffset>-2818765</wp:posOffset>
            </wp:positionV>
            <wp:extent cx="205740" cy="20574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205740" cy="205740"/>
                    </a:xfrm>
                    <a:prstGeom prst="rect">
                      <a:avLst/>
                    </a:prstGeom>
                    <a:noFill/>
                  </pic:spPr>
                </pic:pic>
              </a:graphicData>
            </a:graphic>
          </wp:anchor>
        </w:drawing>
        <w:drawing>
          <wp:anchor simplePos="0" relativeHeight="251657728" behindDoc="1" locked="0" layoutInCell="0" allowOverlap="1">
            <wp:simplePos x="0" y="0"/>
            <wp:positionH relativeFrom="column">
              <wp:posOffset>4831080</wp:posOffset>
            </wp:positionH>
            <wp:positionV relativeFrom="paragraph">
              <wp:posOffset>-2835910</wp:posOffset>
            </wp:positionV>
            <wp:extent cx="163195" cy="24003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163195" cy="240030"/>
                    </a:xfrm>
                    <a:prstGeom prst="rect">
                      <a:avLst/>
                    </a:prstGeom>
                    <a:noFill/>
                  </pic:spPr>
                </pic:pic>
              </a:graphicData>
            </a:graphic>
          </wp:anchor>
        </w:drawing>
        <w:drawing>
          <wp:anchor simplePos="0" relativeHeight="251657728" behindDoc="1" locked="0" layoutInCell="0" allowOverlap="1">
            <wp:simplePos x="0" y="0"/>
            <wp:positionH relativeFrom="column">
              <wp:posOffset>56515</wp:posOffset>
            </wp:positionH>
            <wp:positionV relativeFrom="paragraph">
              <wp:posOffset>-2296160</wp:posOffset>
            </wp:positionV>
            <wp:extent cx="205740" cy="19685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205740" cy="196850"/>
                    </a:xfrm>
                    <a:prstGeom prst="rect">
                      <a:avLst/>
                    </a:prstGeom>
                    <a:noFill/>
                  </pic:spPr>
                </pic:pic>
              </a:graphicData>
            </a:graphic>
          </wp:anchor>
        </w:drawing>
        <w:drawing>
          <wp:anchor simplePos="0" relativeHeight="251657728" behindDoc="1" locked="0" layoutInCell="0" allowOverlap="1">
            <wp:simplePos x="0" y="0"/>
            <wp:positionH relativeFrom="column">
              <wp:posOffset>2422525</wp:posOffset>
            </wp:positionH>
            <wp:positionV relativeFrom="paragraph">
              <wp:posOffset>-2296160</wp:posOffset>
            </wp:positionV>
            <wp:extent cx="205740" cy="19685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205740" cy="196850"/>
                    </a:xfrm>
                    <a:prstGeom prst="rect">
                      <a:avLst/>
                    </a:prstGeom>
                    <a:noFill/>
                  </pic:spPr>
                </pic:pic>
              </a:graphicData>
            </a:graphic>
          </wp:anchor>
        </w:drawing>
        <w:drawing>
          <wp:anchor simplePos="0" relativeHeight="251657728" behindDoc="1" locked="0" layoutInCell="0" allowOverlap="1">
            <wp:simplePos x="0" y="0"/>
            <wp:positionH relativeFrom="column">
              <wp:posOffset>4831080</wp:posOffset>
            </wp:positionH>
            <wp:positionV relativeFrom="paragraph">
              <wp:posOffset>-2296160</wp:posOffset>
            </wp:positionV>
            <wp:extent cx="163195" cy="20574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163195" cy="205740"/>
                    </a:xfrm>
                    <a:prstGeom prst="rect">
                      <a:avLst/>
                    </a:prstGeom>
                    <a:noFill/>
                  </pic:spPr>
                </pic:pic>
              </a:graphicData>
            </a:graphic>
          </wp:anchor>
        </w:drawing>
        <w:drawing>
          <wp:anchor simplePos="0" relativeHeight="251657728" behindDoc="1" locked="0" layoutInCell="0" allowOverlap="1">
            <wp:simplePos x="0" y="0"/>
            <wp:positionH relativeFrom="column">
              <wp:posOffset>56515</wp:posOffset>
            </wp:positionH>
            <wp:positionV relativeFrom="paragraph">
              <wp:posOffset>-1790065</wp:posOffset>
            </wp:positionV>
            <wp:extent cx="205740" cy="20574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205740" cy="205740"/>
                    </a:xfrm>
                    <a:prstGeom prst="rect">
                      <a:avLst/>
                    </a:prstGeom>
                    <a:noFill/>
                  </pic:spPr>
                </pic:pic>
              </a:graphicData>
            </a:graphic>
          </wp:anchor>
        </w:drawing>
        <w:drawing>
          <wp:anchor simplePos="0" relativeHeight="251657728" behindDoc="1" locked="0" layoutInCell="0" allowOverlap="1">
            <wp:simplePos x="0" y="0"/>
            <wp:positionH relativeFrom="column">
              <wp:posOffset>2447925</wp:posOffset>
            </wp:positionH>
            <wp:positionV relativeFrom="paragraph">
              <wp:posOffset>-1790065</wp:posOffset>
            </wp:positionV>
            <wp:extent cx="154305" cy="20574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154305" cy="205740"/>
                    </a:xfrm>
                    <a:prstGeom prst="rect">
                      <a:avLst/>
                    </a:prstGeom>
                    <a:noFill/>
                  </pic:spPr>
                </pic:pic>
              </a:graphicData>
            </a:graphic>
          </wp:anchor>
        </w:drawing>
        <w:drawing>
          <wp:anchor simplePos="0" relativeHeight="251657728" behindDoc="1" locked="0" layoutInCell="0" allowOverlap="1">
            <wp:simplePos x="0" y="0"/>
            <wp:positionH relativeFrom="column">
              <wp:posOffset>4805680</wp:posOffset>
            </wp:positionH>
            <wp:positionV relativeFrom="paragraph">
              <wp:posOffset>-1747520</wp:posOffset>
            </wp:positionV>
            <wp:extent cx="205740" cy="12001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205740" cy="120015"/>
                    </a:xfrm>
                    <a:prstGeom prst="rect">
                      <a:avLst/>
                    </a:prstGeom>
                    <a:noFill/>
                  </pic:spPr>
                </pic:pic>
              </a:graphicData>
            </a:graphic>
          </wp:anchor>
        </w:drawing>
        <w:drawing>
          <wp:anchor simplePos="0" relativeHeight="251657728" behindDoc="1" locked="0" layoutInCell="0" allowOverlap="1">
            <wp:simplePos x="0" y="0"/>
            <wp:positionH relativeFrom="column">
              <wp:posOffset>56515</wp:posOffset>
            </wp:positionH>
            <wp:positionV relativeFrom="paragraph">
              <wp:posOffset>-1284605</wp:posOffset>
            </wp:positionV>
            <wp:extent cx="205740" cy="20574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205740" cy="205740"/>
                    </a:xfrm>
                    <a:prstGeom prst="rect">
                      <a:avLst/>
                    </a:prstGeom>
                    <a:noFill/>
                  </pic:spPr>
                </pic:pic>
              </a:graphicData>
            </a:graphic>
          </wp:anchor>
        </w:drawing>
        <w:drawing>
          <wp:anchor simplePos="0" relativeHeight="251657728" behindDoc="1" locked="0" layoutInCell="0" allowOverlap="1">
            <wp:simplePos x="0" y="0"/>
            <wp:positionH relativeFrom="column">
              <wp:posOffset>2447925</wp:posOffset>
            </wp:positionH>
            <wp:positionV relativeFrom="paragraph">
              <wp:posOffset>-1284605</wp:posOffset>
            </wp:positionV>
            <wp:extent cx="154305" cy="20574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154305" cy="205740"/>
                    </a:xfrm>
                    <a:prstGeom prst="rect">
                      <a:avLst/>
                    </a:prstGeom>
                    <a:noFill/>
                  </pic:spPr>
                </pic:pic>
              </a:graphicData>
            </a:graphic>
          </wp:anchor>
        </w:drawing>
        <w:drawing>
          <wp:anchor simplePos="0" relativeHeight="251657728" behindDoc="1" locked="0" layoutInCell="0" allowOverlap="1">
            <wp:simplePos x="0" y="0"/>
            <wp:positionH relativeFrom="column">
              <wp:posOffset>56515</wp:posOffset>
            </wp:positionH>
            <wp:positionV relativeFrom="paragraph">
              <wp:posOffset>-778510</wp:posOffset>
            </wp:positionV>
            <wp:extent cx="205740" cy="20574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205740" cy="205740"/>
                    </a:xfrm>
                    <a:prstGeom prst="rect">
                      <a:avLst/>
                    </a:prstGeom>
                    <a:noFill/>
                  </pic:spPr>
                </pic:pic>
              </a:graphicData>
            </a:graphic>
          </wp:anchor>
        </w:drawing>
        <w:drawing>
          <wp:anchor simplePos="0" relativeHeight="251657728" behindDoc="1" locked="0" layoutInCell="0" allowOverlap="1">
            <wp:simplePos x="0" y="0"/>
            <wp:positionH relativeFrom="column">
              <wp:posOffset>2422525</wp:posOffset>
            </wp:positionH>
            <wp:positionV relativeFrom="paragraph">
              <wp:posOffset>-770255</wp:posOffset>
            </wp:positionV>
            <wp:extent cx="205740" cy="18859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205740" cy="18859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-298450</wp:posOffset>
            </wp:positionV>
            <wp:extent cx="7132320" cy="17659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17659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tbl>
      <w:tblPr>
        <w:tblLayout w:type="fixed"/>
        <w:tblInd w:w="1060" w:type="dxa"/>
        <w:tblCellMar>
          <w:top w:w="0" w:type="dxa"/>
          <w:left w:w="0" w:type="dxa"/>
          <w:bottom w:w="0" w:type="dxa"/>
          <w:right w:w="0" w:type="dxa"/>
        </w:tblCellMar>
      </w:tblPr>
      <w:tr>
        <w:trPr>
          <w:trHeight w:val="216"/>
        </w:trPr>
        <w:tc>
          <w:tcPr>
            <w:tcW w:w="3740" w:type="dxa"/>
            <w:vAlign w:val="bottom"/>
          </w:tcPr>
          <w:p>
            <w:pPr>
              <w:spacing w:after="0"/>
              <w:rPr>
                <w:sz w:val="20"/>
                <w:szCs w:val="20"/>
                <w:color w:val="auto"/>
              </w:rPr>
            </w:pPr>
            <w:r>
              <w:rPr>
                <w:rFonts w:ascii="Arial" w:cs="Arial" w:eastAsia="Arial" w:hAnsi="Arial"/>
                <w:sz w:val="18"/>
                <w:szCs w:val="18"/>
                <w:color w:val="auto"/>
              </w:rPr>
              <w:t>Average Age: 66 years</w:t>
            </w:r>
          </w:p>
        </w:tc>
        <w:tc>
          <w:tcPr>
            <w:tcW w:w="4280" w:type="dxa"/>
            <w:vAlign w:val="bottom"/>
          </w:tcPr>
          <w:p>
            <w:pPr>
              <w:ind w:left="1900"/>
              <w:spacing w:after="0"/>
              <w:rPr>
                <w:sz w:val="20"/>
                <w:szCs w:val="20"/>
                <w:color w:val="auto"/>
              </w:rPr>
            </w:pPr>
            <w:r>
              <w:rPr>
                <w:rFonts w:ascii="Arial" w:cs="Arial" w:eastAsia="Arial" w:hAnsi="Arial"/>
                <w:sz w:val="18"/>
                <w:szCs w:val="18"/>
                <w:color w:val="auto"/>
                <w:w w:val="98"/>
              </w:rPr>
              <w:t>Average Independent Director</w:t>
            </w:r>
          </w:p>
        </w:tc>
      </w:tr>
      <w:tr>
        <w:trPr>
          <w:trHeight w:val="239"/>
        </w:trPr>
        <w:tc>
          <w:tcPr>
            <w:tcW w:w="3740" w:type="dxa"/>
            <w:vAlign w:val="bottom"/>
          </w:tcPr>
          <w:p>
            <w:pPr>
              <w:spacing w:after="0"/>
              <w:rPr>
                <w:sz w:val="20"/>
                <w:szCs w:val="20"/>
                <w:color w:val="auto"/>
              </w:rPr>
            </w:pPr>
            <w:r>
              <w:rPr>
                <w:rFonts w:ascii="Arial" w:cs="Arial" w:eastAsia="Arial" w:hAnsi="Arial"/>
                <w:sz w:val="18"/>
                <w:szCs w:val="18"/>
                <w:color w:val="auto"/>
              </w:rPr>
              <w:t>Median Age: 65 years</w:t>
            </w:r>
          </w:p>
        </w:tc>
        <w:tc>
          <w:tcPr>
            <w:tcW w:w="4280" w:type="dxa"/>
            <w:vAlign w:val="bottom"/>
          </w:tcPr>
          <w:p>
            <w:pPr>
              <w:ind w:left="1900"/>
              <w:spacing w:after="0"/>
              <w:rPr>
                <w:sz w:val="20"/>
                <w:szCs w:val="20"/>
                <w:color w:val="auto"/>
              </w:rPr>
            </w:pPr>
            <w:r>
              <w:rPr>
                <w:rFonts w:ascii="Arial" w:cs="Arial" w:eastAsia="Arial" w:hAnsi="Arial"/>
                <w:sz w:val="18"/>
                <w:szCs w:val="18"/>
                <w:color w:val="auto"/>
              </w:rPr>
              <w:t>Nominee Tenure: 3.75 years</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220345</wp:posOffset>
            </wp:positionV>
            <wp:extent cx="7140575" cy="252857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40575" cy="2528570"/>
                    </a:xfrm>
                    <a:prstGeom prst="rect">
                      <a:avLst/>
                    </a:prstGeom>
                    <a:noFill/>
                  </pic:spPr>
                </pic:pic>
              </a:graphicData>
            </a:graphic>
          </wp:anchor>
        </w:drawing>
      </w:r>
    </w:p>
    <w:p>
      <w:pPr>
        <w:spacing w:after="0" w:line="200" w:lineRule="exact"/>
        <w:rPr>
          <w:sz w:val="20"/>
          <w:szCs w:val="20"/>
          <w:color w:val="auto"/>
        </w:rPr>
      </w:pPr>
    </w:p>
    <w:p>
      <w:pPr>
        <w:spacing w:after="0" w:line="218" w:lineRule="exact"/>
        <w:rPr>
          <w:sz w:val="20"/>
          <w:szCs w:val="20"/>
          <w:color w:val="auto"/>
        </w:rPr>
      </w:pPr>
    </w:p>
    <w:p>
      <w:pPr>
        <w:ind w:left="240"/>
        <w:spacing w:after="0"/>
        <w:rPr>
          <w:sz w:val="20"/>
          <w:szCs w:val="20"/>
          <w:color w:val="auto"/>
        </w:rPr>
      </w:pPr>
      <w:r>
        <w:rPr>
          <w:rFonts w:ascii="Arial" w:cs="Arial" w:eastAsia="Arial" w:hAnsi="Arial"/>
          <w:sz w:val="32"/>
          <w:szCs w:val="32"/>
          <w:b w:val="1"/>
          <w:bCs w:val="1"/>
          <w:color w:val="0067B3"/>
        </w:rPr>
        <w:t>What’s New</w:t>
      </w:r>
    </w:p>
    <w:p>
      <w:pPr>
        <w:spacing w:after="0" w:line="143" w:lineRule="exact"/>
        <w:rPr>
          <w:sz w:val="20"/>
          <w:szCs w:val="20"/>
          <w:color w:val="auto"/>
        </w:rPr>
      </w:pPr>
    </w:p>
    <w:p>
      <w:pPr>
        <w:ind w:left="240"/>
        <w:spacing w:after="0"/>
        <w:rPr>
          <w:sz w:val="20"/>
          <w:szCs w:val="20"/>
          <w:color w:val="auto"/>
        </w:rPr>
      </w:pPr>
      <w:r>
        <w:rPr>
          <w:rFonts w:ascii="Arial" w:cs="Arial" w:eastAsia="Arial" w:hAnsi="Arial"/>
          <w:sz w:val="18"/>
          <w:szCs w:val="18"/>
          <w:color w:val="auto"/>
        </w:rPr>
        <w:t>We periodically review our corporate governance policies and practices and compare them to those suggested by various authorities in</w:t>
      </w:r>
    </w:p>
    <w:p>
      <w:pPr>
        <w:spacing w:after="0" w:line="14" w:lineRule="exact"/>
        <w:rPr>
          <w:sz w:val="20"/>
          <w:szCs w:val="20"/>
          <w:color w:val="auto"/>
        </w:rPr>
      </w:pPr>
    </w:p>
    <w:p>
      <w:pPr>
        <w:ind w:left="240" w:right="360"/>
        <w:spacing w:after="0" w:line="237" w:lineRule="auto"/>
        <w:rPr>
          <w:sz w:val="20"/>
          <w:szCs w:val="20"/>
          <w:color w:val="auto"/>
        </w:rPr>
      </w:pPr>
      <w:r>
        <w:rPr>
          <w:rFonts w:ascii="Arial" w:cs="Arial" w:eastAsia="Arial" w:hAnsi="Arial"/>
          <w:sz w:val="18"/>
          <w:szCs w:val="18"/>
          <w:color w:val="auto"/>
        </w:rPr>
        <w:t>corporate governance and the practices of other public companies. We believe that good corporate governance is important to ensure that ADI is managed for the long-term benefit of our shareholders. Updated items include:</w:t>
      </w:r>
    </w:p>
    <w:p>
      <w:pPr>
        <w:spacing w:after="0" w:line="32" w:lineRule="exact"/>
        <w:rPr>
          <w:sz w:val="20"/>
          <w:szCs w:val="20"/>
          <w:color w:val="auto"/>
        </w:rPr>
      </w:pPr>
    </w:p>
    <w:p>
      <w:pPr>
        <w:ind w:left="420" w:right="240" w:hanging="186"/>
        <w:spacing w:after="0" w:line="271" w:lineRule="auto"/>
        <w:tabs>
          <w:tab w:leader="none" w:pos="377" w:val="left"/>
        </w:tabs>
        <w:numPr>
          <w:ilvl w:val="0"/>
          <w:numId w:val="13"/>
        </w:numPr>
        <w:rPr>
          <w:rFonts w:ascii="Arial" w:cs="Arial" w:eastAsia="Arial" w:hAnsi="Arial"/>
          <w:sz w:val="13"/>
          <w:szCs w:val="13"/>
          <w:color w:val="0067B3"/>
        </w:rPr>
      </w:pPr>
      <w:r>
        <w:rPr>
          <w:rFonts w:ascii="Arial" w:cs="Arial" w:eastAsia="Arial" w:hAnsi="Arial"/>
          <w:sz w:val="18"/>
          <w:szCs w:val="18"/>
          <w:color w:val="auto"/>
        </w:rPr>
        <w:t>Continued to expand the capabilities of the Board of Directors by adding Yoky Matsuoka, who brings significant experience in robotics and artificial intelligence, to our Board of Directors in January 2026</w:t>
      </w:r>
    </w:p>
    <w:p>
      <w:pPr>
        <w:spacing w:after="0" w:line="5" w:lineRule="exact"/>
        <w:rPr>
          <w:rFonts w:ascii="Arial" w:cs="Arial" w:eastAsia="Arial" w:hAnsi="Arial"/>
          <w:sz w:val="13"/>
          <w:szCs w:val="13"/>
          <w:color w:val="0067B3"/>
        </w:rPr>
      </w:pPr>
    </w:p>
    <w:p>
      <w:pPr>
        <w:jc w:val="both"/>
        <w:ind w:left="420" w:right="300" w:hanging="186"/>
        <w:spacing w:after="0" w:line="290" w:lineRule="auto"/>
        <w:tabs>
          <w:tab w:leader="none" w:pos="377" w:val="left"/>
        </w:tabs>
        <w:numPr>
          <w:ilvl w:val="0"/>
          <w:numId w:val="13"/>
        </w:numPr>
        <w:rPr>
          <w:rFonts w:ascii="Arial" w:cs="Arial" w:eastAsia="Arial" w:hAnsi="Arial"/>
          <w:sz w:val="12"/>
          <w:szCs w:val="12"/>
          <w:color w:val="0067B3"/>
        </w:rPr>
      </w:pPr>
      <w:r>
        <w:rPr>
          <w:rFonts w:ascii="Arial" w:cs="Arial" w:eastAsia="Arial" w:hAnsi="Arial"/>
          <w:sz w:val="17"/>
          <w:szCs w:val="17"/>
          <w:color w:val="auto"/>
        </w:rPr>
        <w:t>Our Board of Directors amended our Bylaws to allow shareholders holding 25% of our outstanding shares for at least one year to call a special meeting, reducing the previous 80% threshold to provide our shareholders with a meaningful right to call a special meeting</w:t>
      </w:r>
    </w:p>
    <w:p>
      <w:pPr>
        <w:ind w:left="420" w:right="460" w:hanging="186"/>
        <w:spacing w:after="0" w:line="256" w:lineRule="auto"/>
        <w:tabs>
          <w:tab w:leader="none" w:pos="377" w:val="left"/>
        </w:tabs>
        <w:numPr>
          <w:ilvl w:val="0"/>
          <w:numId w:val="13"/>
        </w:numPr>
        <w:rPr>
          <w:rFonts w:ascii="Arial" w:cs="Arial" w:eastAsia="Arial" w:hAnsi="Arial"/>
          <w:sz w:val="13"/>
          <w:szCs w:val="13"/>
          <w:color w:val="0067B3"/>
        </w:rPr>
      </w:pPr>
      <w:r>
        <w:rPr>
          <w:rFonts w:ascii="Arial" w:cs="Arial" w:eastAsia="Arial" w:hAnsi="Arial"/>
          <w:sz w:val="18"/>
          <w:szCs w:val="18"/>
          <w:color w:val="auto"/>
        </w:rPr>
        <w:t>Amended our Code of Business Conduct and Ethics to enhance readability and clearly convey our expectations on various matters related to ethical business conduct consistent with our values and applicable laws and regulations</w:t>
      </w:r>
    </w:p>
    <w:p>
      <w:pPr>
        <w:spacing w:after="0" w:line="17" w:lineRule="exact"/>
        <w:rPr>
          <w:rFonts w:ascii="Arial" w:cs="Arial" w:eastAsia="Arial" w:hAnsi="Arial"/>
          <w:sz w:val="13"/>
          <w:szCs w:val="13"/>
          <w:color w:val="0067B3"/>
        </w:rPr>
      </w:pPr>
    </w:p>
    <w:p>
      <w:pPr>
        <w:ind w:left="420" w:right="440" w:hanging="186"/>
        <w:spacing w:after="0" w:line="271" w:lineRule="auto"/>
        <w:tabs>
          <w:tab w:leader="none" w:pos="377" w:val="left"/>
        </w:tabs>
        <w:numPr>
          <w:ilvl w:val="0"/>
          <w:numId w:val="13"/>
        </w:numPr>
        <w:rPr>
          <w:rFonts w:ascii="Arial" w:cs="Arial" w:eastAsia="Arial" w:hAnsi="Arial"/>
          <w:sz w:val="13"/>
          <w:szCs w:val="13"/>
          <w:color w:val="0067B3"/>
        </w:rPr>
      </w:pPr>
      <w:r>
        <w:rPr>
          <w:rFonts w:ascii="Arial" w:cs="Arial" w:eastAsia="Arial" w:hAnsi="Arial"/>
          <w:sz w:val="18"/>
          <w:szCs w:val="18"/>
          <w:color w:val="auto"/>
        </w:rPr>
        <w:t>Enhanced our annual Board of Directors’ evaluation process to include periodic self and peer assessments and individual feedback based on the assessments</w:t>
      </w:r>
    </w:p>
    <w:p>
      <w:pPr>
        <w:spacing w:after="0" w:line="5" w:lineRule="exact"/>
        <w:rPr>
          <w:rFonts w:ascii="Arial" w:cs="Arial" w:eastAsia="Arial" w:hAnsi="Arial"/>
          <w:sz w:val="13"/>
          <w:szCs w:val="13"/>
          <w:color w:val="0067B3"/>
        </w:rPr>
      </w:pPr>
    </w:p>
    <w:p>
      <w:pPr>
        <w:ind w:left="420" w:right="440" w:hanging="186"/>
        <w:spacing w:after="0" w:line="245" w:lineRule="auto"/>
        <w:tabs>
          <w:tab w:leader="none" w:pos="377" w:val="left"/>
        </w:tabs>
        <w:numPr>
          <w:ilvl w:val="0"/>
          <w:numId w:val="13"/>
        </w:numPr>
        <w:rPr>
          <w:rFonts w:ascii="Arial" w:cs="Arial" w:eastAsia="Arial" w:hAnsi="Arial"/>
          <w:sz w:val="13"/>
          <w:szCs w:val="13"/>
          <w:color w:val="0067B3"/>
        </w:rPr>
      </w:pPr>
      <w:r>
        <w:rPr>
          <w:rFonts w:ascii="Arial" w:cs="Arial" w:eastAsia="Arial" w:hAnsi="Arial"/>
          <w:sz w:val="18"/>
          <w:szCs w:val="18"/>
          <w:color w:val="auto"/>
        </w:rPr>
        <w:t>Changes to our Executive Performance Incentive Plan to decrease the maximum payout factor from 3.0x to 2.5x of target and implement an annual measurement period and payout, replacing the prior plan’s quarterly measurement and semi-annual payouts, which became effective in fiscal year 2025</w:t>
      </w:r>
    </w:p>
    <w:p>
      <w:pPr>
        <w:spacing w:after="0" w:line="273" w:lineRule="exact"/>
        <w:rPr>
          <w:sz w:val="20"/>
          <w:szCs w:val="20"/>
          <w:color w:val="auto"/>
        </w:rPr>
      </w:pPr>
    </w:p>
    <w:p>
      <w:pPr>
        <w:spacing w:after="0"/>
        <w:rPr>
          <w:sz w:val="20"/>
          <w:szCs w:val="20"/>
          <w:color w:val="auto"/>
        </w:rPr>
      </w:pPr>
      <w:r>
        <w:rPr>
          <w:rFonts w:ascii="Arial" w:cs="Arial" w:eastAsia="Arial" w:hAnsi="Arial"/>
          <w:sz w:val="32"/>
          <w:szCs w:val="32"/>
          <w:b w:val="1"/>
          <w:bCs w:val="1"/>
          <w:color w:val="auto"/>
        </w:rPr>
        <w:t>Oversight by our Board</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color w:val="auto"/>
        </w:rPr>
        <w:t>The Board of Directors reviews our overall performance, and its primary responsibility is to oversee the management of ADI and, in doing so,</w:t>
      </w:r>
    </w:p>
    <w:p>
      <w:pPr>
        <w:spacing w:after="0" w:line="14" w:lineRule="exact"/>
        <w:rPr>
          <w:sz w:val="20"/>
          <w:szCs w:val="20"/>
          <w:color w:val="auto"/>
        </w:rPr>
      </w:pPr>
    </w:p>
    <w:p>
      <w:pPr>
        <w:ind w:right="160"/>
        <w:spacing w:after="0" w:line="226" w:lineRule="auto"/>
        <w:rPr>
          <w:sz w:val="20"/>
          <w:szCs w:val="20"/>
          <w:color w:val="auto"/>
        </w:rPr>
      </w:pPr>
      <w:r>
        <w:rPr>
          <w:rFonts w:ascii="Arial" w:cs="Arial" w:eastAsia="Arial" w:hAnsi="Arial"/>
          <w:sz w:val="18"/>
          <w:szCs w:val="18"/>
          <w:color w:val="auto"/>
        </w:rPr>
        <w:t>serve the best interests of ADI and its shareholders. The Board of Directors and each of its committees assesses risks associated with their respective areas of oversight. For example, in addition to financial reporting and related matters, the Audit Committee oversees our</w:t>
      </w:r>
    </w:p>
    <w:p>
      <w:pPr>
        <w:spacing w:after="0" w:line="236" w:lineRule="auto"/>
        <w:rPr>
          <w:sz w:val="20"/>
          <w:szCs w:val="20"/>
          <w:color w:val="auto"/>
        </w:rPr>
      </w:pPr>
      <w:r>
        <w:rPr>
          <w:rFonts w:ascii="Arial" w:cs="Arial" w:eastAsia="Arial" w:hAnsi="Arial"/>
          <w:sz w:val="18"/>
          <w:szCs w:val="18"/>
          <w:color w:val="auto"/>
        </w:rPr>
        <w:t>cybersecurity and information security programs, practices, and risk mitigation efforts. The Nominating and Corporate Governance</w:t>
      </w:r>
    </w:p>
    <w:p>
      <w:pPr>
        <w:spacing w:after="0" w:line="1" w:lineRule="exact"/>
        <w:rPr>
          <w:sz w:val="20"/>
          <w:szCs w:val="20"/>
          <w:color w:val="auto"/>
        </w:rPr>
      </w:pPr>
    </w:p>
    <w:p>
      <w:pPr>
        <w:ind w:right="120"/>
        <w:spacing w:after="0"/>
        <w:rPr>
          <w:sz w:val="20"/>
          <w:szCs w:val="20"/>
          <w:color w:val="auto"/>
        </w:rPr>
      </w:pPr>
      <w:r>
        <w:rPr>
          <w:rFonts w:ascii="Arial" w:cs="Arial" w:eastAsia="Arial" w:hAnsi="Arial"/>
          <w:sz w:val="17"/>
          <w:szCs w:val="17"/>
          <w:color w:val="auto"/>
        </w:rPr>
        <w:t>Committee oversees our environmental, social, and governance (ESG) programs, practices, and reporting, including issues of significance relating to climate, sustainability, and social and governance activities. Our Compensation and Talent Committee is responsible for oversight</w:t>
      </w:r>
    </w:p>
    <w:p>
      <w:pPr>
        <w:spacing w:after="0" w:line="1" w:lineRule="exact"/>
        <w:rPr>
          <w:sz w:val="20"/>
          <w:szCs w:val="20"/>
          <w:color w:val="auto"/>
        </w:rPr>
      </w:pPr>
    </w:p>
    <w:p>
      <w:pPr>
        <w:ind w:right="180"/>
        <w:spacing w:after="0" w:line="250" w:lineRule="auto"/>
        <w:rPr>
          <w:sz w:val="20"/>
          <w:szCs w:val="20"/>
          <w:color w:val="auto"/>
        </w:rPr>
      </w:pPr>
      <w:r>
        <w:rPr>
          <w:rFonts w:ascii="Arial" w:cs="Arial" w:eastAsia="Arial" w:hAnsi="Arial"/>
          <w:sz w:val="18"/>
          <w:szCs w:val="18"/>
          <w:color w:val="auto"/>
        </w:rPr>
        <w:t xml:space="preserve">of our enterprise-level strategies and programs relating to human capital management. For more information, see </w:t>
      </w:r>
      <w:r>
        <w:rPr>
          <w:rFonts w:ascii="Arial" w:cs="Arial" w:eastAsia="Arial" w:hAnsi="Arial"/>
          <w:sz w:val="18"/>
          <w:szCs w:val="18"/>
          <w:i w:val="1"/>
          <w:iCs w:val="1"/>
          <w:color w:val="auto"/>
        </w:rPr>
        <w:t>Corporate Governance—</w:t>
      </w:r>
      <w:r>
        <w:rPr>
          <w:rFonts w:ascii="Arial" w:cs="Arial" w:eastAsia="Arial" w:hAnsi="Arial"/>
          <w:sz w:val="18"/>
          <w:szCs w:val="18"/>
          <w:color w:val="auto"/>
        </w:rPr>
        <w:t xml:space="preserve"> </w:t>
      </w:r>
      <w:r>
        <w:rPr>
          <w:rFonts w:ascii="Arial" w:cs="Arial" w:eastAsia="Arial" w:hAnsi="Arial"/>
          <w:sz w:val="18"/>
          <w:szCs w:val="18"/>
          <w:i w:val="1"/>
          <w:iCs w:val="1"/>
          <w:color w:val="auto"/>
        </w:rPr>
        <w:t>Oversight by our Board.</w:t>
      </w:r>
    </w:p>
    <w:p>
      <w:pPr>
        <w:sectPr>
          <w:pgSz w:w="11900" w:h="16838" w:orient="portrait"/>
          <w:cols w:equalWidth="0" w:num="1">
            <w:col w:w="11240"/>
          </w:cols>
          <w:pgMar w:left="320" w:top="1311" w:right="339" w:bottom="0" w:gutter="0" w:footer="0" w:header="0"/>
        </w:sectPr>
      </w:pPr>
    </w:p>
    <w:p>
      <w:pPr>
        <w:spacing w:after="0" w:line="200" w:lineRule="exact"/>
        <w:rPr>
          <w:sz w:val="20"/>
          <w:szCs w:val="20"/>
          <w:color w:val="auto"/>
        </w:rPr>
      </w:pPr>
    </w:p>
    <w:p>
      <w:pPr>
        <w:spacing w:after="0" w:line="237" w:lineRule="exact"/>
        <w:rPr>
          <w:sz w:val="20"/>
          <w:szCs w:val="20"/>
          <w:color w:val="auto"/>
        </w:rPr>
      </w:pPr>
    </w:p>
    <w:p>
      <w:pPr>
        <w:ind w:left="8980"/>
        <w:spacing w:after="0"/>
        <w:tabs>
          <w:tab w:leader="none" w:pos="11100" w:val="left"/>
        </w:tabs>
        <w:rPr>
          <w:sz w:val="20"/>
          <w:szCs w:val="20"/>
          <w:color w:val="auto"/>
        </w:rPr>
      </w:pPr>
      <w:r>
        <w:rPr>
          <w:rFonts w:ascii="Arial" w:cs="Arial" w:eastAsia="Arial" w:hAnsi="Arial"/>
          <w:sz w:val="16"/>
          <w:szCs w:val="16"/>
          <w:color w:val="0067B3"/>
        </w:rPr>
        <w:t>2026 Proxy Statement</w:t>
      </w:r>
      <w:r>
        <w:rPr>
          <w:sz w:val="20"/>
          <w:szCs w:val="20"/>
          <w:color w:val="auto"/>
        </w:rPr>
        <w:tab/>
      </w:r>
      <w:r>
        <w:rPr>
          <w:rFonts w:ascii="Arial" w:cs="Arial" w:eastAsia="Arial" w:hAnsi="Arial"/>
          <w:sz w:val="16"/>
          <w:szCs w:val="16"/>
          <w:b w:val="1"/>
          <w:bCs w:val="1"/>
          <w:color w:val="auto"/>
        </w:rPr>
        <w:t>5</w:t>
      </w:r>
    </w:p>
    <w:p>
      <w:pPr>
        <w:sectPr>
          <w:pgSz w:w="11900" w:h="16838" w:orient="portrait"/>
          <w:cols w:equalWidth="0" w:num="1">
            <w:col w:w="11240"/>
          </w:cols>
          <w:pgMar w:left="320" w:top="1311" w:right="339" w:bottom="0" w:gutter="0" w:footer="0" w:header="0"/>
          <w:type w:val="continuous"/>
        </w:sectPr>
      </w:pPr>
    </w:p>
    <w:bookmarkStart w:id="11" w:name="page12"/>
    <w:bookmarkEnd w:id="11"/>
    <w:p>
      <w:pPr>
        <w:spacing w:after="0"/>
        <w:tabs>
          <w:tab w:leader="none" w:pos="1110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57720" cy="298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298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 w:name="page13"/>
    <w:bookmarkEnd w:id="12"/>
    <w:p>
      <w:pPr>
        <w:spacing w:after="0"/>
        <w:rPr>
          <w:sz w:val="20"/>
          <w:szCs w:val="20"/>
          <w:color w:val="auto"/>
        </w:rPr>
      </w:pPr>
      <w:r>
        <w:rPr>
          <w:rFonts w:ascii="Arial" w:cs="Arial" w:eastAsia="Arial" w:hAnsi="Arial"/>
          <w:sz w:val="41"/>
          <w:szCs w:val="41"/>
          <w:b w:val="1"/>
          <w:bCs w:val="1"/>
          <w:color w:val="0067B3"/>
        </w:rPr>
        <w:t>Shareholder Engagement Highlights</w:t>
      </w:r>
    </w:p>
    <w:p>
      <w:pPr>
        <w:spacing w:after="0" w:line="169"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We conduct extensive investor outreach throughout the year involving our independent directors, senior management, and members of our legal, ESG, compensation, and investor relations organizations. This helps management and our Board of Directors understand and focus on the issues that matter most to our shareholders, so ADI can address them effectively.</w:t>
      </w:r>
    </w:p>
    <w:p>
      <w:pPr>
        <w:spacing w:after="0" w:line="63" w:lineRule="exact"/>
        <w:rPr>
          <w:sz w:val="20"/>
          <w:szCs w:val="20"/>
          <w:color w:val="auto"/>
        </w:rPr>
      </w:pPr>
    </w:p>
    <w:p>
      <w:pPr>
        <w:ind w:right="460"/>
        <w:spacing w:after="0" w:line="287" w:lineRule="auto"/>
        <w:rPr>
          <w:sz w:val="20"/>
          <w:szCs w:val="20"/>
          <w:color w:val="auto"/>
        </w:rPr>
      </w:pPr>
      <w:r>
        <w:rPr>
          <w:rFonts w:ascii="Arial" w:cs="Arial" w:eastAsia="Arial" w:hAnsi="Arial"/>
          <w:sz w:val="18"/>
          <w:szCs w:val="18"/>
          <w:color w:val="auto"/>
        </w:rPr>
        <w:t>Since our inception as a public company, we have maintained an active engagement program with our shareholders, meeting with them extensively throughout the year as part of our investor outreach efforts.</w:t>
      </w:r>
    </w:p>
    <w:p>
      <w:pPr>
        <w:spacing w:after="0" w:line="45" w:lineRule="exact"/>
        <w:rPr>
          <w:sz w:val="20"/>
          <w:szCs w:val="20"/>
          <w:color w:val="auto"/>
        </w:rPr>
      </w:pPr>
    </w:p>
    <w:p>
      <w:pPr>
        <w:spacing w:after="0"/>
        <w:rPr>
          <w:sz w:val="20"/>
          <w:szCs w:val="20"/>
          <w:color w:val="auto"/>
        </w:rPr>
      </w:pPr>
      <w:r>
        <w:rPr>
          <w:rFonts w:ascii="Arial" w:cs="Arial" w:eastAsia="Arial" w:hAnsi="Arial"/>
          <w:sz w:val="18"/>
          <w:szCs w:val="18"/>
          <w:b w:val="1"/>
          <w:bCs w:val="1"/>
          <w:color w:val="0067B3"/>
        </w:rPr>
        <w:t>How we Engage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64770</wp:posOffset>
            </wp:positionH>
            <wp:positionV relativeFrom="paragraph">
              <wp:posOffset>103505</wp:posOffset>
            </wp:positionV>
            <wp:extent cx="6995160" cy="198056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995160" cy="1980565"/>
                    </a:xfrm>
                    <a:prstGeom prst="rect">
                      <a:avLst/>
                    </a:prstGeom>
                    <a:noFill/>
                  </pic:spPr>
                </pic:pic>
              </a:graphicData>
            </a:graphic>
          </wp:anchor>
        </w:drawing>
      </w:r>
    </w:p>
    <w:p>
      <w:pPr>
        <w:sectPr>
          <w:pgSz w:w="11900" w:h="16838" w:orient="portrait"/>
          <w:cols w:equalWidth="0" w:num="1">
            <w:col w:w="11240"/>
          </w:cols>
          <w:pgMar w:left="320" w:top="1356" w:right="339" w:bottom="1440" w:gutter="0" w:footer="0" w:header="0"/>
        </w:sectPr>
      </w:pPr>
    </w:p>
    <w:p>
      <w:pPr>
        <w:spacing w:after="0" w:line="200" w:lineRule="exact"/>
        <w:rPr>
          <w:sz w:val="20"/>
          <w:szCs w:val="20"/>
          <w:color w:val="auto"/>
        </w:rPr>
      </w:pPr>
    </w:p>
    <w:p>
      <w:pPr>
        <w:spacing w:after="0" w:line="390" w:lineRule="exact"/>
        <w:rPr>
          <w:sz w:val="20"/>
          <w:szCs w:val="20"/>
          <w:color w:val="auto"/>
        </w:rPr>
      </w:pPr>
    </w:p>
    <w:p>
      <w:pPr>
        <w:ind w:left="1040"/>
        <w:spacing w:after="0"/>
        <w:rPr>
          <w:sz w:val="20"/>
          <w:szCs w:val="20"/>
          <w:color w:val="auto"/>
        </w:rPr>
      </w:pPr>
      <w:r>
        <w:rPr>
          <w:rFonts w:ascii="Arial" w:cs="Arial" w:eastAsia="Arial" w:hAnsi="Arial"/>
          <w:sz w:val="18"/>
          <w:szCs w:val="18"/>
          <w:b w:val="1"/>
          <w:bCs w:val="1"/>
          <w:color w:val="auto"/>
        </w:rPr>
        <w:t>Summer</w:t>
      </w:r>
    </w:p>
    <w:p>
      <w:pPr>
        <w:spacing w:after="0" w:line="200" w:lineRule="exact"/>
        <w:rPr>
          <w:sz w:val="20"/>
          <w:szCs w:val="20"/>
          <w:color w:val="auto"/>
        </w:rPr>
      </w:pPr>
    </w:p>
    <w:p>
      <w:pPr>
        <w:spacing w:after="0" w:line="201" w:lineRule="exact"/>
        <w:rPr>
          <w:sz w:val="20"/>
          <w:szCs w:val="20"/>
          <w:color w:val="auto"/>
        </w:rPr>
      </w:pPr>
    </w:p>
    <w:p>
      <w:pPr>
        <w:ind w:left="600" w:right="140" w:hanging="196"/>
        <w:spacing w:after="0" w:line="257" w:lineRule="auto"/>
        <w:tabs>
          <w:tab w:leader="none" w:pos="557" w:val="left"/>
        </w:tabs>
        <w:numPr>
          <w:ilvl w:val="0"/>
          <w:numId w:val="14"/>
        </w:numPr>
        <w:rPr>
          <w:rFonts w:ascii="Arial" w:cs="Arial" w:eastAsia="Arial" w:hAnsi="Arial"/>
          <w:sz w:val="13"/>
          <w:szCs w:val="13"/>
          <w:color w:val="0067B3"/>
        </w:rPr>
      </w:pPr>
      <w:r>
        <w:rPr>
          <w:rFonts w:ascii="Arial" w:cs="Arial" w:eastAsia="Arial" w:hAnsi="Arial"/>
          <w:sz w:val="18"/>
          <w:szCs w:val="18"/>
          <w:color w:val="auto"/>
        </w:rPr>
        <w:t>Evaluate proxy season outcomes and trends, corporate governance best practices, and</w:t>
      </w:r>
    </w:p>
    <w:p>
      <w:pPr>
        <w:spacing w:after="0" w:line="1" w:lineRule="exact"/>
        <w:rPr>
          <w:rFonts w:ascii="Arial" w:cs="Arial" w:eastAsia="Arial" w:hAnsi="Arial"/>
          <w:sz w:val="13"/>
          <w:szCs w:val="13"/>
          <w:color w:val="0067B3"/>
        </w:rPr>
      </w:pPr>
    </w:p>
    <w:p>
      <w:pPr>
        <w:ind w:left="600"/>
        <w:spacing w:after="0"/>
        <w:rPr>
          <w:rFonts w:ascii="Arial" w:cs="Arial" w:eastAsia="Arial" w:hAnsi="Arial"/>
          <w:sz w:val="13"/>
          <w:szCs w:val="13"/>
          <w:color w:val="0067B3"/>
        </w:rPr>
      </w:pPr>
      <w:r>
        <w:rPr>
          <w:rFonts w:ascii="Arial" w:cs="Arial" w:eastAsia="Arial" w:hAnsi="Arial"/>
          <w:sz w:val="18"/>
          <w:szCs w:val="18"/>
          <w:color w:val="auto"/>
        </w:rPr>
        <w:t>regulatory developments</w:t>
      </w:r>
    </w:p>
    <w:p>
      <w:pPr>
        <w:spacing w:after="0" w:line="58" w:lineRule="exact"/>
        <w:rPr>
          <w:rFonts w:ascii="Arial" w:cs="Arial" w:eastAsia="Arial" w:hAnsi="Arial"/>
          <w:sz w:val="13"/>
          <w:szCs w:val="13"/>
          <w:color w:val="0067B3"/>
        </w:rPr>
      </w:pPr>
    </w:p>
    <w:p>
      <w:pPr>
        <w:ind w:left="600" w:hanging="196"/>
        <w:spacing w:after="0" w:line="262" w:lineRule="auto"/>
        <w:tabs>
          <w:tab w:leader="none" w:pos="557" w:val="left"/>
        </w:tabs>
        <w:numPr>
          <w:ilvl w:val="0"/>
          <w:numId w:val="14"/>
        </w:numPr>
        <w:rPr>
          <w:rFonts w:ascii="Arial" w:cs="Arial" w:eastAsia="Arial" w:hAnsi="Arial"/>
          <w:sz w:val="13"/>
          <w:szCs w:val="13"/>
          <w:color w:val="0067B3"/>
        </w:rPr>
      </w:pPr>
      <w:r>
        <w:rPr>
          <w:rFonts w:ascii="Arial" w:cs="Arial" w:eastAsia="Arial" w:hAnsi="Arial"/>
          <w:sz w:val="18"/>
          <w:szCs w:val="18"/>
          <w:color w:val="auto"/>
        </w:rPr>
        <w:t>Publish annual ESG report to inform stakeholders, including investors, about recent developments relating to ESG matters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70" w:lineRule="exact"/>
        <w:rPr>
          <w:sz w:val="20"/>
          <w:szCs w:val="20"/>
          <w:color w:val="auto"/>
        </w:rPr>
      </w:pPr>
    </w:p>
    <w:p>
      <w:pPr>
        <w:ind w:left="674"/>
        <w:spacing w:after="0"/>
        <w:rPr>
          <w:sz w:val="20"/>
          <w:szCs w:val="20"/>
          <w:color w:val="auto"/>
        </w:rPr>
      </w:pPr>
      <w:r>
        <w:rPr>
          <w:rFonts w:ascii="Arial" w:cs="Arial" w:eastAsia="Arial" w:hAnsi="Arial"/>
          <w:sz w:val="18"/>
          <w:szCs w:val="18"/>
          <w:b w:val="1"/>
          <w:bCs w:val="1"/>
          <w:color w:val="auto"/>
        </w:rPr>
        <w:t>Fall</w:t>
      </w:r>
    </w:p>
    <w:p>
      <w:pPr>
        <w:spacing w:after="0" w:line="200" w:lineRule="exact"/>
        <w:rPr>
          <w:sz w:val="20"/>
          <w:szCs w:val="20"/>
          <w:color w:val="auto"/>
        </w:rPr>
      </w:pPr>
    </w:p>
    <w:p>
      <w:pPr>
        <w:spacing w:after="0" w:line="201" w:lineRule="exact"/>
        <w:rPr>
          <w:sz w:val="20"/>
          <w:szCs w:val="20"/>
          <w:color w:val="auto"/>
        </w:rPr>
      </w:pPr>
    </w:p>
    <w:p>
      <w:pPr>
        <w:ind w:left="194" w:hanging="194"/>
        <w:spacing w:after="0" w:line="259" w:lineRule="auto"/>
        <w:tabs>
          <w:tab w:leader="none" w:pos="150" w:val="left"/>
        </w:tabs>
        <w:numPr>
          <w:ilvl w:val="0"/>
          <w:numId w:val="15"/>
        </w:numPr>
        <w:rPr>
          <w:rFonts w:ascii="Arial" w:cs="Arial" w:eastAsia="Arial" w:hAnsi="Arial"/>
          <w:sz w:val="13"/>
          <w:szCs w:val="13"/>
          <w:color w:val="0067B3"/>
        </w:rPr>
      </w:pPr>
      <w:r>
        <w:rPr>
          <w:rFonts w:ascii="Arial" w:cs="Arial" w:eastAsia="Arial" w:hAnsi="Arial"/>
          <w:sz w:val="18"/>
          <w:szCs w:val="18"/>
          <w:color w:val="auto"/>
        </w:rPr>
        <w:t>Conduct outreach with top investors to understand their priorities and solicit feedback on governance topics, including ESG and compensation</w:t>
      </w:r>
    </w:p>
    <w:p>
      <w:pPr>
        <w:spacing w:after="0" w:line="30" w:lineRule="exact"/>
        <w:rPr>
          <w:rFonts w:ascii="Arial" w:cs="Arial" w:eastAsia="Arial" w:hAnsi="Arial"/>
          <w:sz w:val="13"/>
          <w:szCs w:val="13"/>
          <w:color w:val="0067B3"/>
        </w:rPr>
      </w:pPr>
    </w:p>
    <w:p>
      <w:pPr>
        <w:ind w:left="194" w:right="120" w:hanging="194"/>
        <w:spacing w:after="0" w:line="287" w:lineRule="auto"/>
        <w:tabs>
          <w:tab w:leader="none" w:pos="150" w:val="left"/>
        </w:tabs>
        <w:numPr>
          <w:ilvl w:val="0"/>
          <w:numId w:val="15"/>
        </w:numPr>
        <w:rPr>
          <w:rFonts w:ascii="Arial" w:cs="Arial" w:eastAsia="Arial" w:hAnsi="Arial"/>
          <w:sz w:val="13"/>
          <w:szCs w:val="13"/>
          <w:color w:val="0067B3"/>
        </w:rPr>
      </w:pPr>
      <w:r>
        <w:rPr>
          <w:rFonts w:ascii="Arial" w:cs="Arial" w:eastAsia="Arial" w:hAnsi="Arial"/>
          <w:sz w:val="18"/>
          <w:szCs w:val="18"/>
          <w:color w:val="auto"/>
        </w:rPr>
        <w:t>Share investor feedback with our Board of Directors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70" w:lineRule="exact"/>
        <w:rPr>
          <w:sz w:val="20"/>
          <w:szCs w:val="20"/>
          <w:color w:val="auto"/>
        </w:rPr>
      </w:pPr>
    </w:p>
    <w:p>
      <w:pPr>
        <w:ind w:left="646"/>
        <w:spacing w:after="0"/>
        <w:tabs>
          <w:tab w:leader="none" w:pos="2565" w:val="left"/>
        </w:tabs>
        <w:rPr>
          <w:sz w:val="20"/>
          <w:szCs w:val="20"/>
          <w:color w:val="auto"/>
        </w:rPr>
      </w:pPr>
      <w:r>
        <w:rPr>
          <w:rFonts w:ascii="Arial" w:cs="Arial" w:eastAsia="Arial" w:hAnsi="Arial"/>
          <w:sz w:val="18"/>
          <w:szCs w:val="18"/>
          <w:b w:val="1"/>
          <w:bCs w:val="1"/>
          <w:color w:val="auto"/>
        </w:rPr>
        <w:t>Winter</w:t>
      </w:r>
      <w:r>
        <w:rPr>
          <w:sz w:val="20"/>
          <w:szCs w:val="20"/>
          <w:color w:val="auto"/>
        </w:rPr>
        <w:tab/>
      </w:r>
      <w:r>
        <w:rPr>
          <w:rFonts w:ascii="Arial" w:cs="Arial" w:eastAsia="Arial" w:hAnsi="Arial"/>
          <w:sz w:val="18"/>
          <w:szCs w:val="18"/>
          <w:b w:val="1"/>
          <w:bCs w:val="1"/>
          <w:color w:val="auto"/>
        </w:rPr>
        <w:t>Spring</w:t>
      </w:r>
    </w:p>
    <w:p>
      <w:pPr>
        <w:spacing w:after="0" w:line="200" w:lineRule="exact"/>
        <w:rPr>
          <w:sz w:val="20"/>
          <w:szCs w:val="20"/>
          <w:color w:val="auto"/>
        </w:rPr>
      </w:pPr>
    </w:p>
    <w:p>
      <w:pPr>
        <w:spacing w:after="0" w:line="201" w:lineRule="exact"/>
        <w:rPr>
          <w:sz w:val="20"/>
          <w:szCs w:val="20"/>
          <w:color w:val="auto"/>
        </w:rPr>
      </w:pPr>
    </w:p>
    <w:p>
      <w:pPr>
        <w:ind w:left="186" w:right="1700" w:hanging="186"/>
        <w:spacing w:after="0" w:line="287" w:lineRule="auto"/>
        <w:tabs>
          <w:tab w:leader="none" w:pos="143" w:val="left"/>
        </w:tabs>
        <w:numPr>
          <w:ilvl w:val="0"/>
          <w:numId w:val="16"/>
        </w:numPr>
        <w:rPr>
          <w:rFonts w:ascii="Arial" w:cs="Arial" w:eastAsia="Arial" w:hAnsi="Arial"/>
          <w:sz w:val="13"/>
          <w:szCs w:val="13"/>
          <w:color w:val="0067B3"/>
        </w:rPr>
      </w:pPr>
      <w:r>
        <w:rPr>
          <w:rFonts w:ascii="Arial" w:cs="Arial" w:eastAsia="Arial" w:hAnsi="Arial"/>
          <w:sz w:val="18"/>
          <w:szCs w:val="18"/>
          <w:color w:val="auto"/>
        </w:rPr>
        <w:t>Publish Annual Report and Proxy Statement</w:t>
      </w:r>
    </w:p>
    <w:p>
      <w:pPr>
        <w:spacing w:after="0" w:line="4" w:lineRule="exact"/>
        <w:rPr>
          <w:rFonts w:ascii="Arial" w:cs="Arial" w:eastAsia="Arial" w:hAnsi="Arial"/>
          <w:sz w:val="13"/>
          <w:szCs w:val="13"/>
          <w:color w:val="0067B3"/>
        </w:rPr>
      </w:pPr>
    </w:p>
    <w:p>
      <w:pPr>
        <w:jc w:val="both"/>
        <w:ind w:left="186" w:right="780" w:hanging="186"/>
        <w:spacing w:after="0" w:line="257" w:lineRule="auto"/>
        <w:tabs>
          <w:tab w:leader="none" w:pos="143" w:val="left"/>
        </w:tabs>
        <w:numPr>
          <w:ilvl w:val="0"/>
          <w:numId w:val="16"/>
        </w:numPr>
        <w:rPr>
          <w:rFonts w:ascii="Arial" w:cs="Arial" w:eastAsia="Arial" w:hAnsi="Arial"/>
          <w:sz w:val="13"/>
          <w:szCs w:val="13"/>
          <w:color w:val="0067B3"/>
        </w:rPr>
      </w:pPr>
      <w:r>
        <w:rPr>
          <w:rFonts w:ascii="Arial" w:cs="Arial" w:eastAsia="Arial" w:hAnsi="Arial"/>
          <w:sz w:val="18"/>
          <w:szCs w:val="18"/>
          <w:color w:val="auto"/>
        </w:rPr>
        <w:t>Conduct outreach with top investors to discuss items to be considered at the annual meeting, given matters to</w:t>
      </w:r>
    </w:p>
    <w:p>
      <w:pPr>
        <w:spacing w:after="0" w:line="1" w:lineRule="exact"/>
        <w:rPr>
          <w:rFonts w:ascii="Arial" w:cs="Arial" w:eastAsia="Arial" w:hAnsi="Arial"/>
          <w:sz w:val="13"/>
          <w:szCs w:val="13"/>
          <w:color w:val="0067B3"/>
        </w:rPr>
      </w:pPr>
    </w:p>
    <w:p>
      <w:pPr>
        <w:ind w:left="186"/>
        <w:spacing w:after="0"/>
        <w:rPr>
          <w:rFonts w:ascii="Arial" w:cs="Arial" w:eastAsia="Arial" w:hAnsi="Arial"/>
          <w:sz w:val="13"/>
          <w:szCs w:val="13"/>
          <w:color w:val="0067B3"/>
        </w:rPr>
      </w:pPr>
      <w:r>
        <w:rPr>
          <w:rFonts w:ascii="Arial" w:cs="Arial" w:eastAsia="Arial" w:hAnsi="Arial"/>
          <w:sz w:val="18"/>
          <w:szCs w:val="18"/>
          <w:color w:val="auto"/>
        </w:rPr>
        <w:t>be considered, if needed</w:t>
      </w:r>
    </w:p>
    <w:p>
      <w:pPr>
        <w:spacing w:after="0" w:line="72" w:lineRule="exact"/>
        <w:rPr>
          <w:rFonts w:ascii="Arial" w:cs="Arial" w:eastAsia="Arial" w:hAnsi="Arial"/>
          <w:sz w:val="13"/>
          <w:szCs w:val="13"/>
          <w:color w:val="0067B3"/>
        </w:rPr>
      </w:pPr>
    </w:p>
    <w:p>
      <w:pPr>
        <w:ind w:left="146" w:hanging="146"/>
        <w:spacing w:after="0"/>
        <w:tabs>
          <w:tab w:leader="none" w:pos="146" w:val="left"/>
        </w:tabs>
        <w:numPr>
          <w:ilvl w:val="0"/>
          <w:numId w:val="16"/>
        </w:numPr>
        <w:rPr>
          <w:rFonts w:ascii="Arial" w:cs="Arial" w:eastAsia="Arial" w:hAnsi="Arial"/>
          <w:sz w:val="13"/>
          <w:szCs w:val="13"/>
          <w:color w:val="0067B3"/>
        </w:rPr>
      </w:pPr>
      <w:r>
        <w:rPr>
          <w:rFonts w:ascii="Arial" w:cs="Arial" w:eastAsia="Arial" w:hAnsi="Arial"/>
          <w:sz w:val="18"/>
          <w:szCs w:val="18"/>
          <w:color w:val="auto"/>
        </w:rPr>
        <w:t>Annual Meeting</w:t>
      </w:r>
    </w:p>
    <w:p>
      <w:pPr>
        <w:spacing w:after="0" w:line="383" w:lineRule="exact"/>
        <w:rPr>
          <w:sz w:val="20"/>
          <w:szCs w:val="20"/>
          <w:color w:val="auto"/>
        </w:rPr>
      </w:pPr>
    </w:p>
    <w:p>
      <w:pPr>
        <w:sectPr>
          <w:pgSz w:w="11900" w:h="16838" w:orient="portrait"/>
          <w:cols w:equalWidth="0" w:num="3">
            <w:col w:w="3440" w:space="506"/>
            <w:col w:w="2894" w:space="414"/>
            <w:col w:w="3986"/>
          </w:cols>
          <w:pgMar w:left="320" w:top="1356" w:right="339" w:bottom="1440" w:gutter="0" w:footer="0" w:header="0"/>
          <w:type w:val="continuous"/>
        </w:sectPr>
      </w:pPr>
    </w:p>
    <w:p>
      <w:pPr>
        <w:spacing w:after="0" w:line="327" w:lineRule="exact"/>
        <w:rPr>
          <w:sz w:val="20"/>
          <w:szCs w:val="20"/>
          <w:color w:val="auto"/>
        </w:rPr>
      </w:pPr>
    </w:p>
    <w:p>
      <w:pPr>
        <w:ind w:right="260"/>
        <w:spacing w:after="0" w:line="259" w:lineRule="auto"/>
        <w:rPr>
          <w:sz w:val="20"/>
          <w:szCs w:val="20"/>
          <w:color w:val="auto"/>
        </w:rPr>
      </w:pPr>
      <w:r>
        <w:rPr>
          <w:rFonts w:ascii="Arial" w:cs="Arial" w:eastAsia="Arial" w:hAnsi="Arial"/>
          <w:sz w:val="18"/>
          <w:szCs w:val="18"/>
          <w:color w:val="auto"/>
        </w:rPr>
        <w:t>In the fall of 2025, as part of our annual outreach program, we reached out to shareholders collectively representing approximately 45% of our total shares outstanding and proxy advisory firms with an invitation to have discussions with their corporate governance teams. Shareholders representing approximately 25% of our total shares outstanding, as well as proxy advisory firms, accepted our engagement invitation. These meetings included members of our legal, ESG, compensation, and investor relations organizations. In addition, our Lead Independent Director participated in meetings with shareholders representing approximately 21% of our total shares outstanding.</w:t>
      </w:r>
    </w:p>
    <w:p>
      <w:pPr>
        <w:spacing w:after="0" w:line="233" w:lineRule="exact"/>
        <w:rPr>
          <w:sz w:val="20"/>
          <w:szCs w:val="20"/>
          <w:color w:val="auto"/>
        </w:rPr>
      </w:pPr>
    </w:p>
    <w:p>
      <w:pPr>
        <w:ind w:left="1320"/>
        <w:spacing w:after="0"/>
        <w:tabs>
          <w:tab w:leader="none" w:pos="5200" w:val="left"/>
          <w:tab w:leader="none" w:pos="8560" w:val="left"/>
        </w:tabs>
        <w:rPr>
          <w:sz w:val="20"/>
          <w:szCs w:val="20"/>
          <w:color w:val="auto"/>
        </w:rPr>
      </w:pPr>
      <w:r>
        <w:rPr>
          <w:rFonts w:ascii="Arial" w:cs="Arial" w:eastAsia="Arial" w:hAnsi="Arial"/>
          <w:sz w:val="18"/>
          <w:szCs w:val="18"/>
          <w:b w:val="1"/>
          <w:bCs w:val="1"/>
          <w:color w:val="0067B3"/>
        </w:rPr>
        <w:t>Contacted</w:t>
      </w:r>
      <w:r>
        <w:rPr>
          <w:sz w:val="20"/>
          <w:szCs w:val="20"/>
          <w:color w:val="auto"/>
        </w:rPr>
        <w:tab/>
      </w:r>
      <w:r>
        <w:rPr>
          <w:rFonts w:ascii="Arial" w:cs="Arial" w:eastAsia="Arial" w:hAnsi="Arial"/>
          <w:sz w:val="18"/>
          <w:szCs w:val="18"/>
          <w:b w:val="1"/>
          <w:bCs w:val="1"/>
          <w:color w:val="0067B3"/>
        </w:rPr>
        <w:t>Engaged</w:t>
      </w:r>
      <w:r>
        <w:rPr>
          <w:sz w:val="20"/>
          <w:szCs w:val="20"/>
          <w:color w:val="auto"/>
        </w:rPr>
        <w:tab/>
      </w:r>
      <w:r>
        <w:rPr>
          <w:rFonts w:ascii="Arial" w:cs="Arial" w:eastAsia="Arial" w:hAnsi="Arial"/>
          <w:sz w:val="17"/>
          <w:szCs w:val="17"/>
          <w:b w:val="1"/>
          <w:bCs w:val="1"/>
          <w:color w:val="0067B3"/>
        </w:rPr>
        <w:t>Director Participated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69215</wp:posOffset>
            </wp:positionV>
            <wp:extent cx="7132320"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725170</wp:posOffset>
            </wp:positionH>
            <wp:positionV relativeFrom="paragraph">
              <wp:posOffset>189230</wp:posOffset>
            </wp:positionV>
            <wp:extent cx="779780" cy="77978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79780" cy="779780"/>
                    </a:xfrm>
                    <a:prstGeom prst="rect">
                      <a:avLst/>
                    </a:prstGeom>
                    <a:noFill/>
                  </pic:spPr>
                </pic:pic>
              </a:graphicData>
            </a:graphic>
          </wp:anchor>
        </w:drawing>
        <w:drawing>
          <wp:anchor simplePos="0" relativeHeight="251657728" behindDoc="1" locked="0" layoutInCell="0" allowOverlap="1">
            <wp:simplePos x="0" y="0"/>
            <wp:positionH relativeFrom="column">
              <wp:posOffset>3159760</wp:posOffset>
            </wp:positionH>
            <wp:positionV relativeFrom="paragraph">
              <wp:posOffset>189230</wp:posOffset>
            </wp:positionV>
            <wp:extent cx="779780" cy="77978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79780" cy="779780"/>
                    </a:xfrm>
                    <a:prstGeom prst="rect">
                      <a:avLst/>
                    </a:prstGeom>
                    <a:noFill/>
                  </pic:spPr>
                </pic:pic>
              </a:graphicData>
            </a:graphic>
          </wp:anchor>
        </w:drawing>
        <w:drawing>
          <wp:anchor simplePos="0" relativeHeight="251657728" behindDoc="1" locked="0" layoutInCell="0" allowOverlap="1">
            <wp:simplePos x="0" y="0"/>
            <wp:positionH relativeFrom="column">
              <wp:posOffset>5619750</wp:posOffset>
            </wp:positionH>
            <wp:positionV relativeFrom="paragraph">
              <wp:posOffset>189230</wp:posOffset>
            </wp:positionV>
            <wp:extent cx="779780" cy="77978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79780" cy="7797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right="180"/>
        <w:spacing w:after="0" w:line="262" w:lineRule="auto"/>
        <w:rPr>
          <w:sz w:val="20"/>
          <w:szCs w:val="20"/>
          <w:color w:val="auto"/>
        </w:rPr>
      </w:pPr>
      <w:r>
        <w:rPr>
          <w:rFonts w:ascii="Arial" w:cs="Arial" w:eastAsia="Arial" w:hAnsi="Arial"/>
          <w:sz w:val="18"/>
          <w:szCs w:val="18"/>
          <w:color w:val="auto"/>
        </w:rPr>
        <w:t xml:space="preserve">We reviewed the key takeaways from these shareholder meetings with our Board of Directors, with the goal of continuing to evolve our corporate governance practices to best meet the needs of ADI and our shareholders. For more information about the feedback we received from shareholders during fiscal year 2025 and actions we took in response, please see the </w:t>
      </w:r>
      <w:r>
        <w:rPr>
          <w:rFonts w:ascii="Arial" w:cs="Arial" w:eastAsia="Arial" w:hAnsi="Arial"/>
          <w:sz w:val="18"/>
          <w:szCs w:val="18"/>
          <w:i w:val="1"/>
          <w:iCs w:val="1"/>
          <w:color w:val="auto"/>
        </w:rPr>
        <w:t>Shareholder Engagement</w:t>
      </w:r>
      <w:r>
        <w:rPr>
          <w:rFonts w:ascii="Arial" w:cs="Arial" w:eastAsia="Arial" w:hAnsi="Arial"/>
          <w:sz w:val="18"/>
          <w:szCs w:val="18"/>
          <w:color w:val="auto"/>
        </w:rPr>
        <w:t xml:space="preserve"> section of this Proxy Statement.</w:t>
      </w:r>
    </w:p>
    <w:p>
      <w:pPr>
        <w:spacing w:after="0" w:line="200" w:lineRule="exact"/>
        <w:rPr>
          <w:sz w:val="20"/>
          <w:szCs w:val="20"/>
          <w:color w:val="auto"/>
        </w:rPr>
      </w:pPr>
    </w:p>
    <w:p>
      <w:pPr>
        <w:spacing w:after="0" w:line="290" w:lineRule="exact"/>
        <w:rPr>
          <w:sz w:val="20"/>
          <w:szCs w:val="20"/>
          <w:color w:val="auto"/>
        </w:rPr>
      </w:pPr>
    </w:p>
    <w:p>
      <w:pPr>
        <w:ind w:left="640" w:hanging="614"/>
        <w:spacing w:after="0"/>
        <w:tabs>
          <w:tab w:leader="none" w:pos="640" w:val="left"/>
        </w:tabs>
        <w:numPr>
          <w:ilvl w:val="0"/>
          <w:numId w:val="17"/>
        </w:numPr>
        <w:rPr>
          <w:rFonts w:ascii="Arial" w:cs="Arial" w:eastAsia="Arial" w:hAnsi="Arial"/>
          <w:sz w:val="20"/>
          <w:szCs w:val="20"/>
          <w:b w:val="1"/>
          <w:bCs w:val="1"/>
          <w:color w:val="auto"/>
        </w:rPr>
      </w:pPr>
      <w:r>
        <w:rPr>
          <w:rFonts w:ascii="Arial" w:cs="Arial" w:eastAsia="Arial" w:hAnsi="Arial"/>
          <w:sz w:val="16"/>
          <w:szCs w:val="16"/>
          <w:color w:val="6D6E71"/>
        </w:rPr>
        <w:t>Proxy Summary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185420</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56" w:right="339" w:bottom="1440" w:gutter="0" w:footer="0" w:header="0"/>
          <w:type w:val="continuous"/>
        </w:sectPr>
      </w:pPr>
    </w:p>
    <w:bookmarkStart w:id="13" w:name="page14"/>
    <w:bookmarkEnd w:id="13"/>
    <w:p>
      <w:pPr>
        <w:spacing w:after="0"/>
        <w:rPr>
          <w:sz w:val="20"/>
          <w:szCs w:val="20"/>
          <w:color w:val="auto"/>
        </w:rPr>
      </w:pPr>
      <w:r>
        <w:rPr>
          <w:rFonts w:ascii="Arial" w:cs="Arial" w:eastAsia="Arial" w:hAnsi="Arial"/>
          <w:sz w:val="41"/>
          <w:szCs w:val="41"/>
          <w:b w:val="1"/>
          <w:bCs w:val="1"/>
          <w:color w:val="0067B3"/>
        </w:rPr>
        <w:t>Voting Matters and Vote Recommendations</w:t>
      </w:r>
    </w:p>
    <w:p>
      <w:pPr>
        <w:spacing w:after="0" w:line="283"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880" w:type="dxa"/>
            <w:vAlign w:val="bottom"/>
            <w:shd w:val="clear" w:color="auto" w:fill="0067B3"/>
          </w:tcPr>
          <w:p>
            <w:pPr>
              <w:jc w:val="center"/>
              <w:spacing w:after="0"/>
              <w:rPr>
                <w:sz w:val="20"/>
                <w:szCs w:val="20"/>
                <w:color w:val="auto"/>
              </w:rPr>
            </w:pPr>
            <w:r>
              <w:rPr>
                <w:rFonts w:ascii="Arial" w:cs="Arial" w:eastAsia="Arial" w:hAnsi="Arial"/>
                <w:sz w:val="16"/>
                <w:szCs w:val="16"/>
                <w:b w:val="1"/>
                <w:bCs w:val="1"/>
                <w:color w:val="FFFFFF"/>
                <w:w w:val="99"/>
              </w:rPr>
              <w:t>Proposal</w:t>
            </w:r>
          </w:p>
        </w:tc>
        <w:tc>
          <w:tcPr>
            <w:tcW w:w="6240" w:type="dxa"/>
            <w:vAlign w:val="bottom"/>
            <w:shd w:val="clear" w:color="auto" w:fill="0067B3"/>
          </w:tcPr>
          <w:p>
            <w:pPr>
              <w:ind w:left="20"/>
              <w:spacing w:after="0"/>
              <w:rPr>
                <w:sz w:val="20"/>
                <w:szCs w:val="20"/>
                <w:color w:val="auto"/>
              </w:rPr>
            </w:pPr>
            <w:r>
              <w:rPr>
                <w:rFonts w:ascii="Arial" w:cs="Arial" w:eastAsia="Arial" w:hAnsi="Arial"/>
                <w:sz w:val="16"/>
                <w:szCs w:val="16"/>
                <w:b w:val="1"/>
                <w:bCs w:val="1"/>
                <w:color w:val="FFFFFF"/>
              </w:rPr>
              <w:t>Items of Business</w:t>
            </w:r>
          </w:p>
        </w:tc>
        <w:tc>
          <w:tcPr>
            <w:tcW w:w="2300" w:type="dxa"/>
            <w:vAlign w:val="bottom"/>
            <w:shd w:val="clear" w:color="auto" w:fill="0067B3"/>
          </w:tcPr>
          <w:p>
            <w:pPr>
              <w:jc w:val="center"/>
              <w:ind w:right="12"/>
              <w:spacing w:after="0"/>
              <w:rPr>
                <w:sz w:val="20"/>
                <w:szCs w:val="20"/>
                <w:color w:val="auto"/>
              </w:rPr>
            </w:pPr>
            <w:r>
              <w:rPr>
                <w:rFonts w:ascii="Arial" w:cs="Arial" w:eastAsia="Arial" w:hAnsi="Arial"/>
                <w:sz w:val="16"/>
                <w:szCs w:val="16"/>
                <w:b w:val="1"/>
                <w:bCs w:val="1"/>
                <w:color w:val="FFFFFF"/>
              </w:rPr>
              <w:t>Board Recommendation</w:t>
            </w:r>
          </w:p>
        </w:tc>
        <w:tc>
          <w:tcPr>
            <w:tcW w:w="1820" w:type="dxa"/>
            <w:vAlign w:val="bottom"/>
            <w:shd w:val="clear" w:color="auto" w:fill="0067B3"/>
          </w:tcPr>
          <w:p>
            <w:pPr>
              <w:ind w:left="260"/>
              <w:spacing w:after="0"/>
              <w:rPr>
                <w:sz w:val="20"/>
                <w:szCs w:val="20"/>
                <w:color w:val="auto"/>
              </w:rPr>
            </w:pPr>
            <w:r>
              <w:rPr>
                <w:rFonts w:ascii="Arial" w:cs="Arial" w:eastAsia="Arial" w:hAnsi="Arial"/>
                <w:sz w:val="16"/>
                <w:szCs w:val="16"/>
                <w:b w:val="1"/>
                <w:bCs w:val="1"/>
                <w:color w:val="FFFFFF"/>
              </w:rPr>
              <w:t>Page Reference</w:t>
            </w:r>
          </w:p>
        </w:tc>
        <w:tc>
          <w:tcPr>
            <w:tcW w:w="0" w:type="dxa"/>
            <w:vAlign w:val="bottom"/>
          </w:tcPr>
          <w:p>
            <w:pPr>
              <w:spacing w:after="0"/>
              <w:rPr>
                <w:sz w:val="1"/>
                <w:szCs w:val="1"/>
                <w:color w:val="auto"/>
              </w:rPr>
            </w:pPr>
          </w:p>
        </w:tc>
      </w:tr>
      <w:tr>
        <w:trPr>
          <w:trHeight w:val="332"/>
        </w:trPr>
        <w:tc>
          <w:tcPr>
            <w:tcW w:w="880" w:type="dxa"/>
            <w:vAlign w:val="bottom"/>
            <w:shd w:val="clear" w:color="auto" w:fill="E2E6F4"/>
          </w:tcPr>
          <w:p>
            <w:pPr>
              <w:jc w:val="center"/>
              <w:spacing w:after="0"/>
              <w:rPr>
                <w:sz w:val="20"/>
                <w:szCs w:val="20"/>
                <w:color w:val="auto"/>
              </w:rPr>
            </w:pPr>
            <w:r>
              <w:rPr>
                <w:rFonts w:ascii="Arial" w:cs="Arial" w:eastAsia="Arial" w:hAnsi="Arial"/>
                <w:sz w:val="18"/>
                <w:szCs w:val="18"/>
                <w:b w:val="1"/>
                <w:bCs w:val="1"/>
                <w:color w:val="auto"/>
                <w:w w:val="99"/>
              </w:rPr>
              <w:t>1</w:t>
            </w:r>
          </w:p>
        </w:tc>
        <w:tc>
          <w:tcPr>
            <w:tcW w:w="6240" w:type="dxa"/>
            <w:vAlign w:val="bottom"/>
            <w:shd w:val="clear" w:color="auto" w:fill="E2E6F4"/>
          </w:tcPr>
          <w:p>
            <w:pPr>
              <w:ind w:left="20"/>
              <w:spacing w:after="0"/>
              <w:rPr>
                <w:sz w:val="20"/>
                <w:szCs w:val="20"/>
                <w:color w:val="auto"/>
              </w:rPr>
            </w:pPr>
            <w:r>
              <w:rPr>
                <w:rFonts w:ascii="Arial" w:cs="Arial" w:eastAsia="Arial" w:hAnsi="Arial"/>
                <w:sz w:val="18"/>
                <w:szCs w:val="18"/>
                <w:b w:val="1"/>
                <w:bCs w:val="1"/>
                <w:color w:val="auto"/>
              </w:rPr>
              <w:t>Election of 10 Directors</w:t>
            </w:r>
          </w:p>
        </w:tc>
        <w:tc>
          <w:tcPr>
            <w:tcW w:w="2300" w:type="dxa"/>
            <w:vAlign w:val="bottom"/>
            <w:shd w:val="clear" w:color="auto" w:fill="E2E6F4"/>
          </w:tcPr>
          <w:p>
            <w:pPr>
              <w:jc w:val="center"/>
              <w:spacing w:after="0"/>
              <w:rPr>
                <w:sz w:val="20"/>
                <w:szCs w:val="20"/>
                <w:color w:val="auto"/>
              </w:rPr>
            </w:pPr>
            <w:r>
              <w:rPr>
                <w:rFonts w:ascii="Arial" w:cs="Arial" w:eastAsia="Arial" w:hAnsi="Arial"/>
                <w:sz w:val="18"/>
                <w:szCs w:val="18"/>
                <w:color w:val="auto"/>
                <w:w w:val="99"/>
              </w:rPr>
              <w:t>FOR each</w:t>
            </w:r>
          </w:p>
        </w:tc>
        <w:tc>
          <w:tcPr>
            <w:tcW w:w="1820" w:type="dxa"/>
            <w:vAlign w:val="bottom"/>
            <w:shd w:val="clear" w:color="auto" w:fill="E2E6F4"/>
          </w:tcPr>
          <w:p>
            <w:pPr>
              <w:jc w:val="right"/>
              <w:ind w:right="813"/>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39"/>
        </w:trPr>
        <w:tc>
          <w:tcPr>
            <w:tcW w:w="880" w:type="dxa"/>
            <w:vAlign w:val="bottom"/>
            <w:shd w:val="clear" w:color="auto" w:fill="E2E6F4"/>
          </w:tcPr>
          <w:p>
            <w:pPr>
              <w:spacing w:after="0"/>
              <w:rPr>
                <w:sz w:val="20"/>
                <w:szCs w:val="20"/>
                <w:color w:val="auto"/>
              </w:rPr>
            </w:pPr>
          </w:p>
        </w:tc>
        <w:tc>
          <w:tcPr>
            <w:tcW w:w="6240" w:type="dxa"/>
            <w:vAlign w:val="bottom"/>
            <w:vMerge w:val="restart"/>
            <w:shd w:val="clear" w:color="auto" w:fill="E2E6F4"/>
          </w:tcPr>
          <w:p>
            <w:pPr>
              <w:ind w:left="20"/>
              <w:spacing w:after="0"/>
              <w:rPr>
                <w:sz w:val="20"/>
                <w:szCs w:val="20"/>
                <w:color w:val="auto"/>
              </w:rPr>
            </w:pPr>
            <w:r>
              <w:rPr>
                <w:rFonts w:ascii="Arial" w:cs="Arial" w:eastAsia="Arial" w:hAnsi="Arial"/>
                <w:sz w:val="13"/>
                <w:szCs w:val="13"/>
                <w:color w:val="0067B3"/>
              </w:rPr>
              <w:t xml:space="preserve">u </w:t>
            </w:r>
            <w:r>
              <w:rPr>
                <w:rFonts w:ascii="Arial" w:cs="Arial" w:eastAsia="Arial" w:hAnsi="Arial"/>
                <w:sz w:val="17"/>
                <w:szCs w:val="17"/>
                <w:color w:val="000000"/>
              </w:rPr>
              <w:t>Our Board of Directors and Nominating and Corporate Governance</w:t>
            </w:r>
          </w:p>
        </w:tc>
        <w:tc>
          <w:tcPr>
            <w:tcW w:w="2300" w:type="dxa"/>
            <w:vAlign w:val="bottom"/>
            <w:shd w:val="clear" w:color="auto" w:fill="E2E6F4"/>
          </w:tcPr>
          <w:p>
            <w:pPr>
              <w:jc w:val="center"/>
              <w:spacing w:after="0"/>
              <w:rPr>
                <w:sz w:val="20"/>
                <w:szCs w:val="20"/>
                <w:color w:val="auto"/>
              </w:rPr>
            </w:pPr>
            <w:r>
              <w:rPr>
                <w:rFonts w:ascii="Arial" w:cs="Arial" w:eastAsia="Arial" w:hAnsi="Arial"/>
                <w:sz w:val="18"/>
                <w:szCs w:val="18"/>
                <w:color w:val="auto"/>
                <w:w w:val="99"/>
              </w:rPr>
              <w:t>director nominee</w:t>
            </w:r>
          </w:p>
        </w:tc>
        <w:tc>
          <w:tcPr>
            <w:tcW w:w="1820" w:type="dxa"/>
            <w:vAlign w:val="bottom"/>
            <w:shd w:val="clear" w:color="auto" w:fill="E2E6F4"/>
          </w:tcPr>
          <w:p>
            <w:pPr>
              <w:spacing w:after="0"/>
              <w:rPr>
                <w:sz w:val="20"/>
                <w:szCs w:val="20"/>
                <w:color w:val="auto"/>
              </w:rPr>
            </w:pPr>
          </w:p>
        </w:tc>
        <w:tc>
          <w:tcPr>
            <w:tcW w:w="0" w:type="dxa"/>
            <w:vAlign w:val="bottom"/>
          </w:tcPr>
          <w:p>
            <w:pPr>
              <w:spacing w:after="0"/>
              <w:rPr>
                <w:sz w:val="1"/>
                <w:szCs w:val="1"/>
                <w:color w:val="auto"/>
              </w:rPr>
            </w:pPr>
          </w:p>
        </w:tc>
      </w:tr>
      <w:tr>
        <w:trPr>
          <w:trHeight w:val="85"/>
        </w:trPr>
        <w:tc>
          <w:tcPr>
            <w:tcW w:w="880" w:type="dxa"/>
            <w:vAlign w:val="bottom"/>
            <w:shd w:val="clear" w:color="auto" w:fill="E2E6F4"/>
          </w:tcPr>
          <w:p>
            <w:pPr>
              <w:spacing w:after="0"/>
              <w:rPr>
                <w:sz w:val="7"/>
                <w:szCs w:val="7"/>
                <w:color w:val="auto"/>
              </w:rPr>
            </w:pPr>
          </w:p>
        </w:tc>
        <w:tc>
          <w:tcPr>
            <w:tcW w:w="6240" w:type="dxa"/>
            <w:vAlign w:val="bottom"/>
            <w:vMerge w:val="continue"/>
            <w:shd w:val="clear" w:color="auto" w:fill="E2E6F4"/>
          </w:tcPr>
          <w:p>
            <w:pPr>
              <w:spacing w:after="0"/>
              <w:rPr>
                <w:sz w:val="7"/>
                <w:szCs w:val="7"/>
                <w:color w:val="auto"/>
              </w:rPr>
            </w:pPr>
          </w:p>
        </w:tc>
        <w:tc>
          <w:tcPr>
            <w:tcW w:w="2300" w:type="dxa"/>
            <w:vAlign w:val="bottom"/>
            <w:shd w:val="clear" w:color="auto" w:fill="E2E6F4"/>
          </w:tcPr>
          <w:p>
            <w:pPr>
              <w:spacing w:after="0"/>
              <w:rPr>
                <w:sz w:val="7"/>
                <w:szCs w:val="7"/>
                <w:color w:val="auto"/>
              </w:rPr>
            </w:pPr>
          </w:p>
        </w:tc>
        <w:tc>
          <w:tcPr>
            <w:tcW w:w="1820" w:type="dxa"/>
            <w:vAlign w:val="bottom"/>
            <w:shd w:val="clear" w:color="auto" w:fill="E2E6F4"/>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880" w:type="dxa"/>
            <w:vAlign w:val="bottom"/>
            <w:shd w:val="clear" w:color="auto" w:fill="E2E6F4"/>
          </w:tcPr>
          <w:p>
            <w:pPr>
              <w:spacing w:after="0"/>
              <w:rPr>
                <w:sz w:val="18"/>
                <w:szCs w:val="18"/>
                <w:color w:val="auto"/>
              </w:rPr>
            </w:pPr>
          </w:p>
        </w:tc>
        <w:tc>
          <w:tcPr>
            <w:tcW w:w="6240" w:type="dxa"/>
            <w:vAlign w:val="bottom"/>
            <w:shd w:val="clear" w:color="auto" w:fill="E2E6F4"/>
          </w:tcPr>
          <w:p>
            <w:pPr>
              <w:ind w:left="200"/>
              <w:spacing w:after="0"/>
              <w:rPr>
                <w:sz w:val="20"/>
                <w:szCs w:val="20"/>
                <w:color w:val="auto"/>
              </w:rPr>
            </w:pPr>
            <w:r>
              <w:rPr>
                <w:rFonts w:ascii="Arial" w:cs="Arial" w:eastAsia="Arial" w:hAnsi="Arial"/>
                <w:sz w:val="18"/>
                <w:szCs w:val="18"/>
                <w:color w:val="auto"/>
              </w:rPr>
              <w:t>Committee are committed to ensuring that our Board of Directors is</w:t>
            </w:r>
          </w:p>
        </w:tc>
        <w:tc>
          <w:tcPr>
            <w:tcW w:w="2300" w:type="dxa"/>
            <w:vAlign w:val="bottom"/>
            <w:shd w:val="clear" w:color="auto" w:fill="E2E6F4"/>
          </w:tcPr>
          <w:p>
            <w:pPr>
              <w:spacing w:after="0"/>
              <w:rPr>
                <w:sz w:val="18"/>
                <w:szCs w:val="18"/>
                <w:color w:val="auto"/>
              </w:rPr>
            </w:pPr>
          </w:p>
        </w:tc>
        <w:tc>
          <w:tcPr>
            <w:tcW w:w="1820" w:type="dxa"/>
            <w:vAlign w:val="bottom"/>
            <w:shd w:val="clear" w:color="auto" w:fill="E2E6F4"/>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shd w:val="clear" w:color="auto" w:fill="E2E6F4"/>
          </w:tcPr>
          <w:p>
            <w:pPr>
              <w:spacing w:after="0"/>
              <w:rPr>
                <w:sz w:val="18"/>
                <w:szCs w:val="18"/>
                <w:color w:val="auto"/>
              </w:rPr>
            </w:pPr>
          </w:p>
        </w:tc>
        <w:tc>
          <w:tcPr>
            <w:tcW w:w="6240" w:type="dxa"/>
            <w:vAlign w:val="bottom"/>
            <w:shd w:val="clear" w:color="auto" w:fill="E2E6F4"/>
          </w:tcPr>
          <w:p>
            <w:pPr>
              <w:ind w:left="200"/>
              <w:spacing w:after="0"/>
              <w:rPr>
                <w:sz w:val="20"/>
                <w:szCs w:val="20"/>
                <w:color w:val="auto"/>
              </w:rPr>
            </w:pPr>
            <w:r>
              <w:rPr>
                <w:rFonts w:ascii="Arial" w:cs="Arial" w:eastAsia="Arial" w:hAnsi="Arial"/>
                <w:sz w:val="18"/>
                <w:szCs w:val="18"/>
                <w:color w:val="auto"/>
              </w:rPr>
              <w:t>composed of a highly capable group of directors who collectively span a</w:t>
            </w:r>
          </w:p>
        </w:tc>
        <w:tc>
          <w:tcPr>
            <w:tcW w:w="2300" w:type="dxa"/>
            <w:vAlign w:val="bottom"/>
            <w:shd w:val="clear" w:color="auto" w:fill="E2E6F4"/>
          </w:tcPr>
          <w:p>
            <w:pPr>
              <w:spacing w:after="0"/>
              <w:rPr>
                <w:sz w:val="18"/>
                <w:szCs w:val="18"/>
                <w:color w:val="auto"/>
              </w:rPr>
            </w:pPr>
          </w:p>
        </w:tc>
        <w:tc>
          <w:tcPr>
            <w:tcW w:w="1820" w:type="dxa"/>
            <w:vAlign w:val="bottom"/>
            <w:shd w:val="clear" w:color="auto" w:fill="E2E6F4"/>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shd w:val="clear" w:color="auto" w:fill="E2E6F4"/>
          </w:tcPr>
          <w:p>
            <w:pPr>
              <w:spacing w:after="0"/>
              <w:rPr>
                <w:sz w:val="18"/>
                <w:szCs w:val="18"/>
                <w:color w:val="auto"/>
              </w:rPr>
            </w:pPr>
          </w:p>
        </w:tc>
        <w:tc>
          <w:tcPr>
            <w:tcW w:w="6240" w:type="dxa"/>
            <w:vAlign w:val="bottom"/>
            <w:shd w:val="clear" w:color="auto" w:fill="E2E6F4"/>
          </w:tcPr>
          <w:p>
            <w:pPr>
              <w:ind w:left="200"/>
              <w:spacing w:after="0"/>
              <w:rPr>
                <w:sz w:val="20"/>
                <w:szCs w:val="20"/>
                <w:color w:val="auto"/>
              </w:rPr>
            </w:pPr>
            <w:r>
              <w:rPr>
                <w:rFonts w:ascii="Arial" w:cs="Arial" w:eastAsia="Arial" w:hAnsi="Arial"/>
                <w:sz w:val="18"/>
                <w:szCs w:val="18"/>
                <w:color w:val="auto"/>
              </w:rPr>
              <w:t>broad range of leadership skills and provide a significant breadth of</w:t>
            </w:r>
          </w:p>
        </w:tc>
        <w:tc>
          <w:tcPr>
            <w:tcW w:w="2300" w:type="dxa"/>
            <w:vAlign w:val="bottom"/>
            <w:shd w:val="clear" w:color="auto" w:fill="E2E6F4"/>
          </w:tcPr>
          <w:p>
            <w:pPr>
              <w:spacing w:after="0"/>
              <w:rPr>
                <w:sz w:val="18"/>
                <w:szCs w:val="18"/>
                <w:color w:val="auto"/>
              </w:rPr>
            </w:pPr>
          </w:p>
        </w:tc>
        <w:tc>
          <w:tcPr>
            <w:tcW w:w="1820" w:type="dxa"/>
            <w:vAlign w:val="bottom"/>
            <w:shd w:val="clear" w:color="auto" w:fill="E2E6F4"/>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shd w:val="clear" w:color="auto" w:fill="E2E6F4"/>
          </w:tcPr>
          <w:p>
            <w:pPr>
              <w:spacing w:after="0"/>
              <w:rPr>
                <w:sz w:val="18"/>
                <w:szCs w:val="18"/>
                <w:color w:val="auto"/>
              </w:rPr>
            </w:pPr>
          </w:p>
        </w:tc>
        <w:tc>
          <w:tcPr>
            <w:tcW w:w="6240" w:type="dxa"/>
            <w:vAlign w:val="bottom"/>
            <w:shd w:val="clear" w:color="auto" w:fill="E2E6F4"/>
          </w:tcPr>
          <w:p>
            <w:pPr>
              <w:ind w:left="200"/>
              <w:spacing w:after="0"/>
              <w:rPr>
                <w:sz w:val="20"/>
                <w:szCs w:val="20"/>
                <w:color w:val="auto"/>
              </w:rPr>
            </w:pPr>
            <w:r>
              <w:rPr>
                <w:rFonts w:ascii="Arial" w:cs="Arial" w:eastAsia="Arial" w:hAnsi="Arial"/>
                <w:sz w:val="18"/>
                <w:szCs w:val="18"/>
                <w:color w:val="auto"/>
              </w:rPr>
              <w:t>experience, knowledge, and abilities, relevant to ADI’s strategic vision,</w:t>
            </w:r>
          </w:p>
        </w:tc>
        <w:tc>
          <w:tcPr>
            <w:tcW w:w="2300" w:type="dxa"/>
            <w:vAlign w:val="bottom"/>
            <w:shd w:val="clear" w:color="auto" w:fill="E2E6F4"/>
          </w:tcPr>
          <w:p>
            <w:pPr>
              <w:spacing w:after="0"/>
              <w:rPr>
                <w:sz w:val="18"/>
                <w:szCs w:val="18"/>
                <w:color w:val="auto"/>
              </w:rPr>
            </w:pPr>
          </w:p>
        </w:tc>
        <w:tc>
          <w:tcPr>
            <w:tcW w:w="1820" w:type="dxa"/>
            <w:vAlign w:val="bottom"/>
            <w:shd w:val="clear" w:color="auto" w:fill="E2E6F4"/>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shd w:val="clear" w:color="auto" w:fill="E2E6F4"/>
          </w:tcPr>
          <w:p>
            <w:pPr>
              <w:spacing w:after="0"/>
              <w:rPr>
                <w:sz w:val="18"/>
                <w:szCs w:val="18"/>
                <w:color w:val="auto"/>
              </w:rPr>
            </w:pPr>
          </w:p>
        </w:tc>
        <w:tc>
          <w:tcPr>
            <w:tcW w:w="6240" w:type="dxa"/>
            <w:vAlign w:val="bottom"/>
            <w:shd w:val="clear" w:color="auto" w:fill="E2E6F4"/>
          </w:tcPr>
          <w:p>
            <w:pPr>
              <w:ind w:left="200"/>
              <w:spacing w:after="0"/>
              <w:rPr>
                <w:sz w:val="20"/>
                <w:szCs w:val="20"/>
                <w:color w:val="auto"/>
              </w:rPr>
            </w:pPr>
            <w:r>
              <w:rPr>
                <w:rFonts w:ascii="Arial" w:cs="Arial" w:eastAsia="Arial" w:hAnsi="Arial"/>
                <w:sz w:val="18"/>
                <w:szCs w:val="18"/>
                <w:color w:val="auto"/>
              </w:rPr>
              <w:t>long-term objectives, and business activities to effectively represent the</w:t>
            </w:r>
          </w:p>
        </w:tc>
        <w:tc>
          <w:tcPr>
            <w:tcW w:w="2300" w:type="dxa"/>
            <w:vAlign w:val="bottom"/>
            <w:shd w:val="clear" w:color="auto" w:fill="E2E6F4"/>
          </w:tcPr>
          <w:p>
            <w:pPr>
              <w:spacing w:after="0"/>
              <w:rPr>
                <w:sz w:val="18"/>
                <w:szCs w:val="18"/>
                <w:color w:val="auto"/>
              </w:rPr>
            </w:pPr>
          </w:p>
        </w:tc>
        <w:tc>
          <w:tcPr>
            <w:tcW w:w="1820" w:type="dxa"/>
            <w:vAlign w:val="bottom"/>
            <w:shd w:val="clear" w:color="auto" w:fill="E2E6F4"/>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shd w:val="clear" w:color="auto" w:fill="E2E6F4"/>
          </w:tcPr>
          <w:p>
            <w:pPr>
              <w:spacing w:after="0"/>
              <w:rPr>
                <w:sz w:val="18"/>
                <w:szCs w:val="18"/>
                <w:color w:val="auto"/>
              </w:rPr>
            </w:pPr>
          </w:p>
        </w:tc>
        <w:tc>
          <w:tcPr>
            <w:tcW w:w="6240" w:type="dxa"/>
            <w:vAlign w:val="bottom"/>
            <w:shd w:val="clear" w:color="auto" w:fill="E2E6F4"/>
          </w:tcPr>
          <w:p>
            <w:pPr>
              <w:ind w:left="200"/>
              <w:spacing w:after="0"/>
              <w:rPr>
                <w:sz w:val="20"/>
                <w:szCs w:val="20"/>
                <w:color w:val="auto"/>
              </w:rPr>
            </w:pPr>
            <w:r>
              <w:rPr>
                <w:rFonts w:ascii="Arial" w:cs="Arial" w:eastAsia="Arial" w:hAnsi="Arial"/>
                <w:sz w:val="18"/>
                <w:szCs w:val="18"/>
                <w:color w:val="auto"/>
              </w:rPr>
              <w:t>interests of shareholders, drive shareholder value, exercise sound</w:t>
            </w:r>
          </w:p>
        </w:tc>
        <w:tc>
          <w:tcPr>
            <w:tcW w:w="2300" w:type="dxa"/>
            <w:vAlign w:val="bottom"/>
            <w:shd w:val="clear" w:color="auto" w:fill="E2E6F4"/>
          </w:tcPr>
          <w:p>
            <w:pPr>
              <w:spacing w:after="0"/>
              <w:rPr>
                <w:sz w:val="18"/>
                <w:szCs w:val="18"/>
                <w:color w:val="auto"/>
              </w:rPr>
            </w:pPr>
          </w:p>
        </w:tc>
        <w:tc>
          <w:tcPr>
            <w:tcW w:w="1820" w:type="dxa"/>
            <w:vAlign w:val="bottom"/>
            <w:shd w:val="clear" w:color="auto" w:fill="E2E6F4"/>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shd w:val="clear" w:color="auto" w:fill="E2E6F4"/>
          </w:tcPr>
          <w:p>
            <w:pPr>
              <w:spacing w:after="0"/>
              <w:rPr>
                <w:sz w:val="18"/>
                <w:szCs w:val="18"/>
                <w:color w:val="auto"/>
              </w:rPr>
            </w:pPr>
          </w:p>
        </w:tc>
        <w:tc>
          <w:tcPr>
            <w:tcW w:w="6240" w:type="dxa"/>
            <w:vAlign w:val="bottom"/>
            <w:shd w:val="clear" w:color="auto" w:fill="E2E6F4"/>
          </w:tcPr>
          <w:p>
            <w:pPr>
              <w:ind w:left="200"/>
              <w:spacing w:after="0"/>
              <w:rPr>
                <w:sz w:val="20"/>
                <w:szCs w:val="20"/>
                <w:color w:val="auto"/>
              </w:rPr>
            </w:pPr>
            <w:r>
              <w:rPr>
                <w:rFonts w:ascii="Arial" w:cs="Arial" w:eastAsia="Arial" w:hAnsi="Arial"/>
                <w:sz w:val="18"/>
                <w:szCs w:val="18"/>
                <w:color w:val="auto"/>
              </w:rPr>
              <w:t>judgment, and reflect our corporate values of integrity, honesty, and</w:t>
            </w:r>
          </w:p>
        </w:tc>
        <w:tc>
          <w:tcPr>
            <w:tcW w:w="2300" w:type="dxa"/>
            <w:vAlign w:val="bottom"/>
            <w:shd w:val="clear" w:color="auto" w:fill="E2E6F4"/>
          </w:tcPr>
          <w:p>
            <w:pPr>
              <w:spacing w:after="0"/>
              <w:rPr>
                <w:sz w:val="18"/>
                <w:szCs w:val="18"/>
                <w:color w:val="auto"/>
              </w:rPr>
            </w:pPr>
          </w:p>
        </w:tc>
        <w:tc>
          <w:tcPr>
            <w:tcW w:w="1820" w:type="dxa"/>
            <w:vAlign w:val="bottom"/>
            <w:shd w:val="clear" w:color="auto" w:fill="E2E6F4"/>
          </w:tcPr>
          <w:p>
            <w:pPr>
              <w:spacing w:after="0"/>
              <w:rPr>
                <w:sz w:val="18"/>
                <w:szCs w:val="18"/>
                <w:color w:val="auto"/>
              </w:rPr>
            </w:pPr>
          </w:p>
        </w:tc>
        <w:tc>
          <w:tcPr>
            <w:tcW w:w="0" w:type="dxa"/>
            <w:vAlign w:val="bottom"/>
          </w:tcPr>
          <w:p>
            <w:pPr>
              <w:spacing w:after="0"/>
              <w:rPr>
                <w:sz w:val="1"/>
                <w:szCs w:val="1"/>
                <w:color w:val="auto"/>
              </w:rPr>
            </w:pPr>
          </w:p>
        </w:tc>
      </w:tr>
      <w:tr>
        <w:trPr>
          <w:trHeight w:val="239"/>
        </w:trPr>
        <w:tc>
          <w:tcPr>
            <w:tcW w:w="880" w:type="dxa"/>
            <w:vAlign w:val="bottom"/>
            <w:shd w:val="clear" w:color="auto" w:fill="E2E6F4"/>
          </w:tcPr>
          <w:p>
            <w:pPr>
              <w:spacing w:after="0"/>
              <w:rPr>
                <w:sz w:val="20"/>
                <w:szCs w:val="20"/>
                <w:color w:val="auto"/>
              </w:rPr>
            </w:pPr>
          </w:p>
        </w:tc>
        <w:tc>
          <w:tcPr>
            <w:tcW w:w="6240" w:type="dxa"/>
            <w:vAlign w:val="bottom"/>
            <w:shd w:val="clear" w:color="auto" w:fill="E2E6F4"/>
          </w:tcPr>
          <w:p>
            <w:pPr>
              <w:ind w:left="200"/>
              <w:spacing w:after="0"/>
              <w:rPr>
                <w:sz w:val="20"/>
                <w:szCs w:val="20"/>
                <w:color w:val="auto"/>
              </w:rPr>
            </w:pPr>
            <w:r>
              <w:rPr>
                <w:rFonts w:ascii="Arial" w:cs="Arial" w:eastAsia="Arial" w:hAnsi="Arial"/>
                <w:sz w:val="18"/>
                <w:szCs w:val="18"/>
                <w:color w:val="auto"/>
              </w:rPr>
              <w:t>adherence to high ethical standards</w:t>
            </w:r>
          </w:p>
        </w:tc>
        <w:tc>
          <w:tcPr>
            <w:tcW w:w="2300" w:type="dxa"/>
            <w:vAlign w:val="bottom"/>
            <w:shd w:val="clear" w:color="auto" w:fill="E2E6F4"/>
          </w:tcPr>
          <w:p>
            <w:pPr>
              <w:spacing w:after="0"/>
              <w:rPr>
                <w:sz w:val="20"/>
                <w:szCs w:val="20"/>
                <w:color w:val="auto"/>
              </w:rPr>
            </w:pPr>
          </w:p>
        </w:tc>
        <w:tc>
          <w:tcPr>
            <w:tcW w:w="1820" w:type="dxa"/>
            <w:vAlign w:val="bottom"/>
            <w:shd w:val="clear" w:color="auto" w:fill="E2E6F4"/>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880" w:type="dxa"/>
            <w:vAlign w:val="bottom"/>
            <w:shd w:val="clear" w:color="auto" w:fill="E2E6F4"/>
          </w:tcPr>
          <w:p>
            <w:pPr>
              <w:spacing w:after="0"/>
              <w:rPr>
                <w:sz w:val="17"/>
                <w:szCs w:val="17"/>
                <w:color w:val="auto"/>
              </w:rPr>
            </w:pPr>
          </w:p>
        </w:tc>
        <w:tc>
          <w:tcPr>
            <w:tcW w:w="6240" w:type="dxa"/>
            <w:vAlign w:val="bottom"/>
            <w:shd w:val="clear" w:color="auto" w:fill="E2E6F4"/>
          </w:tcPr>
          <w:p>
            <w:pPr>
              <w:spacing w:after="0"/>
              <w:rPr>
                <w:sz w:val="17"/>
                <w:szCs w:val="17"/>
                <w:color w:val="auto"/>
              </w:rPr>
            </w:pPr>
          </w:p>
        </w:tc>
        <w:tc>
          <w:tcPr>
            <w:tcW w:w="2300" w:type="dxa"/>
            <w:vAlign w:val="bottom"/>
            <w:shd w:val="clear" w:color="auto" w:fill="E2E6F4"/>
          </w:tcPr>
          <w:p>
            <w:pPr>
              <w:spacing w:after="0"/>
              <w:rPr>
                <w:sz w:val="17"/>
                <w:szCs w:val="17"/>
                <w:color w:val="auto"/>
              </w:rPr>
            </w:pPr>
          </w:p>
        </w:tc>
        <w:tc>
          <w:tcPr>
            <w:tcW w:w="1820" w:type="dxa"/>
            <w:vAlign w:val="bottom"/>
            <w:shd w:val="clear" w:color="auto" w:fill="E2E6F4"/>
          </w:tcPr>
          <w:p>
            <w:pPr>
              <w:spacing w:after="0"/>
              <w:rPr>
                <w:sz w:val="17"/>
                <w:szCs w:val="17"/>
                <w:color w:val="auto"/>
              </w:rPr>
            </w:pPr>
          </w:p>
        </w:tc>
        <w:tc>
          <w:tcPr>
            <w:tcW w:w="0" w:type="dxa"/>
            <w:vAlign w:val="bottom"/>
          </w:tcPr>
          <w:p>
            <w:pPr>
              <w:spacing w:after="0"/>
              <w:rPr>
                <w:sz w:val="1"/>
                <w:szCs w:val="1"/>
                <w:color w:val="auto"/>
              </w:rPr>
            </w:pPr>
          </w:p>
        </w:tc>
      </w:tr>
      <w:tr>
        <w:trPr>
          <w:trHeight w:val="332"/>
        </w:trPr>
        <w:tc>
          <w:tcPr>
            <w:tcW w:w="880" w:type="dxa"/>
            <w:vAlign w:val="bottom"/>
          </w:tcPr>
          <w:p>
            <w:pPr>
              <w:jc w:val="center"/>
              <w:spacing w:after="0"/>
              <w:rPr>
                <w:sz w:val="20"/>
                <w:szCs w:val="20"/>
                <w:color w:val="auto"/>
              </w:rPr>
            </w:pPr>
            <w:r>
              <w:rPr>
                <w:rFonts w:ascii="Arial" w:cs="Arial" w:eastAsia="Arial" w:hAnsi="Arial"/>
                <w:sz w:val="18"/>
                <w:szCs w:val="18"/>
                <w:b w:val="1"/>
                <w:bCs w:val="1"/>
                <w:color w:val="auto"/>
                <w:w w:val="99"/>
              </w:rPr>
              <w:t>2</w:t>
            </w:r>
          </w:p>
        </w:tc>
        <w:tc>
          <w:tcPr>
            <w:tcW w:w="6240" w:type="dxa"/>
            <w:vAlign w:val="bottom"/>
          </w:tcPr>
          <w:p>
            <w:pPr>
              <w:ind w:left="20"/>
              <w:spacing w:after="0"/>
              <w:rPr>
                <w:sz w:val="20"/>
                <w:szCs w:val="20"/>
                <w:color w:val="auto"/>
              </w:rPr>
            </w:pPr>
            <w:r>
              <w:rPr>
                <w:rFonts w:ascii="Arial" w:cs="Arial" w:eastAsia="Arial" w:hAnsi="Arial"/>
                <w:sz w:val="18"/>
                <w:szCs w:val="18"/>
                <w:b w:val="1"/>
                <w:bCs w:val="1"/>
                <w:color w:val="auto"/>
              </w:rPr>
              <w:t>Advisory Approval of the Compensation of our Named</w:t>
            </w:r>
          </w:p>
        </w:tc>
        <w:tc>
          <w:tcPr>
            <w:tcW w:w="2300" w:type="dxa"/>
            <w:vAlign w:val="bottom"/>
          </w:tcPr>
          <w:p>
            <w:pPr>
              <w:jc w:val="center"/>
              <w:spacing w:after="0"/>
              <w:rPr>
                <w:sz w:val="20"/>
                <w:szCs w:val="20"/>
                <w:color w:val="auto"/>
              </w:rPr>
            </w:pPr>
            <w:r>
              <w:rPr>
                <w:rFonts w:ascii="Arial" w:cs="Arial" w:eastAsia="Arial" w:hAnsi="Arial"/>
                <w:sz w:val="18"/>
                <w:szCs w:val="18"/>
                <w:color w:val="auto"/>
                <w:w w:val="99"/>
              </w:rPr>
              <w:t>FOR</w:t>
            </w:r>
          </w:p>
        </w:tc>
        <w:tc>
          <w:tcPr>
            <w:tcW w:w="1820" w:type="dxa"/>
            <w:vAlign w:val="bottom"/>
            <w:vMerge w:val="restart"/>
          </w:tcPr>
          <w:p>
            <w:pPr>
              <w:jc w:val="right"/>
              <w:ind w:right="773"/>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131"/>
        </w:trPr>
        <w:tc>
          <w:tcPr>
            <w:tcW w:w="880" w:type="dxa"/>
            <w:vAlign w:val="bottom"/>
          </w:tcPr>
          <w:p>
            <w:pPr>
              <w:spacing w:after="0"/>
              <w:rPr>
                <w:sz w:val="11"/>
                <w:szCs w:val="11"/>
                <w:color w:val="auto"/>
              </w:rPr>
            </w:pPr>
          </w:p>
        </w:tc>
        <w:tc>
          <w:tcPr>
            <w:tcW w:w="624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Executive Officers</w:t>
            </w:r>
          </w:p>
        </w:tc>
        <w:tc>
          <w:tcPr>
            <w:tcW w:w="2300" w:type="dxa"/>
            <w:vAlign w:val="bottom"/>
          </w:tcPr>
          <w:p>
            <w:pPr>
              <w:spacing w:after="0"/>
              <w:rPr>
                <w:sz w:val="11"/>
                <w:szCs w:val="11"/>
                <w:color w:val="auto"/>
              </w:rPr>
            </w:pPr>
          </w:p>
        </w:tc>
        <w:tc>
          <w:tcPr>
            <w:tcW w:w="18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16"/>
        </w:trPr>
        <w:tc>
          <w:tcPr>
            <w:tcW w:w="880" w:type="dxa"/>
            <w:vAlign w:val="bottom"/>
          </w:tcPr>
          <w:p>
            <w:pPr>
              <w:spacing w:after="0"/>
              <w:rPr>
                <w:sz w:val="10"/>
                <w:szCs w:val="10"/>
                <w:color w:val="auto"/>
              </w:rPr>
            </w:pPr>
          </w:p>
        </w:tc>
        <w:tc>
          <w:tcPr>
            <w:tcW w:w="6240" w:type="dxa"/>
            <w:vAlign w:val="bottom"/>
            <w:vMerge w:val="continue"/>
          </w:tcPr>
          <w:p>
            <w:pPr>
              <w:spacing w:after="0"/>
              <w:rPr>
                <w:sz w:val="10"/>
                <w:szCs w:val="10"/>
                <w:color w:val="auto"/>
              </w:rPr>
            </w:pPr>
          </w:p>
        </w:tc>
        <w:tc>
          <w:tcPr>
            <w:tcW w:w="2300" w:type="dxa"/>
            <w:vAlign w:val="bottom"/>
          </w:tcPr>
          <w:p>
            <w:pPr>
              <w:spacing w:after="0"/>
              <w:rPr>
                <w:sz w:val="10"/>
                <w:szCs w:val="10"/>
                <w:color w:val="auto"/>
              </w:rPr>
            </w:pPr>
          </w:p>
        </w:tc>
        <w:tc>
          <w:tcPr>
            <w:tcW w:w="182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77" w:lineRule="exact"/>
        <w:rPr>
          <w:sz w:val="20"/>
          <w:szCs w:val="20"/>
          <w:color w:val="auto"/>
        </w:rPr>
      </w:pPr>
    </w:p>
    <w:p>
      <w:pPr>
        <w:ind w:left="1080" w:right="4220" w:hanging="190"/>
        <w:spacing w:after="0" w:line="257" w:lineRule="auto"/>
        <w:tabs>
          <w:tab w:leader="none" w:pos="1037" w:val="left"/>
        </w:tabs>
        <w:numPr>
          <w:ilvl w:val="0"/>
          <w:numId w:val="18"/>
        </w:numPr>
        <w:rPr>
          <w:rFonts w:ascii="Arial" w:cs="Arial" w:eastAsia="Arial" w:hAnsi="Arial"/>
          <w:sz w:val="13"/>
          <w:szCs w:val="13"/>
          <w:color w:val="0067B3"/>
        </w:rPr>
      </w:pPr>
      <w:r>
        <w:rPr>
          <w:rFonts w:ascii="Arial" w:cs="Arial" w:eastAsia="Arial" w:hAnsi="Arial"/>
          <w:sz w:val="18"/>
          <w:szCs w:val="18"/>
          <w:color w:val="auto"/>
        </w:rPr>
        <w:t>Our executive compensation programs are designed to align pay outcomes with company performance, taking into account shareholder feedback and interests. The compensation paid to our named executive officers in 2025 was designed to drive continued successful operational and financial performance and to attract, motivate, reward, and retain top executive talent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118745</wp:posOffset>
            </wp:positionV>
            <wp:extent cx="7132320" cy="11055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2320" cy="1105535"/>
                    </a:xfrm>
                    <a:prstGeom prst="rect">
                      <a:avLst/>
                    </a:prstGeom>
                    <a:noFill/>
                  </pic:spPr>
                </pic:pic>
              </a:graphicData>
            </a:graphic>
          </wp:anchor>
        </w:drawing>
      </w:r>
    </w:p>
    <w:p>
      <w:pPr>
        <w:spacing w:after="0" w:line="284" w:lineRule="exact"/>
        <w:rPr>
          <w:sz w:val="20"/>
          <w:szCs w:val="20"/>
          <w:color w:val="auto"/>
        </w:rPr>
      </w:pPr>
    </w:p>
    <w:tbl>
      <w:tblPr>
        <w:tblLayout w:type="fixed"/>
        <w:tblInd w:w="400" w:type="dxa"/>
        <w:tblCellMar>
          <w:top w:w="0" w:type="dxa"/>
          <w:left w:w="0" w:type="dxa"/>
          <w:bottom w:w="0" w:type="dxa"/>
          <w:right w:w="0" w:type="dxa"/>
        </w:tblCellMar>
      </w:tblPr>
      <w:tr>
        <w:trPr>
          <w:trHeight w:val="216"/>
        </w:trPr>
        <w:tc>
          <w:tcPr>
            <w:tcW w:w="300" w:type="dxa"/>
            <w:vAlign w:val="bottom"/>
          </w:tcPr>
          <w:p>
            <w:pPr>
              <w:jc w:val="right"/>
              <w:ind w:right="110"/>
              <w:spacing w:after="0"/>
              <w:rPr>
                <w:sz w:val="20"/>
                <w:szCs w:val="20"/>
                <w:color w:val="auto"/>
              </w:rPr>
            </w:pPr>
            <w:r>
              <w:rPr>
                <w:rFonts w:ascii="Arial" w:cs="Arial" w:eastAsia="Arial" w:hAnsi="Arial"/>
                <w:sz w:val="18"/>
                <w:szCs w:val="18"/>
                <w:b w:val="1"/>
                <w:bCs w:val="1"/>
                <w:color w:val="auto"/>
                <w:w w:val="79"/>
              </w:rPr>
              <w:t>3</w:t>
            </w:r>
          </w:p>
        </w:tc>
        <w:tc>
          <w:tcPr>
            <w:tcW w:w="6580" w:type="dxa"/>
            <w:vAlign w:val="bottom"/>
          </w:tcPr>
          <w:p>
            <w:pPr>
              <w:ind w:left="200"/>
              <w:spacing w:after="0"/>
              <w:rPr>
                <w:sz w:val="20"/>
                <w:szCs w:val="20"/>
                <w:color w:val="auto"/>
              </w:rPr>
            </w:pPr>
            <w:r>
              <w:rPr>
                <w:rFonts w:ascii="Arial" w:cs="Arial" w:eastAsia="Arial" w:hAnsi="Arial"/>
                <w:sz w:val="18"/>
                <w:szCs w:val="18"/>
                <w:b w:val="1"/>
                <w:bCs w:val="1"/>
                <w:color w:val="auto"/>
              </w:rPr>
              <w:t>Ratification of the Selection of Ernst &amp; Young LLP as Independent</w:t>
            </w:r>
          </w:p>
        </w:tc>
        <w:tc>
          <w:tcPr>
            <w:tcW w:w="2020" w:type="dxa"/>
            <w:vAlign w:val="bottom"/>
          </w:tcPr>
          <w:p>
            <w:pPr>
              <w:ind w:left="760"/>
              <w:spacing w:after="0"/>
              <w:rPr>
                <w:sz w:val="20"/>
                <w:szCs w:val="20"/>
                <w:color w:val="auto"/>
              </w:rPr>
            </w:pPr>
            <w:r>
              <w:rPr>
                <w:rFonts w:ascii="Arial" w:cs="Arial" w:eastAsia="Arial" w:hAnsi="Arial"/>
                <w:sz w:val="18"/>
                <w:szCs w:val="18"/>
                <w:color w:val="auto"/>
              </w:rPr>
              <w:t>FOR</w:t>
            </w:r>
          </w:p>
        </w:tc>
        <w:tc>
          <w:tcPr>
            <w:tcW w:w="1080" w:type="dxa"/>
            <w:vAlign w:val="bottom"/>
            <w:vMerge w:val="restart"/>
          </w:tcPr>
          <w:p>
            <w:pPr>
              <w:jc w:val="right"/>
              <w:spacing w:after="0"/>
              <w:rPr>
                <w:sz w:val="20"/>
                <w:szCs w:val="20"/>
                <w:color w:val="auto"/>
              </w:rPr>
            </w:pPr>
            <w:r>
              <w:rPr>
                <w:rFonts w:ascii="Arial" w:cs="Arial" w:eastAsia="Arial" w:hAnsi="Arial"/>
                <w:sz w:val="18"/>
                <w:szCs w:val="18"/>
                <w:color w:val="auto"/>
              </w:rPr>
              <w:t>72</w:t>
            </w:r>
          </w:p>
        </w:tc>
        <w:tc>
          <w:tcPr>
            <w:tcW w:w="0" w:type="dxa"/>
            <w:vAlign w:val="bottom"/>
          </w:tcPr>
          <w:p>
            <w:pPr>
              <w:spacing w:after="0"/>
              <w:rPr>
                <w:sz w:val="1"/>
                <w:szCs w:val="1"/>
                <w:color w:val="auto"/>
              </w:rPr>
            </w:pPr>
          </w:p>
        </w:tc>
      </w:tr>
      <w:tr>
        <w:trPr>
          <w:trHeight w:val="131"/>
        </w:trPr>
        <w:tc>
          <w:tcPr>
            <w:tcW w:w="300" w:type="dxa"/>
            <w:vAlign w:val="bottom"/>
          </w:tcPr>
          <w:p>
            <w:pPr>
              <w:spacing w:after="0"/>
              <w:rPr>
                <w:sz w:val="11"/>
                <w:szCs w:val="11"/>
                <w:color w:val="auto"/>
              </w:rPr>
            </w:pPr>
          </w:p>
        </w:tc>
        <w:tc>
          <w:tcPr>
            <w:tcW w:w="6580" w:type="dxa"/>
            <w:vAlign w:val="bottom"/>
            <w:vMerge w:val="restart"/>
          </w:tcPr>
          <w:p>
            <w:pPr>
              <w:ind w:left="200"/>
              <w:spacing w:after="0"/>
              <w:rPr>
                <w:sz w:val="20"/>
                <w:szCs w:val="20"/>
                <w:color w:val="auto"/>
              </w:rPr>
            </w:pPr>
            <w:r>
              <w:rPr>
                <w:rFonts w:ascii="Arial" w:cs="Arial" w:eastAsia="Arial" w:hAnsi="Arial"/>
                <w:sz w:val="18"/>
                <w:szCs w:val="18"/>
                <w:b w:val="1"/>
                <w:bCs w:val="1"/>
                <w:color w:val="auto"/>
              </w:rPr>
              <w:t>Registered Public Accounting Firm for our Fiscal Year Ending</w:t>
            </w:r>
          </w:p>
        </w:tc>
        <w:tc>
          <w:tcPr>
            <w:tcW w:w="2020" w:type="dxa"/>
            <w:vAlign w:val="bottom"/>
          </w:tcPr>
          <w:p>
            <w:pPr>
              <w:spacing w:after="0"/>
              <w:rPr>
                <w:sz w:val="11"/>
                <w:szCs w:val="11"/>
                <w:color w:val="auto"/>
              </w:rPr>
            </w:pPr>
          </w:p>
        </w:tc>
        <w:tc>
          <w:tcPr>
            <w:tcW w:w="10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3"/>
        </w:trPr>
        <w:tc>
          <w:tcPr>
            <w:tcW w:w="300" w:type="dxa"/>
            <w:vAlign w:val="bottom"/>
          </w:tcPr>
          <w:p>
            <w:pPr>
              <w:spacing w:after="0"/>
              <w:rPr>
                <w:sz w:val="8"/>
                <w:szCs w:val="8"/>
                <w:color w:val="auto"/>
              </w:rPr>
            </w:pPr>
          </w:p>
        </w:tc>
        <w:tc>
          <w:tcPr>
            <w:tcW w:w="6580" w:type="dxa"/>
            <w:vAlign w:val="bottom"/>
            <w:vMerge w:val="continue"/>
          </w:tcPr>
          <w:p>
            <w:pPr>
              <w:spacing w:after="0"/>
              <w:rPr>
                <w:sz w:val="8"/>
                <w:szCs w:val="8"/>
                <w:color w:val="auto"/>
              </w:rPr>
            </w:pPr>
          </w:p>
        </w:tc>
        <w:tc>
          <w:tcPr>
            <w:tcW w:w="2020" w:type="dxa"/>
            <w:vAlign w:val="bottom"/>
          </w:tcPr>
          <w:p>
            <w:pPr>
              <w:spacing w:after="0"/>
              <w:rPr>
                <w:sz w:val="8"/>
                <w:szCs w:val="8"/>
                <w:color w:val="auto"/>
              </w:rPr>
            </w:pPr>
          </w:p>
        </w:tc>
        <w:tc>
          <w:tcPr>
            <w:tcW w:w="1080" w:type="dxa"/>
            <w:vAlign w:val="bottom"/>
          </w:tcPr>
          <w:p>
            <w:pPr>
              <w:spacing w:after="0"/>
              <w:rPr>
                <w:sz w:val="8"/>
                <w:szCs w:val="8"/>
                <w:color w:val="auto"/>
              </w:rPr>
            </w:pPr>
          </w:p>
        </w:tc>
        <w:tc>
          <w:tcPr>
            <w:tcW w:w="0" w:type="dxa"/>
            <w:vAlign w:val="bottom"/>
          </w:tcPr>
          <w:p>
            <w:pPr>
              <w:spacing w:after="0"/>
              <w:rPr>
                <w:sz w:val="1"/>
                <w:szCs w:val="1"/>
                <w:color w:val="auto"/>
              </w:rPr>
            </w:pPr>
          </w:p>
        </w:tc>
      </w:tr>
    </w:tbl>
    <w:p>
      <w:pPr>
        <w:ind w:left="900"/>
        <w:spacing w:after="0"/>
        <w:rPr>
          <w:sz w:val="20"/>
          <w:szCs w:val="20"/>
          <w:color w:val="auto"/>
        </w:rPr>
      </w:pPr>
      <w:r>
        <w:rPr>
          <w:rFonts w:ascii="Arial" w:cs="Arial" w:eastAsia="Arial" w:hAnsi="Arial"/>
          <w:sz w:val="18"/>
          <w:szCs w:val="18"/>
          <w:b w:val="1"/>
          <w:bCs w:val="1"/>
          <w:color w:val="auto"/>
        </w:rPr>
        <w:t>October 31, 2026</w:t>
      </w:r>
    </w:p>
    <w:p>
      <w:pPr>
        <w:spacing w:after="0" w:line="99" w:lineRule="exact"/>
        <w:rPr>
          <w:sz w:val="20"/>
          <w:szCs w:val="20"/>
          <w:color w:val="auto"/>
        </w:rPr>
      </w:pPr>
    </w:p>
    <w:p>
      <w:pPr>
        <w:ind w:left="1080" w:right="4520" w:hanging="190"/>
        <w:spacing w:after="0" w:line="268" w:lineRule="auto"/>
        <w:tabs>
          <w:tab w:leader="none" w:pos="1037" w:val="left"/>
        </w:tabs>
        <w:numPr>
          <w:ilvl w:val="0"/>
          <w:numId w:val="19"/>
        </w:numPr>
        <w:rPr>
          <w:rFonts w:ascii="Arial" w:cs="Arial" w:eastAsia="Arial" w:hAnsi="Arial"/>
          <w:sz w:val="13"/>
          <w:szCs w:val="13"/>
          <w:color w:val="0067B3"/>
        </w:rPr>
      </w:pPr>
      <w:r>
        <w:rPr>
          <w:rFonts w:ascii="Arial" w:cs="Arial" w:eastAsia="Arial" w:hAnsi="Arial"/>
          <w:sz w:val="18"/>
          <w:szCs w:val="18"/>
          <w:color w:val="auto"/>
        </w:rPr>
        <w:t>Ernst &amp; Young LLP is an independent auditing firm with the required knowledge and experience to effectively audit our financial statements. Audit and non-audit services are pre-approved by the Audit Committee</w:t>
      </w:r>
    </w:p>
    <w:p>
      <w:pPr>
        <w:spacing w:after="0" w:line="292" w:lineRule="exact"/>
        <w:rPr>
          <w:sz w:val="20"/>
          <w:szCs w:val="20"/>
          <w:color w:val="auto"/>
        </w:rPr>
      </w:pPr>
    </w:p>
    <w:tbl>
      <w:tblPr>
        <w:tblLayout w:type="fixed"/>
        <w:tblInd w:w="400" w:type="dxa"/>
        <w:tblCellMar>
          <w:top w:w="0" w:type="dxa"/>
          <w:left w:w="0" w:type="dxa"/>
          <w:bottom w:w="0" w:type="dxa"/>
          <w:right w:w="0" w:type="dxa"/>
        </w:tblCellMar>
      </w:tblPr>
      <w:tr>
        <w:trPr>
          <w:trHeight w:val="216"/>
        </w:trPr>
        <w:tc>
          <w:tcPr>
            <w:tcW w:w="300" w:type="dxa"/>
            <w:vAlign w:val="bottom"/>
          </w:tcPr>
          <w:p>
            <w:pPr>
              <w:jc w:val="right"/>
              <w:ind w:right="110"/>
              <w:spacing w:after="0"/>
              <w:rPr>
                <w:sz w:val="20"/>
                <w:szCs w:val="20"/>
                <w:color w:val="auto"/>
              </w:rPr>
            </w:pPr>
            <w:r>
              <w:rPr>
                <w:rFonts w:ascii="Arial" w:cs="Arial" w:eastAsia="Arial" w:hAnsi="Arial"/>
                <w:sz w:val="18"/>
                <w:szCs w:val="18"/>
                <w:b w:val="1"/>
                <w:bCs w:val="1"/>
                <w:color w:val="auto"/>
                <w:w w:val="79"/>
              </w:rPr>
              <w:t>4</w:t>
            </w:r>
          </w:p>
        </w:tc>
        <w:tc>
          <w:tcPr>
            <w:tcW w:w="6580" w:type="dxa"/>
            <w:vAlign w:val="bottom"/>
          </w:tcPr>
          <w:p>
            <w:pPr>
              <w:ind w:left="200"/>
              <w:spacing w:after="0"/>
              <w:rPr>
                <w:sz w:val="20"/>
                <w:szCs w:val="20"/>
                <w:color w:val="auto"/>
              </w:rPr>
            </w:pPr>
            <w:r>
              <w:rPr>
                <w:rFonts w:ascii="Arial" w:cs="Arial" w:eastAsia="Arial" w:hAnsi="Arial"/>
                <w:sz w:val="18"/>
                <w:szCs w:val="18"/>
                <w:b w:val="1"/>
                <w:bCs w:val="1"/>
                <w:color w:val="auto"/>
              </w:rPr>
              <w:t>Approval of the Amended and Restated Analog Devices, Inc. 2020</w:t>
            </w:r>
          </w:p>
        </w:tc>
        <w:tc>
          <w:tcPr>
            <w:tcW w:w="2020" w:type="dxa"/>
            <w:vAlign w:val="bottom"/>
          </w:tcPr>
          <w:p>
            <w:pPr>
              <w:ind w:left="760"/>
              <w:spacing w:after="0"/>
              <w:rPr>
                <w:sz w:val="20"/>
                <w:szCs w:val="20"/>
                <w:color w:val="auto"/>
              </w:rPr>
            </w:pPr>
            <w:r>
              <w:rPr>
                <w:rFonts w:ascii="Arial" w:cs="Arial" w:eastAsia="Arial" w:hAnsi="Arial"/>
                <w:sz w:val="18"/>
                <w:szCs w:val="18"/>
                <w:color w:val="auto"/>
              </w:rPr>
              <w:t>FOR</w:t>
            </w:r>
          </w:p>
        </w:tc>
        <w:tc>
          <w:tcPr>
            <w:tcW w:w="1080" w:type="dxa"/>
            <w:vAlign w:val="bottom"/>
            <w:vMerge w:val="restart"/>
          </w:tcPr>
          <w:p>
            <w:pPr>
              <w:jc w:val="right"/>
              <w:spacing w:after="0"/>
              <w:rPr>
                <w:sz w:val="20"/>
                <w:szCs w:val="20"/>
                <w:color w:val="auto"/>
              </w:rPr>
            </w:pPr>
            <w:r>
              <w:rPr>
                <w:rFonts w:ascii="Arial" w:cs="Arial" w:eastAsia="Arial" w:hAnsi="Arial"/>
                <w:sz w:val="18"/>
                <w:szCs w:val="18"/>
                <w:color w:val="auto"/>
              </w:rPr>
              <w:t>79</w:t>
            </w:r>
          </w:p>
        </w:tc>
        <w:tc>
          <w:tcPr>
            <w:tcW w:w="0" w:type="dxa"/>
            <w:vAlign w:val="bottom"/>
          </w:tcPr>
          <w:p>
            <w:pPr>
              <w:spacing w:after="0"/>
              <w:rPr>
                <w:sz w:val="1"/>
                <w:szCs w:val="1"/>
                <w:color w:val="auto"/>
              </w:rPr>
            </w:pPr>
          </w:p>
        </w:tc>
      </w:tr>
      <w:tr>
        <w:trPr>
          <w:trHeight w:val="131"/>
        </w:trPr>
        <w:tc>
          <w:tcPr>
            <w:tcW w:w="300" w:type="dxa"/>
            <w:vAlign w:val="bottom"/>
          </w:tcPr>
          <w:p>
            <w:pPr>
              <w:spacing w:after="0"/>
              <w:rPr>
                <w:sz w:val="11"/>
                <w:szCs w:val="11"/>
                <w:color w:val="auto"/>
              </w:rPr>
            </w:pPr>
          </w:p>
        </w:tc>
        <w:tc>
          <w:tcPr>
            <w:tcW w:w="6580" w:type="dxa"/>
            <w:vAlign w:val="bottom"/>
            <w:vMerge w:val="restart"/>
          </w:tcPr>
          <w:p>
            <w:pPr>
              <w:ind w:left="200"/>
              <w:spacing w:after="0"/>
              <w:rPr>
                <w:sz w:val="20"/>
                <w:szCs w:val="20"/>
                <w:color w:val="auto"/>
              </w:rPr>
            </w:pPr>
            <w:r>
              <w:rPr>
                <w:rFonts w:ascii="Arial" w:cs="Arial" w:eastAsia="Arial" w:hAnsi="Arial"/>
                <w:sz w:val="18"/>
                <w:szCs w:val="18"/>
                <w:b w:val="1"/>
                <w:bCs w:val="1"/>
                <w:color w:val="auto"/>
              </w:rPr>
              <w:t>Equity Incentive Plan</w:t>
            </w:r>
          </w:p>
        </w:tc>
        <w:tc>
          <w:tcPr>
            <w:tcW w:w="2020" w:type="dxa"/>
            <w:vAlign w:val="bottom"/>
          </w:tcPr>
          <w:p>
            <w:pPr>
              <w:spacing w:after="0"/>
              <w:rPr>
                <w:sz w:val="11"/>
                <w:szCs w:val="11"/>
                <w:color w:val="auto"/>
              </w:rPr>
            </w:pPr>
          </w:p>
        </w:tc>
        <w:tc>
          <w:tcPr>
            <w:tcW w:w="10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16"/>
        </w:trPr>
        <w:tc>
          <w:tcPr>
            <w:tcW w:w="300" w:type="dxa"/>
            <w:vAlign w:val="bottom"/>
          </w:tcPr>
          <w:p>
            <w:pPr>
              <w:spacing w:after="0"/>
              <w:rPr>
                <w:sz w:val="10"/>
                <w:szCs w:val="10"/>
                <w:color w:val="auto"/>
              </w:rPr>
            </w:pPr>
          </w:p>
        </w:tc>
        <w:tc>
          <w:tcPr>
            <w:tcW w:w="6580" w:type="dxa"/>
            <w:vAlign w:val="bottom"/>
            <w:vMerge w:val="continue"/>
          </w:tcPr>
          <w:p>
            <w:pPr>
              <w:spacing w:after="0"/>
              <w:rPr>
                <w:sz w:val="10"/>
                <w:szCs w:val="10"/>
                <w:color w:val="auto"/>
              </w:rPr>
            </w:pPr>
          </w:p>
        </w:tc>
        <w:tc>
          <w:tcPr>
            <w:tcW w:w="202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77" w:lineRule="exact"/>
        <w:rPr>
          <w:sz w:val="20"/>
          <w:szCs w:val="20"/>
          <w:color w:val="auto"/>
        </w:rPr>
      </w:pPr>
    </w:p>
    <w:p>
      <w:pPr>
        <w:ind w:left="1080" w:right="4240" w:hanging="190"/>
        <w:spacing w:after="0" w:line="262" w:lineRule="auto"/>
        <w:tabs>
          <w:tab w:leader="none" w:pos="1037" w:val="left"/>
        </w:tabs>
        <w:numPr>
          <w:ilvl w:val="0"/>
          <w:numId w:val="20"/>
        </w:numPr>
        <w:rPr>
          <w:rFonts w:ascii="Arial" w:cs="Arial" w:eastAsia="Arial" w:hAnsi="Arial"/>
          <w:sz w:val="13"/>
          <w:szCs w:val="13"/>
          <w:color w:val="0067B3"/>
        </w:rPr>
      </w:pPr>
      <w:r>
        <w:rPr>
          <w:rFonts w:ascii="Arial" w:cs="Arial" w:eastAsia="Arial" w:hAnsi="Arial"/>
          <w:sz w:val="18"/>
          <w:szCs w:val="18"/>
          <w:color w:val="auto"/>
        </w:rPr>
        <w:t>Our Board of Directors believes that our success depends, in large part, on our ability to maintain a competitive position by attracting, retaining, and motivating key employees with experience and ability and that our stock-based compensation programs are central to this objective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115570</wp:posOffset>
            </wp:positionV>
            <wp:extent cx="7132320" cy="6946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2320" cy="694690"/>
                    </a:xfrm>
                    <a:prstGeom prst="rect">
                      <a:avLst/>
                    </a:prstGeom>
                    <a:noFill/>
                  </pic:spPr>
                </pic:pic>
              </a:graphicData>
            </a:graphic>
          </wp:anchor>
        </w:drawing>
      </w:r>
    </w:p>
    <w:p>
      <w:pPr>
        <w:spacing w:after="0" w:line="278" w:lineRule="exact"/>
        <w:rPr>
          <w:sz w:val="20"/>
          <w:szCs w:val="20"/>
          <w:color w:val="auto"/>
        </w:rPr>
      </w:pPr>
    </w:p>
    <w:tbl>
      <w:tblPr>
        <w:tblLayout w:type="fixed"/>
        <w:tblInd w:w="400" w:type="dxa"/>
        <w:tblCellMar>
          <w:top w:w="0" w:type="dxa"/>
          <w:left w:w="0" w:type="dxa"/>
          <w:bottom w:w="0" w:type="dxa"/>
          <w:right w:w="0" w:type="dxa"/>
        </w:tblCellMar>
      </w:tblPr>
      <w:tr>
        <w:trPr>
          <w:trHeight w:val="247"/>
        </w:trPr>
        <w:tc>
          <w:tcPr>
            <w:tcW w:w="300" w:type="dxa"/>
            <w:vAlign w:val="bottom"/>
          </w:tcPr>
          <w:p>
            <w:pPr>
              <w:jc w:val="right"/>
              <w:ind w:right="110"/>
              <w:spacing w:after="0"/>
              <w:rPr>
                <w:sz w:val="20"/>
                <w:szCs w:val="20"/>
                <w:color w:val="auto"/>
              </w:rPr>
            </w:pPr>
            <w:r>
              <w:rPr>
                <w:rFonts w:ascii="Arial" w:cs="Arial" w:eastAsia="Arial" w:hAnsi="Arial"/>
                <w:sz w:val="18"/>
                <w:szCs w:val="18"/>
                <w:b w:val="1"/>
                <w:bCs w:val="1"/>
                <w:color w:val="auto"/>
                <w:w w:val="79"/>
              </w:rPr>
              <w:t>5</w:t>
            </w:r>
          </w:p>
        </w:tc>
        <w:tc>
          <w:tcPr>
            <w:tcW w:w="4600" w:type="dxa"/>
            <w:vAlign w:val="bottom"/>
          </w:tcPr>
          <w:p>
            <w:pPr>
              <w:ind w:left="200"/>
              <w:spacing w:after="0"/>
              <w:rPr>
                <w:sz w:val="20"/>
                <w:szCs w:val="20"/>
                <w:color w:val="auto"/>
              </w:rPr>
            </w:pPr>
            <w:r>
              <w:rPr>
                <w:rFonts w:ascii="Arial" w:cs="Arial" w:eastAsia="Arial" w:hAnsi="Arial"/>
                <w:sz w:val="18"/>
                <w:szCs w:val="18"/>
                <w:b w:val="1"/>
                <w:bCs w:val="1"/>
                <w:color w:val="auto"/>
              </w:rPr>
              <w:t>Shareholder Proposal</w:t>
            </w:r>
          </w:p>
        </w:tc>
        <w:tc>
          <w:tcPr>
            <w:tcW w:w="4100" w:type="dxa"/>
            <w:vAlign w:val="bottom"/>
          </w:tcPr>
          <w:p>
            <w:pPr>
              <w:ind w:left="2520"/>
              <w:spacing w:after="0"/>
              <w:rPr>
                <w:sz w:val="20"/>
                <w:szCs w:val="20"/>
                <w:color w:val="auto"/>
              </w:rPr>
            </w:pPr>
            <w:r>
              <w:rPr>
                <w:rFonts w:ascii="Arial" w:cs="Arial" w:eastAsia="Arial" w:hAnsi="Arial"/>
                <w:sz w:val="18"/>
                <w:szCs w:val="18"/>
                <w:color w:val="auto"/>
              </w:rPr>
              <w:t>AGAINST</w:t>
            </w:r>
          </w:p>
        </w:tc>
        <w:tc>
          <w:tcPr>
            <w:tcW w:w="980" w:type="dxa"/>
            <w:vAlign w:val="bottom"/>
            <w:vMerge w:val="restart"/>
          </w:tcPr>
          <w:p>
            <w:pPr>
              <w:jc w:val="right"/>
              <w:spacing w:after="0"/>
              <w:rPr>
                <w:sz w:val="20"/>
                <w:szCs w:val="20"/>
                <w:color w:val="auto"/>
              </w:rPr>
            </w:pPr>
            <w:r>
              <w:rPr>
                <w:rFonts w:ascii="Arial" w:cs="Arial" w:eastAsia="Arial" w:hAnsi="Arial"/>
                <w:sz w:val="18"/>
                <w:szCs w:val="18"/>
                <w:color w:val="auto"/>
              </w:rPr>
              <w:t>90</w:t>
            </w:r>
          </w:p>
        </w:tc>
        <w:tc>
          <w:tcPr>
            <w:tcW w:w="0" w:type="dxa"/>
            <w:vAlign w:val="bottom"/>
          </w:tcPr>
          <w:p>
            <w:pPr>
              <w:spacing w:after="0"/>
              <w:rPr>
                <w:sz w:val="1"/>
                <w:szCs w:val="1"/>
                <w:color w:val="auto"/>
              </w:rPr>
            </w:pPr>
          </w:p>
        </w:tc>
      </w:tr>
      <w:tr>
        <w:trPr>
          <w:trHeight w:val="95"/>
        </w:trPr>
        <w:tc>
          <w:tcPr>
            <w:tcW w:w="300" w:type="dxa"/>
            <w:vAlign w:val="bottom"/>
          </w:tcPr>
          <w:p>
            <w:pPr>
              <w:spacing w:after="0"/>
              <w:rPr>
                <w:sz w:val="8"/>
                <w:szCs w:val="8"/>
                <w:color w:val="auto"/>
              </w:rPr>
            </w:pPr>
          </w:p>
        </w:tc>
        <w:tc>
          <w:tcPr>
            <w:tcW w:w="4600" w:type="dxa"/>
            <w:vAlign w:val="bottom"/>
          </w:tcPr>
          <w:p>
            <w:pPr>
              <w:spacing w:after="0"/>
              <w:rPr>
                <w:sz w:val="8"/>
                <w:szCs w:val="8"/>
                <w:color w:val="auto"/>
              </w:rPr>
            </w:pPr>
          </w:p>
        </w:tc>
        <w:tc>
          <w:tcPr>
            <w:tcW w:w="4100" w:type="dxa"/>
            <w:vAlign w:val="bottom"/>
          </w:tcPr>
          <w:p>
            <w:pPr>
              <w:spacing w:after="0"/>
              <w:rPr>
                <w:sz w:val="8"/>
                <w:szCs w:val="8"/>
                <w:color w:val="auto"/>
              </w:rPr>
            </w:pPr>
          </w:p>
        </w:tc>
        <w:tc>
          <w:tcPr>
            <w:tcW w:w="9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bl>
    <w:p>
      <w:pPr>
        <w:ind w:left="1080" w:right="4300" w:hanging="190"/>
        <w:spacing w:after="0" w:line="266" w:lineRule="auto"/>
        <w:tabs>
          <w:tab w:leader="none" w:pos="1037" w:val="left"/>
        </w:tabs>
        <w:numPr>
          <w:ilvl w:val="0"/>
          <w:numId w:val="21"/>
        </w:numPr>
        <w:rPr>
          <w:rFonts w:ascii="Arial" w:cs="Arial" w:eastAsia="Arial" w:hAnsi="Arial"/>
          <w:sz w:val="13"/>
          <w:szCs w:val="13"/>
          <w:color w:val="0067B3"/>
        </w:rPr>
      </w:pPr>
      <w:r>
        <w:rPr>
          <w:rFonts w:ascii="Arial" w:cs="Arial" w:eastAsia="Arial" w:hAnsi="Arial"/>
          <w:sz w:val="18"/>
          <w:szCs w:val="18"/>
          <w:color w:val="auto"/>
        </w:rPr>
        <w:t>Our Board of Directors recommends that shareholders vote AGAINST this shareholder proposal, if properly presented at the Annual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112395</wp:posOffset>
            </wp:positionV>
            <wp:extent cx="7132320"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73"/>
        </w:trPr>
        <w:tc>
          <w:tcPr>
            <w:tcW w:w="10840" w:type="dxa"/>
            <w:vAlign w:val="bottom"/>
          </w:tcPr>
          <w:p>
            <w:pPr>
              <w:ind w:left="8980"/>
              <w:spacing w:after="0"/>
              <w:rPr>
                <w:sz w:val="20"/>
                <w:szCs w:val="20"/>
                <w:color w:val="auto"/>
              </w:rPr>
            </w:pPr>
            <w:r>
              <w:rPr>
                <w:rFonts w:ascii="Arial" w:cs="Arial" w:eastAsia="Arial" w:hAnsi="Arial"/>
                <w:sz w:val="16"/>
                <w:szCs w:val="16"/>
                <w:color w:val="0067B3"/>
              </w:rPr>
              <w:t>2026 Proxy Statement</w:t>
            </w:r>
          </w:p>
        </w:tc>
        <w:tc>
          <w:tcPr>
            <w:tcW w:w="400" w:type="dxa"/>
            <w:vAlign w:val="bottom"/>
          </w:tcPr>
          <w:p>
            <w:pPr>
              <w:jc w:val="right"/>
              <w:spacing w:after="0"/>
              <w:rPr>
                <w:sz w:val="20"/>
                <w:szCs w:val="20"/>
                <w:color w:val="auto"/>
              </w:rPr>
            </w:pPr>
            <w:r>
              <w:rPr>
                <w:rFonts w:ascii="Arial" w:cs="Arial" w:eastAsia="Arial" w:hAnsi="Arial"/>
                <w:sz w:val="20"/>
                <w:szCs w:val="20"/>
                <w:b w:val="1"/>
                <w:bCs w:val="1"/>
                <w:color w:val="auto"/>
              </w:rPr>
              <w:t>7</w:t>
            </w:r>
          </w:p>
        </w:tc>
      </w:tr>
      <w:tr>
        <w:trPr>
          <w:trHeight w:val="324"/>
        </w:trPr>
        <w:tc>
          <w:tcPr>
            <w:tcW w:w="1084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356" w:right="339" w:bottom="1440" w:gutter="0" w:footer="0" w:header="0"/>
        </w:sectPr>
      </w:pPr>
    </w:p>
    <w:bookmarkStart w:id="14" w:name="page15"/>
    <w:bookmarkEnd w:id="14"/>
    <w:p>
      <w:pPr>
        <w:spacing w:after="0"/>
        <w:rPr>
          <w:sz w:val="20"/>
          <w:szCs w:val="20"/>
          <w:color w:val="auto"/>
        </w:rPr>
      </w:pPr>
      <w:r>
        <w:rPr>
          <w:rFonts w:ascii="Arial" w:cs="Arial" w:eastAsia="Arial" w:hAnsi="Arial"/>
          <w:sz w:val="58"/>
          <w:szCs w:val="58"/>
          <w:color w:val="auto"/>
        </w:rPr>
        <w:t>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347345</wp:posOffset>
            </wp:positionV>
            <wp:extent cx="7132320" cy="14484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32320" cy="14484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220"/>
        <w:spacing w:after="0"/>
        <w:rPr>
          <w:sz w:val="20"/>
          <w:szCs w:val="20"/>
          <w:color w:val="auto"/>
        </w:rPr>
      </w:pPr>
      <w:r>
        <w:rPr>
          <w:rFonts w:ascii="Arial" w:cs="Arial" w:eastAsia="Arial" w:hAnsi="Arial"/>
          <w:sz w:val="18"/>
          <w:szCs w:val="18"/>
          <w:b w:val="1"/>
          <w:bCs w:val="1"/>
          <w:color w:val="0067B3"/>
        </w:rPr>
        <w:t>PROPOSAL 1</w:t>
      </w:r>
    </w:p>
    <w:p>
      <w:pPr>
        <w:spacing w:after="0" w:line="106" w:lineRule="exact"/>
        <w:rPr>
          <w:sz w:val="20"/>
          <w:szCs w:val="20"/>
          <w:color w:val="auto"/>
        </w:rPr>
      </w:pPr>
    </w:p>
    <w:p>
      <w:pPr>
        <w:ind w:left="220"/>
        <w:spacing w:after="0"/>
        <w:rPr>
          <w:sz w:val="20"/>
          <w:szCs w:val="20"/>
          <w:color w:val="auto"/>
        </w:rPr>
      </w:pPr>
      <w:r>
        <w:rPr>
          <w:rFonts w:ascii="Arial" w:cs="Arial" w:eastAsia="Arial" w:hAnsi="Arial"/>
          <w:sz w:val="32"/>
          <w:szCs w:val="32"/>
          <w:b w:val="1"/>
          <w:bCs w:val="1"/>
          <w:color w:val="auto"/>
        </w:rPr>
        <w:t>Election of Directors</w:t>
      </w:r>
    </w:p>
    <w:p>
      <w:pPr>
        <w:spacing w:after="0" w:line="362" w:lineRule="exact"/>
        <w:rPr>
          <w:sz w:val="20"/>
          <w:szCs w:val="20"/>
          <w:color w:val="auto"/>
        </w:rPr>
      </w:pPr>
    </w:p>
    <w:p>
      <w:pPr>
        <w:ind w:left="220" w:right="540"/>
        <w:spacing w:after="0" w:line="298" w:lineRule="auto"/>
        <w:rPr>
          <w:sz w:val="20"/>
          <w:szCs w:val="20"/>
          <w:color w:val="auto"/>
        </w:rPr>
      </w:pPr>
      <w:r>
        <w:rPr>
          <w:rFonts w:ascii="Arial" w:cs="Arial" w:eastAsia="Arial" w:hAnsi="Arial"/>
          <w:sz w:val="27"/>
          <w:szCs w:val="27"/>
          <w:b w:val="1"/>
          <w:bCs w:val="1"/>
          <w:color w:val="0067B3"/>
        </w:rPr>
        <w:t>Our Board of Directors recommends that you vote FOR the election of each of the below director nominees.</w:t>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our director nominees:</w:t>
      </w: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2780" w:type="dxa"/>
            <w:vAlign w:val="bottom"/>
            <w:shd w:val="clear" w:color="auto" w:fill="0067B3"/>
          </w:tcPr>
          <w:p>
            <w:pPr>
              <w:ind w:left="20"/>
              <w:spacing w:after="0"/>
              <w:rPr>
                <w:sz w:val="20"/>
                <w:szCs w:val="20"/>
                <w:color w:val="auto"/>
              </w:rPr>
            </w:pPr>
            <w:r>
              <w:rPr>
                <w:rFonts w:ascii="Arial" w:cs="Arial" w:eastAsia="Arial" w:hAnsi="Arial"/>
                <w:sz w:val="16"/>
                <w:szCs w:val="16"/>
                <w:b w:val="1"/>
                <w:bCs w:val="1"/>
                <w:color w:val="FFFFFF"/>
              </w:rPr>
              <w:t>Name</w:t>
            </w:r>
          </w:p>
        </w:tc>
        <w:tc>
          <w:tcPr>
            <w:tcW w:w="8460" w:type="dxa"/>
            <w:vAlign w:val="bottom"/>
            <w:shd w:val="clear" w:color="auto" w:fill="0067B3"/>
          </w:tcPr>
          <w:p>
            <w:pPr>
              <w:ind w:left="980"/>
              <w:spacing w:after="0"/>
              <w:rPr>
                <w:sz w:val="20"/>
                <w:szCs w:val="20"/>
                <w:color w:val="auto"/>
              </w:rPr>
            </w:pPr>
            <w:r>
              <w:rPr>
                <w:rFonts w:ascii="Arial" w:cs="Arial" w:eastAsia="Arial" w:hAnsi="Arial"/>
                <w:sz w:val="16"/>
                <w:szCs w:val="16"/>
                <w:b w:val="1"/>
                <w:bCs w:val="1"/>
                <w:color w:val="FFFFFF"/>
              </w:rPr>
              <w:t>Position(s) with ADI</w:t>
            </w:r>
          </w:p>
        </w:tc>
      </w:tr>
      <w:tr>
        <w:trPr>
          <w:trHeight w:val="270"/>
        </w:trPr>
        <w:tc>
          <w:tcPr>
            <w:tcW w:w="2780" w:type="dxa"/>
            <w:vAlign w:val="bottom"/>
            <w:shd w:val="clear" w:color="auto" w:fill="E2E6F4"/>
          </w:tcPr>
          <w:p>
            <w:pPr>
              <w:ind w:left="20"/>
              <w:spacing w:after="0"/>
              <w:rPr>
                <w:sz w:val="20"/>
                <w:szCs w:val="20"/>
                <w:color w:val="auto"/>
              </w:rPr>
            </w:pPr>
            <w:r>
              <w:rPr>
                <w:rFonts w:ascii="Arial" w:cs="Arial" w:eastAsia="Arial" w:hAnsi="Arial"/>
                <w:sz w:val="18"/>
                <w:szCs w:val="18"/>
                <w:b w:val="1"/>
                <w:bCs w:val="1"/>
                <w:color w:val="0067B3"/>
              </w:rPr>
              <w:t>Vincent Roche</w:t>
            </w:r>
          </w:p>
        </w:tc>
        <w:tc>
          <w:tcPr>
            <w:tcW w:w="8460" w:type="dxa"/>
            <w:vAlign w:val="bottom"/>
            <w:shd w:val="clear" w:color="auto" w:fill="E2E6F4"/>
          </w:tcPr>
          <w:p>
            <w:pPr>
              <w:ind w:left="980"/>
              <w:spacing w:after="0"/>
              <w:rPr>
                <w:sz w:val="20"/>
                <w:szCs w:val="20"/>
                <w:color w:val="auto"/>
              </w:rPr>
            </w:pPr>
            <w:r>
              <w:rPr>
                <w:rFonts w:ascii="Arial" w:cs="Arial" w:eastAsia="Arial" w:hAnsi="Arial"/>
                <w:sz w:val="18"/>
                <w:szCs w:val="18"/>
                <w:color w:val="auto"/>
              </w:rPr>
              <w:t>Chief Executive Officer and Chair of the Board of Directors</w:t>
            </w:r>
          </w:p>
        </w:tc>
      </w:tr>
      <w:tr>
        <w:trPr>
          <w:trHeight w:val="263"/>
        </w:trPr>
        <w:tc>
          <w:tcPr>
            <w:tcW w:w="2780" w:type="dxa"/>
            <w:vAlign w:val="bottom"/>
          </w:tcPr>
          <w:p>
            <w:pPr>
              <w:ind w:left="20"/>
              <w:spacing w:after="0"/>
              <w:rPr>
                <w:sz w:val="20"/>
                <w:szCs w:val="20"/>
                <w:color w:val="auto"/>
              </w:rPr>
            </w:pPr>
            <w:r>
              <w:rPr>
                <w:rFonts w:ascii="Arial" w:cs="Arial" w:eastAsia="Arial" w:hAnsi="Arial"/>
                <w:sz w:val="18"/>
                <w:szCs w:val="18"/>
                <w:b w:val="1"/>
                <w:bCs w:val="1"/>
                <w:color w:val="0067B3"/>
              </w:rPr>
              <w:t>Stephen M. Jennings</w:t>
            </w:r>
          </w:p>
        </w:tc>
        <w:tc>
          <w:tcPr>
            <w:tcW w:w="8460" w:type="dxa"/>
            <w:vAlign w:val="bottom"/>
          </w:tcPr>
          <w:p>
            <w:pPr>
              <w:ind w:left="980"/>
              <w:spacing w:after="0"/>
              <w:rPr>
                <w:sz w:val="20"/>
                <w:szCs w:val="20"/>
                <w:color w:val="auto"/>
              </w:rPr>
            </w:pPr>
            <w:r>
              <w:rPr>
                <w:rFonts w:ascii="Arial" w:cs="Arial" w:eastAsia="Arial" w:hAnsi="Arial"/>
                <w:sz w:val="18"/>
                <w:szCs w:val="18"/>
                <w:color w:val="auto"/>
              </w:rPr>
              <w:t>Lead Independent Director</w:t>
            </w:r>
          </w:p>
        </w:tc>
      </w:tr>
      <w:tr>
        <w:trPr>
          <w:trHeight w:val="278"/>
        </w:trPr>
        <w:tc>
          <w:tcPr>
            <w:tcW w:w="2780" w:type="dxa"/>
            <w:vAlign w:val="bottom"/>
            <w:shd w:val="clear" w:color="auto" w:fill="E2E6F4"/>
          </w:tcPr>
          <w:p>
            <w:pPr>
              <w:ind w:left="20"/>
              <w:spacing w:after="0"/>
              <w:rPr>
                <w:sz w:val="20"/>
                <w:szCs w:val="20"/>
                <w:color w:val="auto"/>
              </w:rPr>
            </w:pPr>
            <w:r>
              <w:rPr>
                <w:rFonts w:ascii="Arial" w:cs="Arial" w:eastAsia="Arial" w:hAnsi="Arial"/>
                <w:sz w:val="18"/>
                <w:szCs w:val="18"/>
                <w:b w:val="1"/>
                <w:bCs w:val="1"/>
                <w:color w:val="0067B3"/>
              </w:rPr>
              <w:t>André Andonian</w:t>
            </w:r>
          </w:p>
        </w:tc>
        <w:tc>
          <w:tcPr>
            <w:tcW w:w="8460" w:type="dxa"/>
            <w:vAlign w:val="bottom"/>
            <w:shd w:val="clear" w:color="auto" w:fill="E2E6F4"/>
          </w:tcPr>
          <w:p>
            <w:pPr>
              <w:ind w:left="980"/>
              <w:spacing w:after="0"/>
              <w:rPr>
                <w:sz w:val="20"/>
                <w:szCs w:val="20"/>
                <w:color w:val="auto"/>
              </w:rPr>
            </w:pPr>
            <w:r>
              <w:rPr>
                <w:rFonts w:ascii="Arial" w:cs="Arial" w:eastAsia="Arial" w:hAnsi="Arial"/>
                <w:sz w:val="18"/>
                <w:szCs w:val="18"/>
                <w:color w:val="auto"/>
              </w:rPr>
              <w:t>Director</w:t>
            </w:r>
          </w:p>
        </w:tc>
      </w:tr>
      <w:tr>
        <w:trPr>
          <w:trHeight w:val="263"/>
        </w:trPr>
        <w:tc>
          <w:tcPr>
            <w:tcW w:w="2780" w:type="dxa"/>
            <w:vAlign w:val="bottom"/>
          </w:tcPr>
          <w:p>
            <w:pPr>
              <w:ind w:left="20"/>
              <w:spacing w:after="0"/>
              <w:rPr>
                <w:sz w:val="20"/>
                <w:szCs w:val="20"/>
                <w:color w:val="auto"/>
              </w:rPr>
            </w:pPr>
            <w:r>
              <w:rPr>
                <w:rFonts w:ascii="Arial" w:cs="Arial" w:eastAsia="Arial" w:hAnsi="Arial"/>
                <w:sz w:val="18"/>
                <w:szCs w:val="18"/>
                <w:b w:val="1"/>
                <w:bCs w:val="1"/>
                <w:color w:val="0067B3"/>
              </w:rPr>
              <w:t>Edward H. Frank</w:t>
            </w:r>
          </w:p>
        </w:tc>
        <w:tc>
          <w:tcPr>
            <w:tcW w:w="8460" w:type="dxa"/>
            <w:vAlign w:val="bottom"/>
          </w:tcPr>
          <w:p>
            <w:pPr>
              <w:ind w:left="980"/>
              <w:spacing w:after="0"/>
              <w:rPr>
                <w:sz w:val="20"/>
                <w:szCs w:val="20"/>
                <w:color w:val="auto"/>
              </w:rPr>
            </w:pPr>
            <w:r>
              <w:rPr>
                <w:rFonts w:ascii="Arial" w:cs="Arial" w:eastAsia="Arial" w:hAnsi="Arial"/>
                <w:sz w:val="18"/>
                <w:szCs w:val="18"/>
                <w:color w:val="auto"/>
              </w:rPr>
              <w:t>Director</w:t>
            </w:r>
          </w:p>
        </w:tc>
      </w:tr>
      <w:tr>
        <w:trPr>
          <w:trHeight w:val="278"/>
        </w:trPr>
        <w:tc>
          <w:tcPr>
            <w:tcW w:w="2780" w:type="dxa"/>
            <w:vAlign w:val="bottom"/>
            <w:shd w:val="clear" w:color="auto" w:fill="E2E6F4"/>
          </w:tcPr>
          <w:p>
            <w:pPr>
              <w:ind w:left="20"/>
              <w:spacing w:after="0"/>
              <w:rPr>
                <w:sz w:val="20"/>
                <w:szCs w:val="20"/>
                <w:color w:val="auto"/>
              </w:rPr>
            </w:pPr>
            <w:r>
              <w:rPr>
                <w:rFonts w:ascii="Arial" w:cs="Arial" w:eastAsia="Arial" w:hAnsi="Arial"/>
                <w:sz w:val="18"/>
                <w:szCs w:val="18"/>
                <w:b w:val="1"/>
                <w:bCs w:val="1"/>
                <w:color w:val="0067B3"/>
              </w:rPr>
              <w:t>Karen M. Golz</w:t>
            </w:r>
          </w:p>
        </w:tc>
        <w:tc>
          <w:tcPr>
            <w:tcW w:w="8460" w:type="dxa"/>
            <w:vAlign w:val="bottom"/>
            <w:shd w:val="clear" w:color="auto" w:fill="E2E6F4"/>
          </w:tcPr>
          <w:p>
            <w:pPr>
              <w:ind w:left="980"/>
              <w:spacing w:after="0"/>
              <w:rPr>
                <w:sz w:val="20"/>
                <w:szCs w:val="20"/>
                <w:color w:val="auto"/>
              </w:rPr>
            </w:pPr>
            <w:r>
              <w:rPr>
                <w:rFonts w:ascii="Arial" w:cs="Arial" w:eastAsia="Arial" w:hAnsi="Arial"/>
                <w:sz w:val="18"/>
                <w:szCs w:val="18"/>
                <w:color w:val="auto"/>
              </w:rPr>
              <w:t>Director</w:t>
            </w:r>
          </w:p>
        </w:tc>
      </w:tr>
      <w:tr>
        <w:trPr>
          <w:trHeight w:val="263"/>
        </w:trPr>
        <w:tc>
          <w:tcPr>
            <w:tcW w:w="2780" w:type="dxa"/>
            <w:vAlign w:val="bottom"/>
          </w:tcPr>
          <w:p>
            <w:pPr>
              <w:ind w:left="20"/>
              <w:spacing w:after="0"/>
              <w:rPr>
                <w:sz w:val="20"/>
                <w:szCs w:val="20"/>
                <w:color w:val="auto"/>
              </w:rPr>
            </w:pPr>
            <w:r>
              <w:rPr>
                <w:rFonts w:ascii="Arial" w:cs="Arial" w:eastAsia="Arial" w:hAnsi="Arial"/>
                <w:sz w:val="18"/>
                <w:szCs w:val="18"/>
                <w:b w:val="1"/>
                <w:bCs w:val="1"/>
                <w:color w:val="0067B3"/>
              </w:rPr>
              <w:t>Peter B. Henry</w:t>
            </w:r>
          </w:p>
        </w:tc>
        <w:tc>
          <w:tcPr>
            <w:tcW w:w="8460" w:type="dxa"/>
            <w:vAlign w:val="bottom"/>
          </w:tcPr>
          <w:p>
            <w:pPr>
              <w:ind w:left="980"/>
              <w:spacing w:after="0"/>
              <w:rPr>
                <w:sz w:val="20"/>
                <w:szCs w:val="20"/>
                <w:color w:val="auto"/>
              </w:rPr>
            </w:pPr>
            <w:r>
              <w:rPr>
                <w:rFonts w:ascii="Arial" w:cs="Arial" w:eastAsia="Arial" w:hAnsi="Arial"/>
                <w:sz w:val="18"/>
                <w:szCs w:val="18"/>
                <w:color w:val="auto"/>
              </w:rPr>
              <w:t>Director</w:t>
            </w:r>
          </w:p>
        </w:tc>
      </w:tr>
      <w:tr>
        <w:trPr>
          <w:trHeight w:val="278"/>
        </w:trPr>
        <w:tc>
          <w:tcPr>
            <w:tcW w:w="2780" w:type="dxa"/>
            <w:vAlign w:val="bottom"/>
            <w:shd w:val="clear" w:color="auto" w:fill="E2E6F4"/>
          </w:tcPr>
          <w:p>
            <w:pPr>
              <w:ind w:left="20"/>
              <w:spacing w:after="0"/>
              <w:rPr>
                <w:sz w:val="20"/>
                <w:szCs w:val="20"/>
                <w:color w:val="auto"/>
              </w:rPr>
            </w:pPr>
            <w:r>
              <w:rPr>
                <w:rFonts w:ascii="Arial" w:cs="Arial" w:eastAsia="Arial" w:hAnsi="Arial"/>
                <w:sz w:val="18"/>
                <w:szCs w:val="18"/>
                <w:b w:val="1"/>
                <w:bCs w:val="1"/>
                <w:color w:val="0067B3"/>
              </w:rPr>
              <w:t>Mercedes Johnson</w:t>
            </w:r>
          </w:p>
        </w:tc>
        <w:tc>
          <w:tcPr>
            <w:tcW w:w="8460" w:type="dxa"/>
            <w:vAlign w:val="bottom"/>
            <w:shd w:val="clear" w:color="auto" w:fill="E2E6F4"/>
          </w:tcPr>
          <w:p>
            <w:pPr>
              <w:ind w:left="980"/>
              <w:spacing w:after="0"/>
              <w:rPr>
                <w:sz w:val="20"/>
                <w:szCs w:val="20"/>
                <w:color w:val="auto"/>
              </w:rPr>
            </w:pPr>
            <w:r>
              <w:rPr>
                <w:rFonts w:ascii="Arial" w:cs="Arial" w:eastAsia="Arial" w:hAnsi="Arial"/>
                <w:sz w:val="18"/>
                <w:szCs w:val="18"/>
                <w:color w:val="auto"/>
              </w:rPr>
              <w:t>Director</w:t>
            </w:r>
          </w:p>
        </w:tc>
      </w:tr>
      <w:tr>
        <w:trPr>
          <w:trHeight w:val="263"/>
        </w:trPr>
        <w:tc>
          <w:tcPr>
            <w:tcW w:w="2780" w:type="dxa"/>
            <w:vAlign w:val="bottom"/>
          </w:tcPr>
          <w:p>
            <w:pPr>
              <w:ind w:left="20"/>
              <w:spacing w:after="0"/>
              <w:rPr>
                <w:sz w:val="20"/>
                <w:szCs w:val="20"/>
                <w:color w:val="auto"/>
              </w:rPr>
            </w:pPr>
            <w:r>
              <w:rPr>
                <w:rFonts w:ascii="Arial" w:cs="Arial" w:eastAsia="Arial" w:hAnsi="Arial"/>
                <w:sz w:val="18"/>
                <w:szCs w:val="18"/>
                <w:b w:val="1"/>
                <w:bCs w:val="1"/>
                <w:color w:val="0067B3"/>
              </w:rPr>
              <w:t>Yoky Matsuoka</w:t>
            </w:r>
          </w:p>
        </w:tc>
        <w:tc>
          <w:tcPr>
            <w:tcW w:w="8460" w:type="dxa"/>
            <w:vAlign w:val="bottom"/>
          </w:tcPr>
          <w:p>
            <w:pPr>
              <w:ind w:left="980"/>
              <w:spacing w:after="0"/>
              <w:rPr>
                <w:sz w:val="20"/>
                <w:szCs w:val="20"/>
                <w:color w:val="auto"/>
              </w:rPr>
            </w:pPr>
            <w:r>
              <w:rPr>
                <w:rFonts w:ascii="Arial" w:cs="Arial" w:eastAsia="Arial" w:hAnsi="Arial"/>
                <w:sz w:val="18"/>
                <w:szCs w:val="18"/>
                <w:color w:val="auto"/>
              </w:rPr>
              <w:t>Director</w:t>
            </w:r>
          </w:p>
        </w:tc>
      </w:tr>
      <w:tr>
        <w:trPr>
          <w:trHeight w:val="278"/>
        </w:trPr>
        <w:tc>
          <w:tcPr>
            <w:tcW w:w="2780" w:type="dxa"/>
            <w:vAlign w:val="bottom"/>
            <w:shd w:val="clear" w:color="auto" w:fill="E2E6F4"/>
          </w:tcPr>
          <w:p>
            <w:pPr>
              <w:ind w:left="20"/>
              <w:spacing w:after="0"/>
              <w:rPr>
                <w:sz w:val="20"/>
                <w:szCs w:val="20"/>
                <w:color w:val="auto"/>
              </w:rPr>
            </w:pPr>
            <w:r>
              <w:rPr>
                <w:rFonts w:ascii="Arial" w:cs="Arial" w:eastAsia="Arial" w:hAnsi="Arial"/>
                <w:sz w:val="18"/>
                <w:szCs w:val="18"/>
                <w:b w:val="1"/>
                <w:bCs w:val="1"/>
                <w:color w:val="0067B3"/>
              </w:rPr>
              <w:t>Ray Stata</w:t>
            </w:r>
          </w:p>
        </w:tc>
        <w:tc>
          <w:tcPr>
            <w:tcW w:w="8460" w:type="dxa"/>
            <w:vAlign w:val="bottom"/>
            <w:shd w:val="clear" w:color="auto" w:fill="E2E6F4"/>
          </w:tcPr>
          <w:p>
            <w:pPr>
              <w:ind w:left="980"/>
              <w:spacing w:after="0"/>
              <w:rPr>
                <w:sz w:val="20"/>
                <w:szCs w:val="20"/>
                <w:color w:val="auto"/>
              </w:rPr>
            </w:pPr>
            <w:r>
              <w:rPr>
                <w:rFonts w:ascii="Arial" w:cs="Arial" w:eastAsia="Arial" w:hAnsi="Arial"/>
                <w:sz w:val="18"/>
                <w:szCs w:val="18"/>
                <w:color w:val="auto"/>
              </w:rPr>
              <w:t>Director</w:t>
            </w:r>
          </w:p>
        </w:tc>
      </w:tr>
      <w:tr>
        <w:trPr>
          <w:trHeight w:val="263"/>
        </w:trPr>
        <w:tc>
          <w:tcPr>
            <w:tcW w:w="2780" w:type="dxa"/>
            <w:vAlign w:val="bottom"/>
            <w:tcBorders>
              <w:bottom w:val="single" w:sz="8" w:color="0067B3"/>
            </w:tcBorders>
          </w:tcPr>
          <w:p>
            <w:pPr>
              <w:ind w:left="20"/>
              <w:spacing w:after="0"/>
              <w:rPr>
                <w:sz w:val="20"/>
                <w:szCs w:val="20"/>
                <w:color w:val="auto"/>
              </w:rPr>
            </w:pPr>
            <w:r>
              <w:rPr>
                <w:rFonts w:ascii="Arial" w:cs="Arial" w:eastAsia="Arial" w:hAnsi="Arial"/>
                <w:sz w:val="18"/>
                <w:szCs w:val="18"/>
                <w:b w:val="1"/>
                <w:bCs w:val="1"/>
                <w:color w:val="0067B3"/>
              </w:rPr>
              <w:t>Andrea F. Wainer</w:t>
            </w:r>
          </w:p>
        </w:tc>
        <w:tc>
          <w:tcPr>
            <w:tcW w:w="8460" w:type="dxa"/>
            <w:vAlign w:val="bottom"/>
            <w:tcBorders>
              <w:bottom w:val="single" w:sz="8" w:color="0067B3"/>
            </w:tcBorders>
          </w:tcPr>
          <w:p>
            <w:pPr>
              <w:ind w:left="980"/>
              <w:spacing w:after="0"/>
              <w:rPr>
                <w:sz w:val="20"/>
                <w:szCs w:val="20"/>
                <w:color w:val="auto"/>
              </w:rPr>
            </w:pPr>
            <w:r>
              <w:rPr>
                <w:rFonts w:ascii="Arial" w:cs="Arial" w:eastAsia="Arial" w:hAnsi="Arial"/>
                <w:sz w:val="18"/>
                <w:szCs w:val="18"/>
                <w:color w:val="auto"/>
              </w:rPr>
              <w:t>Director</w:t>
            </w:r>
          </w:p>
        </w:tc>
      </w:tr>
    </w:tbl>
    <w:p>
      <w:pPr>
        <w:spacing w:after="0" w:line="366" w:lineRule="exact"/>
        <w:rPr>
          <w:sz w:val="20"/>
          <w:szCs w:val="20"/>
          <w:color w:val="auto"/>
        </w:rPr>
      </w:pPr>
    </w:p>
    <w:p>
      <w:pPr>
        <w:spacing w:after="0"/>
        <w:rPr>
          <w:sz w:val="20"/>
          <w:szCs w:val="20"/>
          <w:color w:val="auto"/>
        </w:rPr>
      </w:pPr>
      <w:r>
        <w:rPr>
          <w:rFonts w:ascii="Arial" w:cs="Arial" w:eastAsia="Arial" w:hAnsi="Arial"/>
          <w:sz w:val="41"/>
          <w:szCs w:val="41"/>
          <w:b w:val="1"/>
          <w:bCs w:val="1"/>
          <w:color w:val="0067B3"/>
        </w:rPr>
        <w:t>Election Process</w:t>
      </w:r>
    </w:p>
    <w:p>
      <w:pPr>
        <w:spacing w:after="0" w:line="156" w:lineRule="exact"/>
        <w:rPr>
          <w:sz w:val="20"/>
          <w:szCs w:val="20"/>
          <w:color w:val="auto"/>
        </w:rPr>
      </w:pPr>
    </w:p>
    <w:p>
      <w:pPr>
        <w:ind w:right="20"/>
        <w:spacing w:after="0" w:line="269" w:lineRule="auto"/>
        <w:rPr>
          <w:sz w:val="20"/>
          <w:szCs w:val="20"/>
          <w:color w:val="auto"/>
        </w:rPr>
      </w:pPr>
      <w:r>
        <w:rPr>
          <w:rFonts w:ascii="Arial" w:cs="Arial" w:eastAsia="Arial" w:hAnsi="Arial"/>
          <w:sz w:val="17"/>
          <w:szCs w:val="17"/>
          <w:color w:val="auto"/>
        </w:rPr>
        <w:t>All members of our Board of Directors are elected annually by our shareholders. Our Board of Directors currently consists of eleven directors, of whom nine are deemed to be “independent directors” as defined and in accordance with the Nasdaq Stock Market, Inc. Marketplace Rules (Nasdaq Rules). On January 20, 2026, Dr. Wee informed our Board of Directors that she decided not to stand for re-election at the Annual Meeting. Our Nominating and Corporate Governance Committee recommended, and our Board of Directors has determined, to nominate all other current directors for reelection in 2026. As such, at the Annual Meeting, our shareholders will have an opportunity to vote for each of the ten nominees listed above. If a director nominee does not receive more “for” votes than “against” votes, our Corporate Governance Guidelines provide that such director must offer his or her resignation, which our Board of Directors must determine whether to accept, and we will publicly disclose the results of such determination. If the current nominees are elected, we will have ten members serving on our Board of Directors, of whom eight are deemed to be “independent directors” in accordance with Nasdaq Rules. The persons named in the proxy card, upon receipt of a properly executed proxy, will vote for each of these nominees, unless you instruct them to vote otherwise on the proxy card (whether executed by you or through Internet or telephonic voting). Each of the director nominees has indicated his or her willingness to serve, if elected. However, if any or all of the director nominees should be unable or unwilling to serve, the proxies may be voted for a substitute nominee designated by our Board of Directors or our Board of Directors may reduce the size of the Board.</w:t>
      </w:r>
    </w:p>
    <w:p>
      <w:pPr>
        <w:spacing w:after="0" w:line="200" w:lineRule="exact"/>
        <w:rPr>
          <w:sz w:val="20"/>
          <w:szCs w:val="20"/>
          <w:color w:val="auto"/>
        </w:rPr>
      </w:pPr>
    </w:p>
    <w:p>
      <w:pPr>
        <w:spacing w:after="0" w:line="289" w:lineRule="exact"/>
        <w:rPr>
          <w:sz w:val="20"/>
          <w:szCs w:val="20"/>
          <w:color w:val="auto"/>
        </w:rPr>
      </w:pPr>
    </w:p>
    <w:p>
      <w:pPr>
        <w:ind w:left="640" w:hanging="614"/>
        <w:spacing w:after="0"/>
        <w:tabs>
          <w:tab w:leader="none" w:pos="640" w:val="left"/>
        </w:tabs>
        <w:numPr>
          <w:ilvl w:val="0"/>
          <w:numId w:val="22"/>
        </w:numPr>
        <w:rPr>
          <w:rFonts w:ascii="Arial" w:cs="Arial" w:eastAsia="Arial" w:hAnsi="Arial"/>
          <w:sz w:val="20"/>
          <w:szCs w:val="20"/>
          <w:b w:val="1"/>
          <w:bCs w:val="1"/>
          <w:color w:val="auto"/>
        </w:rPr>
      </w:pPr>
      <w:r>
        <w:rPr>
          <w:rFonts w:ascii="Arial" w:cs="Arial" w:eastAsia="Arial" w:hAnsi="Arial"/>
          <w:sz w:val="16"/>
          <w:szCs w:val="16"/>
          <w:color w:val="6D6E71"/>
        </w:rPr>
        <w:t>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186055</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6" w:right="339" w:bottom="1440" w:gutter="0" w:footer="0" w:header="0"/>
        </w:sectPr>
      </w:pPr>
    </w:p>
    <w:bookmarkStart w:id="15" w:name="page16"/>
    <w:bookmarkEnd w:id="15"/>
    <w:p>
      <w:pPr>
        <w:spacing w:after="0"/>
        <w:rPr>
          <w:sz w:val="20"/>
          <w:szCs w:val="20"/>
          <w:color w:val="auto"/>
        </w:rPr>
      </w:pPr>
      <w:r>
        <w:rPr>
          <w:rFonts w:ascii="Arial" w:cs="Arial" w:eastAsia="Arial" w:hAnsi="Arial"/>
          <w:sz w:val="32"/>
          <w:szCs w:val="32"/>
          <w:b w:val="1"/>
          <w:bCs w:val="1"/>
          <w:color w:val="auto"/>
        </w:rPr>
        <w:t>Board Refreshment</w:t>
      </w:r>
    </w:p>
    <w:p>
      <w:pPr>
        <w:spacing w:after="0" w:line="156" w:lineRule="exact"/>
        <w:rPr>
          <w:sz w:val="20"/>
          <w:szCs w:val="20"/>
          <w:color w:val="auto"/>
        </w:rPr>
      </w:pPr>
    </w:p>
    <w:p>
      <w:pPr>
        <w:ind w:right="180"/>
        <w:spacing w:after="0" w:line="287" w:lineRule="auto"/>
        <w:rPr>
          <w:sz w:val="20"/>
          <w:szCs w:val="20"/>
          <w:color w:val="auto"/>
        </w:rPr>
      </w:pPr>
      <w:r>
        <w:rPr>
          <w:rFonts w:ascii="Arial" w:cs="Arial" w:eastAsia="Arial" w:hAnsi="Arial"/>
          <w:sz w:val="18"/>
          <w:szCs w:val="18"/>
          <w:color w:val="auto"/>
        </w:rPr>
        <w:t>Our Board of Directors is focused on refreshment, regularly bringing in new viewpoints and skills. As a result of ongoing Board refreshment, we have added six new directors in the last five years.</w:t>
      </w:r>
    </w:p>
    <w:p>
      <w:pPr>
        <w:spacing w:after="0" w:line="199" w:lineRule="exact"/>
        <w:rPr>
          <w:sz w:val="20"/>
          <w:szCs w:val="20"/>
          <w:color w:val="auto"/>
        </w:rPr>
      </w:pPr>
    </w:p>
    <w:tbl>
      <w:tblPr>
        <w:tblLayout w:type="fixed"/>
        <w:tblInd w:w="10" w:type="dxa"/>
        <w:tblCellMar>
          <w:top w:w="0" w:type="dxa"/>
          <w:left w:w="0" w:type="dxa"/>
          <w:bottom w:w="0" w:type="dxa"/>
          <w:right w:w="0" w:type="dxa"/>
        </w:tblCellMar>
      </w:tblPr>
      <w:tr>
        <w:trPr>
          <w:trHeight w:val="1283"/>
        </w:trPr>
        <w:tc>
          <w:tcPr>
            <w:tcW w:w="1860" w:type="dxa"/>
            <w:vAlign w:val="bottom"/>
            <w:tcBorders>
              <w:left w:val="single" w:sz="8" w:color="E2E6F4"/>
              <w:right w:val="single" w:sz="8" w:color="E2E6F4"/>
            </w:tcBorders>
            <w:shd w:val="clear" w:color="auto" w:fill="E2E6F4"/>
          </w:tcPr>
          <w:p>
            <w:pPr>
              <w:spacing w:after="0"/>
              <w:rPr>
                <w:sz w:val="24"/>
                <w:szCs w:val="24"/>
                <w:color w:val="auto"/>
              </w:rPr>
            </w:pPr>
          </w:p>
        </w:tc>
        <w:tc>
          <w:tcPr>
            <w:tcW w:w="1860" w:type="dxa"/>
            <w:vAlign w:val="bottom"/>
            <w:tcBorders>
              <w:right w:val="single" w:sz="8" w:color="E2E6F4"/>
            </w:tcBorders>
            <w:shd w:val="clear" w:color="auto" w:fill="E2E6F4"/>
          </w:tcPr>
          <w:p>
            <w:pPr>
              <w:spacing w:after="0"/>
              <w:rPr>
                <w:sz w:val="24"/>
                <w:szCs w:val="24"/>
                <w:color w:val="auto"/>
              </w:rPr>
            </w:pPr>
          </w:p>
        </w:tc>
        <w:tc>
          <w:tcPr>
            <w:tcW w:w="1960" w:type="dxa"/>
            <w:vAlign w:val="bottom"/>
            <w:tcBorders>
              <w:right w:val="single" w:sz="8" w:color="E2E6F4"/>
            </w:tcBorders>
            <w:shd w:val="clear" w:color="auto" w:fill="E2E6F4"/>
          </w:tcPr>
          <w:p>
            <w:pPr>
              <w:spacing w:after="0"/>
              <w:rPr>
                <w:sz w:val="24"/>
                <w:szCs w:val="24"/>
                <w:color w:val="auto"/>
              </w:rPr>
            </w:pPr>
          </w:p>
        </w:tc>
        <w:tc>
          <w:tcPr>
            <w:tcW w:w="1860" w:type="dxa"/>
            <w:vAlign w:val="bottom"/>
            <w:tcBorders>
              <w:right w:val="single" w:sz="8" w:color="E2E6F4"/>
            </w:tcBorders>
            <w:shd w:val="clear" w:color="auto" w:fill="E2E6F4"/>
          </w:tcPr>
          <w:p>
            <w:pPr>
              <w:spacing w:after="0"/>
              <w:rPr>
                <w:sz w:val="24"/>
                <w:szCs w:val="24"/>
                <w:color w:val="auto"/>
              </w:rPr>
            </w:pPr>
          </w:p>
        </w:tc>
        <w:tc>
          <w:tcPr>
            <w:tcW w:w="1860" w:type="dxa"/>
            <w:vAlign w:val="bottom"/>
            <w:tcBorders>
              <w:right w:val="single" w:sz="8" w:color="E2E6F4"/>
            </w:tcBorders>
            <w:shd w:val="clear" w:color="auto" w:fill="E2E6F4"/>
          </w:tcPr>
          <w:p>
            <w:pPr>
              <w:spacing w:after="0"/>
              <w:rPr>
                <w:sz w:val="24"/>
                <w:szCs w:val="24"/>
                <w:color w:val="auto"/>
              </w:rPr>
            </w:pPr>
          </w:p>
        </w:tc>
        <w:tc>
          <w:tcPr>
            <w:tcW w:w="1860" w:type="dxa"/>
            <w:vAlign w:val="bottom"/>
            <w:tcBorders>
              <w:right w:val="single" w:sz="8" w:color="0067B3"/>
            </w:tcBorders>
            <w:shd w:val="clear" w:color="auto" w:fill="E2E6F4"/>
          </w:tcPr>
          <w:p>
            <w:pPr>
              <w:spacing w:after="0"/>
              <w:rPr>
                <w:sz w:val="24"/>
                <w:szCs w:val="24"/>
                <w:color w:val="auto"/>
              </w:rPr>
            </w:pPr>
          </w:p>
        </w:tc>
      </w:tr>
      <w:tr>
        <w:trPr>
          <w:trHeight w:val="309"/>
        </w:trPr>
        <w:tc>
          <w:tcPr>
            <w:tcW w:w="1860" w:type="dxa"/>
            <w:vAlign w:val="bottom"/>
            <w:tcBorders>
              <w:left w:val="single" w:sz="8" w:color="0067B3"/>
              <w:right w:val="single" w:sz="8" w:color="0067B3"/>
            </w:tcBorders>
          </w:tcPr>
          <w:p>
            <w:pPr>
              <w:jc w:val="center"/>
              <w:spacing w:after="0"/>
              <w:rPr>
                <w:sz w:val="20"/>
                <w:szCs w:val="20"/>
                <w:color w:val="auto"/>
              </w:rPr>
            </w:pPr>
            <w:r>
              <w:rPr>
                <w:rFonts w:ascii="Arial" w:cs="Arial" w:eastAsia="Arial" w:hAnsi="Arial"/>
                <w:sz w:val="18"/>
                <w:szCs w:val="18"/>
                <w:b w:val="1"/>
                <w:bCs w:val="1"/>
                <w:color w:val="0067B3"/>
                <w:w w:val="99"/>
              </w:rPr>
              <w:t>Mercedes Johnson</w:t>
            </w:r>
          </w:p>
        </w:tc>
        <w:tc>
          <w:tcPr>
            <w:tcW w:w="1860" w:type="dxa"/>
            <w:vAlign w:val="bottom"/>
            <w:tcBorders>
              <w:right w:val="single" w:sz="8" w:color="0067B3"/>
            </w:tcBorders>
          </w:tcPr>
          <w:p>
            <w:pPr>
              <w:jc w:val="center"/>
              <w:spacing w:after="0"/>
              <w:rPr>
                <w:sz w:val="20"/>
                <w:szCs w:val="20"/>
                <w:color w:val="auto"/>
              </w:rPr>
            </w:pPr>
            <w:r>
              <w:rPr>
                <w:rFonts w:ascii="Arial" w:cs="Arial" w:eastAsia="Arial" w:hAnsi="Arial"/>
                <w:sz w:val="18"/>
                <w:szCs w:val="18"/>
                <w:b w:val="1"/>
                <w:bCs w:val="1"/>
                <w:color w:val="0067B3"/>
                <w:w w:val="99"/>
              </w:rPr>
              <w:t>André Andonian</w:t>
            </w:r>
          </w:p>
        </w:tc>
        <w:tc>
          <w:tcPr>
            <w:tcW w:w="1960" w:type="dxa"/>
            <w:vAlign w:val="bottom"/>
            <w:tcBorders>
              <w:right w:val="single" w:sz="8" w:color="0067B3"/>
            </w:tcBorders>
          </w:tcPr>
          <w:p>
            <w:pPr>
              <w:jc w:val="center"/>
              <w:spacing w:after="0"/>
              <w:rPr>
                <w:sz w:val="20"/>
                <w:szCs w:val="20"/>
                <w:color w:val="auto"/>
              </w:rPr>
            </w:pPr>
            <w:r>
              <w:rPr>
                <w:rFonts w:ascii="Arial" w:cs="Arial" w:eastAsia="Arial" w:hAnsi="Arial"/>
                <w:sz w:val="18"/>
                <w:szCs w:val="18"/>
                <w:b w:val="1"/>
                <w:bCs w:val="1"/>
                <w:color w:val="0067B3"/>
                <w:w w:val="99"/>
              </w:rPr>
              <w:t>Stephen M. Jennings</w:t>
            </w:r>
          </w:p>
        </w:tc>
        <w:tc>
          <w:tcPr>
            <w:tcW w:w="1860" w:type="dxa"/>
            <w:vAlign w:val="bottom"/>
            <w:tcBorders>
              <w:right w:val="single" w:sz="8" w:color="0067B3"/>
            </w:tcBorders>
          </w:tcPr>
          <w:p>
            <w:pPr>
              <w:jc w:val="center"/>
              <w:spacing w:after="0"/>
              <w:rPr>
                <w:sz w:val="20"/>
                <w:szCs w:val="20"/>
                <w:color w:val="auto"/>
              </w:rPr>
            </w:pPr>
            <w:r>
              <w:rPr>
                <w:rFonts w:ascii="Arial" w:cs="Arial" w:eastAsia="Arial" w:hAnsi="Arial"/>
                <w:sz w:val="18"/>
                <w:szCs w:val="18"/>
                <w:b w:val="1"/>
                <w:bCs w:val="1"/>
                <w:color w:val="0067B3"/>
                <w:w w:val="99"/>
              </w:rPr>
              <w:t>Peter B. Henry</w:t>
            </w:r>
          </w:p>
        </w:tc>
        <w:tc>
          <w:tcPr>
            <w:tcW w:w="1860" w:type="dxa"/>
            <w:vAlign w:val="bottom"/>
            <w:tcBorders>
              <w:right w:val="single" w:sz="8" w:color="0067B3"/>
            </w:tcBorders>
          </w:tcPr>
          <w:p>
            <w:pPr>
              <w:jc w:val="center"/>
              <w:spacing w:after="0"/>
              <w:rPr>
                <w:sz w:val="20"/>
                <w:szCs w:val="20"/>
                <w:color w:val="auto"/>
              </w:rPr>
            </w:pPr>
            <w:r>
              <w:rPr>
                <w:rFonts w:ascii="Arial" w:cs="Arial" w:eastAsia="Arial" w:hAnsi="Arial"/>
                <w:sz w:val="18"/>
                <w:szCs w:val="18"/>
                <w:b w:val="1"/>
                <w:bCs w:val="1"/>
                <w:color w:val="0067B3"/>
                <w:w w:val="98"/>
              </w:rPr>
              <w:t>Andrea F. Wainer</w:t>
            </w:r>
          </w:p>
        </w:tc>
        <w:tc>
          <w:tcPr>
            <w:tcW w:w="1860" w:type="dxa"/>
            <w:vAlign w:val="bottom"/>
            <w:tcBorders>
              <w:right w:val="single" w:sz="8" w:color="0067B3"/>
            </w:tcBorders>
          </w:tcPr>
          <w:p>
            <w:pPr>
              <w:jc w:val="center"/>
              <w:spacing w:after="0"/>
              <w:rPr>
                <w:sz w:val="20"/>
                <w:szCs w:val="20"/>
                <w:color w:val="auto"/>
              </w:rPr>
            </w:pPr>
            <w:r>
              <w:rPr>
                <w:rFonts w:ascii="Arial" w:cs="Arial" w:eastAsia="Arial" w:hAnsi="Arial"/>
                <w:sz w:val="18"/>
                <w:szCs w:val="18"/>
                <w:b w:val="1"/>
                <w:bCs w:val="1"/>
                <w:color w:val="0067B3"/>
                <w:w w:val="99"/>
              </w:rPr>
              <w:t>Yoky Matsuoka</w:t>
            </w:r>
          </w:p>
        </w:tc>
      </w:tr>
      <w:tr>
        <w:trPr>
          <w:trHeight w:val="69"/>
        </w:trPr>
        <w:tc>
          <w:tcPr>
            <w:tcW w:w="1860" w:type="dxa"/>
            <w:vAlign w:val="bottom"/>
            <w:tcBorders>
              <w:left w:val="single" w:sz="8" w:color="0067B3"/>
              <w:bottom w:val="single" w:sz="8" w:color="0067B3"/>
              <w:right w:val="single" w:sz="8" w:color="0067B3"/>
            </w:tcBorders>
          </w:tcPr>
          <w:p>
            <w:pPr>
              <w:spacing w:after="0"/>
              <w:rPr>
                <w:sz w:val="6"/>
                <w:szCs w:val="6"/>
                <w:color w:val="auto"/>
              </w:rPr>
            </w:pPr>
          </w:p>
        </w:tc>
        <w:tc>
          <w:tcPr>
            <w:tcW w:w="1860" w:type="dxa"/>
            <w:vAlign w:val="bottom"/>
            <w:tcBorders>
              <w:bottom w:val="single" w:sz="8" w:color="0067B3"/>
              <w:right w:val="single" w:sz="8" w:color="0067B3"/>
            </w:tcBorders>
          </w:tcPr>
          <w:p>
            <w:pPr>
              <w:spacing w:after="0"/>
              <w:rPr>
                <w:sz w:val="6"/>
                <w:szCs w:val="6"/>
                <w:color w:val="auto"/>
              </w:rPr>
            </w:pPr>
          </w:p>
        </w:tc>
        <w:tc>
          <w:tcPr>
            <w:tcW w:w="1960" w:type="dxa"/>
            <w:vAlign w:val="bottom"/>
            <w:tcBorders>
              <w:bottom w:val="single" w:sz="8" w:color="0067B3"/>
              <w:right w:val="single" w:sz="8" w:color="0067B3"/>
            </w:tcBorders>
          </w:tcPr>
          <w:p>
            <w:pPr>
              <w:spacing w:after="0"/>
              <w:rPr>
                <w:sz w:val="6"/>
                <w:szCs w:val="6"/>
                <w:color w:val="auto"/>
              </w:rPr>
            </w:pPr>
          </w:p>
        </w:tc>
        <w:tc>
          <w:tcPr>
            <w:tcW w:w="1860" w:type="dxa"/>
            <w:vAlign w:val="bottom"/>
            <w:tcBorders>
              <w:bottom w:val="single" w:sz="8" w:color="0067B3"/>
              <w:right w:val="single" w:sz="8" w:color="0067B3"/>
            </w:tcBorders>
          </w:tcPr>
          <w:p>
            <w:pPr>
              <w:spacing w:after="0"/>
              <w:rPr>
                <w:sz w:val="6"/>
                <w:szCs w:val="6"/>
                <w:color w:val="auto"/>
              </w:rPr>
            </w:pPr>
          </w:p>
        </w:tc>
        <w:tc>
          <w:tcPr>
            <w:tcW w:w="1860" w:type="dxa"/>
            <w:vAlign w:val="bottom"/>
            <w:tcBorders>
              <w:bottom w:val="single" w:sz="8" w:color="0067B3"/>
              <w:right w:val="single" w:sz="8" w:color="0067B3"/>
            </w:tcBorders>
          </w:tcPr>
          <w:p>
            <w:pPr>
              <w:spacing w:after="0"/>
              <w:rPr>
                <w:sz w:val="6"/>
                <w:szCs w:val="6"/>
                <w:color w:val="auto"/>
              </w:rPr>
            </w:pPr>
          </w:p>
        </w:tc>
        <w:tc>
          <w:tcPr>
            <w:tcW w:w="1860" w:type="dxa"/>
            <w:vAlign w:val="bottom"/>
            <w:tcBorders>
              <w:bottom w:val="single" w:sz="8" w:color="0067B3"/>
              <w:right w:val="single" w:sz="8" w:color="0067B3"/>
            </w:tcBorders>
          </w:tcPr>
          <w:p>
            <w:pPr>
              <w:spacing w:after="0"/>
              <w:rPr>
                <w:sz w:val="6"/>
                <w:szCs w:val="6"/>
                <w:color w:val="auto"/>
              </w:rPr>
            </w:pPr>
          </w:p>
        </w:tc>
      </w:tr>
      <w:tr>
        <w:trPr>
          <w:trHeight w:val="243"/>
        </w:trPr>
        <w:tc>
          <w:tcPr>
            <w:tcW w:w="1860" w:type="dxa"/>
            <w:vAlign w:val="bottom"/>
            <w:tcBorders>
              <w:left w:val="single" w:sz="8" w:color="0067B3"/>
              <w:bottom w:val="single" w:sz="8" w:color="0067B3"/>
              <w:right w:val="single" w:sz="8" w:color="0067B3"/>
            </w:tcBorders>
          </w:tcPr>
          <w:p>
            <w:pPr>
              <w:jc w:val="right"/>
              <w:ind w:right="652"/>
              <w:spacing w:after="0"/>
              <w:rPr>
                <w:sz w:val="20"/>
                <w:szCs w:val="20"/>
                <w:color w:val="auto"/>
              </w:rPr>
            </w:pPr>
            <w:r>
              <w:rPr>
                <w:rFonts w:ascii="Arial" w:cs="Arial" w:eastAsia="Arial" w:hAnsi="Arial"/>
                <w:sz w:val="17"/>
                <w:szCs w:val="17"/>
                <w:b w:val="1"/>
                <w:bCs w:val="1"/>
                <w:color w:val="auto"/>
              </w:rPr>
              <w:t>2021</w:t>
            </w:r>
          </w:p>
        </w:tc>
        <w:tc>
          <w:tcPr>
            <w:tcW w:w="1860" w:type="dxa"/>
            <w:vAlign w:val="bottom"/>
            <w:tcBorders>
              <w:bottom w:val="single" w:sz="8" w:color="0067B3"/>
              <w:right w:val="single" w:sz="8" w:color="0067B3"/>
            </w:tcBorders>
          </w:tcPr>
          <w:p>
            <w:pPr>
              <w:jc w:val="right"/>
              <w:ind w:right="652"/>
              <w:spacing w:after="0"/>
              <w:rPr>
                <w:sz w:val="20"/>
                <w:szCs w:val="20"/>
                <w:color w:val="auto"/>
              </w:rPr>
            </w:pPr>
            <w:r>
              <w:rPr>
                <w:rFonts w:ascii="Arial" w:cs="Arial" w:eastAsia="Arial" w:hAnsi="Arial"/>
                <w:sz w:val="17"/>
                <w:szCs w:val="17"/>
                <w:b w:val="1"/>
                <w:bCs w:val="1"/>
                <w:color w:val="auto"/>
              </w:rPr>
              <w:t>2022</w:t>
            </w:r>
          </w:p>
        </w:tc>
        <w:tc>
          <w:tcPr>
            <w:tcW w:w="1960" w:type="dxa"/>
            <w:vAlign w:val="bottom"/>
            <w:tcBorders>
              <w:bottom w:val="single" w:sz="8" w:color="0067B3"/>
              <w:right w:val="single" w:sz="8" w:color="0067B3"/>
            </w:tcBorders>
          </w:tcPr>
          <w:p>
            <w:pPr>
              <w:jc w:val="right"/>
              <w:ind w:right="712"/>
              <w:spacing w:after="0"/>
              <w:rPr>
                <w:sz w:val="20"/>
                <w:szCs w:val="20"/>
                <w:color w:val="auto"/>
              </w:rPr>
            </w:pPr>
            <w:r>
              <w:rPr>
                <w:rFonts w:ascii="Arial" w:cs="Arial" w:eastAsia="Arial" w:hAnsi="Arial"/>
                <w:sz w:val="17"/>
                <w:szCs w:val="17"/>
                <w:b w:val="1"/>
                <w:bCs w:val="1"/>
                <w:color w:val="auto"/>
              </w:rPr>
              <w:t>2023</w:t>
            </w:r>
          </w:p>
        </w:tc>
        <w:tc>
          <w:tcPr>
            <w:tcW w:w="1860" w:type="dxa"/>
            <w:vAlign w:val="bottom"/>
            <w:tcBorders>
              <w:bottom w:val="single" w:sz="8" w:color="0067B3"/>
              <w:right w:val="single" w:sz="8" w:color="0067B3"/>
            </w:tcBorders>
          </w:tcPr>
          <w:p>
            <w:pPr>
              <w:jc w:val="right"/>
              <w:ind w:right="672"/>
              <w:spacing w:after="0"/>
              <w:rPr>
                <w:sz w:val="20"/>
                <w:szCs w:val="20"/>
                <w:color w:val="auto"/>
              </w:rPr>
            </w:pPr>
            <w:r>
              <w:rPr>
                <w:rFonts w:ascii="Arial" w:cs="Arial" w:eastAsia="Arial" w:hAnsi="Arial"/>
                <w:sz w:val="17"/>
                <w:szCs w:val="17"/>
                <w:b w:val="1"/>
                <w:bCs w:val="1"/>
                <w:color w:val="auto"/>
              </w:rPr>
              <w:t>2023</w:t>
            </w:r>
          </w:p>
        </w:tc>
        <w:tc>
          <w:tcPr>
            <w:tcW w:w="1860" w:type="dxa"/>
            <w:vAlign w:val="bottom"/>
            <w:tcBorders>
              <w:bottom w:val="single" w:sz="8" w:color="0067B3"/>
              <w:right w:val="single" w:sz="8" w:color="0067B3"/>
            </w:tcBorders>
          </w:tcPr>
          <w:p>
            <w:pPr>
              <w:jc w:val="right"/>
              <w:ind w:right="672"/>
              <w:spacing w:after="0"/>
              <w:rPr>
                <w:sz w:val="20"/>
                <w:szCs w:val="20"/>
                <w:color w:val="auto"/>
              </w:rPr>
            </w:pPr>
            <w:r>
              <w:rPr>
                <w:rFonts w:ascii="Arial" w:cs="Arial" w:eastAsia="Arial" w:hAnsi="Arial"/>
                <w:sz w:val="17"/>
                <w:szCs w:val="17"/>
                <w:b w:val="1"/>
                <w:bCs w:val="1"/>
                <w:color w:val="auto"/>
              </w:rPr>
              <w:t>2025</w:t>
            </w:r>
          </w:p>
        </w:tc>
        <w:tc>
          <w:tcPr>
            <w:tcW w:w="1860" w:type="dxa"/>
            <w:vAlign w:val="bottom"/>
            <w:tcBorders>
              <w:bottom w:val="single" w:sz="8" w:color="0067B3"/>
              <w:right w:val="single" w:sz="8" w:color="0067B3"/>
            </w:tcBorders>
          </w:tcPr>
          <w:p>
            <w:pPr>
              <w:jc w:val="right"/>
              <w:ind w:right="672"/>
              <w:spacing w:after="0"/>
              <w:rPr>
                <w:sz w:val="20"/>
                <w:szCs w:val="20"/>
                <w:color w:val="auto"/>
              </w:rPr>
            </w:pPr>
            <w:r>
              <w:rPr>
                <w:rFonts w:ascii="Arial" w:cs="Arial" w:eastAsia="Arial" w:hAnsi="Arial"/>
                <w:sz w:val="17"/>
                <w:szCs w:val="17"/>
                <w:b w:val="1"/>
                <w:bCs w:val="1"/>
                <w:color w:val="auto"/>
              </w:rPr>
              <w:t>2026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184785</wp:posOffset>
            </wp:positionH>
            <wp:positionV relativeFrom="paragraph">
              <wp:posOffset>-1156970</wp:posOffset>
            </wp:positionV>
            <wp:extent cx="6858000" cy="60833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6858000" cy="608330"/>
                    </a:xfrm>
                    <a:prstGeom prst="rect">
                      <a:avLst/>
                    </a:prstGeom>
                    <a:noFill/>
                  </pic:spPr>
                </pic:pic>
              </a:graphicData>
            </a:graphic>
          </wp:anchor>
        </w:drawing>
      </w:r>
    </w:p>
    <w:p>
      <w:pPr>
        <w:spacing w:after="0" w:line="346" w:lineRule="exact"/>
        <w:rPr>
          <w:sz w:val="20"/>
          <w:szCs w:val="20"/>
          <w:color w:val="auto"/>
        </w:rPr>
      </w:pPr>
    </w:p>
    <w:p>
      <w:pPr>
        <w:spacing w:after="0"/>
        <w:rPr>
          <w:sz w:val="20"/>
          <w:szCs w:val="20"/>
          <w:color w:val="auto"/>
        </w:rPr>
      </w:pPr>
      <w:r>
        <w:rPr>
          <w:rFonts w:ascii="Arial" w:cs="Arial" w:eastAsia="Arial" w:hAnsi="Arial"/>
          <w:sz w:val="41"/>
          <w:szCs w:val="41"/>
          <w:b w:val="1"/>
          <w:bCs w:val="1"/>
          <w:color w:val="0067B3"/>
        </w:rPr>
        <w:t>Director Criteria, Qualifications, and Experience</w:t>
      </w:r>
    </w:p>
    <w:p>
      <w:pPr>
        <w:spacing w:after="0" w:line="156" w:lineRule="exact"/>
        <w:rPr>
          <w:sz w:val="20"/>
          <w:szCs w:val="20"/>
          <w:color w:val="auto"/>
        </w:rPr>
      </w:pPr>
    </w:p>
    <w:p>
      <w:pPr>
        <w:ind w:right="140"/>
        <w:spacing w:after="0" w:line="257" w:lineRule="auto"/>
        <w:rPr>
          <w:sz w:val="20"/>
          <w:szCs w:val="20"/>
          <w:color w:val="auto"/>
        </w:rPr>
      </w:pPr>
      <w:r>
        <w:rPr>
          <w:rFonts w:ascii="Arial" w:cs="Arial" w:eastAsia="Arial" w:hAnsi="Arial"/>
          <w:sz w:val="18"/>
          <w:szCs w:val="18"/>
          <w:color w:val="auto"/>
        </w:rPr>
        <w:t>Our Board of Directors and Nominating and Corporate Governance Committee are committed to ensuring that our Board of Directors is composed of a highly capable group of directors who collectively span a broad range of leadership skills and provide a significant breadth of experience, knowledge, and abilities, relevant to ADI’s strategic vision, long-term objectives, and business activities to effectively represent the interests of shareholders, drive shareholder value, exercise sound judgment, and reflect our corporate values of integrity, honesty, and adherence to high ethical standards. Our Board of Directors and Nominating and Corporate Governance Committee consider the following factors, among others, when selecting director nominees:</w:t>
      </w:r>
    </w:p>
    <w:p>
      <w:pPr>
        <w:spacing w:after="0" w:line="208" w:lineRule="exact"/>
        <w:rPr>
          <w:sz w:val="20"/>
          <w:szCs w:val="20"/>
          <w:color w:val="auto"/>
        </w:rPr>
      </w:pPr>
    </w:p>
    <w:tbl>
      <w:tblPr>
        <w:tblLayout w:type="fixed"/>
        <w:tblInd w:w="10" w:type="dxa"/>
        <w:tblCellMar>
          <w:top w:w="0" w:type="dxa"/>
          <w:left w:w="0" w:type="dxa"/>
          <w:bottom w:w="0" w:type="dxa"/>
          <w:right w:w="0" w:type="dxa"/>
        </w:tblCellMar>
      </w:tblPr>
      <w:tr>
        <w:trPr>
          <w:trHeight w:val="417"/>
        </w:trPr>
        <w:tc>
          <w:tcPr>
            <w:tcW w:w="2820" w:type="dxa"/>
            <w:vAlign w:val="bottom"/>
            <w:tcBorders>
              <w:top w:val="single" w:sz="8" w:color="0067B3"/>
              <w:left w:val="single" w:sz="8" w:color="0067B3"/>
            </w:tcBorders>
          </w:tcPr>
          <w:p>
            <w:pPr>
              <w:ind w:left="100"/>
              <w:spacing w:after="0"/>
              <w:rPr>
                <w:sz w:val="20"/>
                <w:szCs w:val="20"/>
                <w:color w:val="auto"/>
              </w:rPr>
            </w:pPr>
            <w:r>
              <w:rPr>
                <w:rFonts w:ascii="Arial" w:cs="Arial" w:eastAsia="Arial" w:hAnsi="Arial"/>
                <w:sz w:val="18"/>
                <w:szCs w:val="18"/>
                <w:b w:val="1"/>
                <w:bCs w:val="1"/>
                <w:color w:val="0067B3"/>
              </w:rPr>
              <w:t>Diversity of Director Nominees</w:t>
            </w:r>
          </w:p>
        </w:tc>
        <w:tc>
          <w:tcPr>
            <w:tcW w:w="2820" w:type="dxa"/>
            <w:vAlign w:val="bottom"/>
            <w:tcBorders>
              <w:top w:val="single" w:sz="8" w:color="0067B3"/>
              <w:right w:val="single" w:sz="8" w:color="auto"/>
            </w:tcBorders>
          </w:tcPr>
          <w:p>
            <w:pPr>
              <w:spacing w:after="0"/>
              <w:rPr>
                <w:sz w:val="24"/>
                <w:szCs w:val="24"/>
                <w:color w:val="auto"/>
              </w:rPr>
            </w:pPr>
          </w:p>
        </w:tc>
        <w:tc>
          <w:tcPr>
            <w:tcW w:w="5480" w:type="dxa"/>
            <w:vAlign w:val="bottom"/>
            <w:tcBorders>
              <w:top w:val="single" w:sz="8" w:color="0067B3"/>
            </w:tcBorders>
            <w:gridSpan w:val="2"/>
          </w:tcPr>
          <w:p>
            <w:pPr>
              <w:ind w:left="120"/>
              <w:spacing w:after="0"/>
              <w:rPr>
                <w:sz w:val="20"/>
                <w:szCs w:val="20"/>
                <w:color w:val="auto"/>
              </w:rPr>
            </w:pPr>
            <w:r>
              <w:rPr>
                <w:rFonts w:ascii="Arial" w:cs="Arial" w:eastAsia="Arial" w:hAnsi="Arial"/>
                <w:sz w:val="18"/>
                <w:szCs w:val="18"/>
                <w:b w:val="1"/>
                <w:bCs w:val="1"/>
                <w:color w:val="0067B3"/>
              </w:rPr>
              <w:t>Independence of Director Nominees</w:t>
            </w:r>
          </w:p>
        </w:tc>
        <w:tc>
          <w:tcPr>
            <w:tcW w:w="140" w:type="dxa"/>
            <w:vAlign w:val="bottom"/>
            <w:tcBorders>
              <w:top w:val="single" w:sz="8" w:color="0067B3"/>
              <w:right w:val="single" w:sz="8" w:color="0067B3"/>
            </w:tcBorders>
          </w:tcPr>
          <w:p>
            <w:pPr>
              <w:spacing w:after="0"/>
              <w:rPr>
                <w:sz w:val="24"/>
                <w:szCs w:val="24"/>
                <w:color w:val="auto"/>
              </w:rPr>
            </w:pPr>
          </w:p>
        </w:tc>
        <w:tc>
          <w:tcPr>
            <w:tcW w:w="0" w:type="dxa"/>
            <w:vAlign w:val="bottom"/>
          </w:tcPr>
          <w:p>
            <w:pPr>
              <w:spacing w:after="0"/>
              <w:rPr>
                <w:sz w:val="1"/>
                <w:szCs w:val="1"/>
                <w:color w:val="auto"/>
              </w:rPr>
            </w:pPr>
          </w:p>
        </w:tc>
      </w:tr>
      <w:tr>
        <w:trPr>
          <w:trHeight w:val="496"/>
        </w:trPr>
        <w:tc>
          <w:tcPr>
            <w:tcW w:w="2820" w:type="dxa"/>
            <w:vAlign w:val="bottom"/>
            <w:tcBorders>
              <w:left w:val="single" w:sz="8" w:color="0067B3"/>
            </w:tcBorders>
            <w:vMerge w:val="restart"/>
          </w:tcPr>
          <w:p>
            <w:pPr>
              <w:ind w:left="100"/>
              <w:spacing w:after="0"/>
              <w:rPr>
                <w:sz w:val="20"/>
                <w:szCs w:val="20"/>
                <w:color w:val="auto"/>
              </w:rPr>
            </w:pPr>
            <w:r>
              <w:rPr>
                <w:rFonts w:ascii="Arial" w:cs="Arial" w:eastAsia="Arial" w:hAnsi="Arial"/>
                <w:sz w:val="41"/>
                <w:szCs w:val="41"/>
                <w:b w:val="1"/>
                <w:bCs w:val="1"/>
                <w:color w:val="0067B3"/>
              </w:rPr>
              <w:t>4 of 10</w:t>
            </w:r>
          </w:p>
        </w:tc>
        <w:tc>
          <w:tcPr>
            <w:tcW w:w="282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While our Board of Directors</w:t>
            </w:r>
          </w:p>
        </w:tc>
        <w:tc>
          <w:tcPr>
            <w:tcW w:w="2400" w:type="dxa"/>
            <w:vAlign w:val="bottom"/>
            <w:vMerge w:val="restart"/>
          </w:tcPr>
          <w:p>
            <w:pPr>
              <w:ind w:left="120"/>
              <w:spacing w:after="0"/>
              <w:rPr>
                <w:sz w:val="20"/>
                <w:szCs w:val="20"/>
                <w:color w:val="auto"/>
              </w:rPr>
            </w:pPr>
            <w:r>
              <w:rPr>
                <w:rFonts w:ascii="Arial" w:cs="Arial" w:eastAsia="Arial" w:hAnsi="Arial"/>
                <w:sz w:val="41"/>
                <w:szCs w:val="41"/>
                <w:b w:val="1"/>
                <w:bCs w:val="1"/>
                <w:color w:val="0067B3"/>
              </w:rPr>
              <w:t>8 of 10</w:t>
            </w:r>
          </w:p>
        </w:tc>
        <w:tc>
          <w:tcPr>
            <w:tcW w:w="3080" w:type="dxa"/>
            <w:vAlign w:val="bottom"/>
          </w:tcPr>
          <w:p>
            <w:pPr>
              <w:ind w:left="480"/>
              <w:spacing w:after="0"/>
              <w:rPr>
                <w:sz w:val="20"/>
                <w:szCs w:val="20"/>
                <w:color w:val="auto"/>
              </w:rPr>
            </w:pPr>
            <w:r>
              <w:rPr>
                <w:rFonts w:ascii="Arial" w:cs="Arial" w:eastAsia="Arial" w:hAnsi="Arial"/>
                <w:sz w:val="18"/>
                <w:szCs w:val="18"/>
                <w:color w:val="auto"/>
              </w:rPr>
              <w:t>Under Nasdaq Rules, a majority</w:t>
            </w:r>
          </w:p>
        </w:tc>
        <w:tc>
          <w:tcPr>
            <w:tcW w:w="140" w:type="dxa"/>
            <w:vAlign w:val="bottom"/>
            <w:tcBorders>
              <w:right w:val="single" w:sz="8" w:color="0067B3"/>
            </w:tcBorders>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820" w:type="dxa"/>
            <w:vAlign w:val="bottom"/>
            <w:tcBorders>
              <w:left w:val="single" w:sz="8" w:color="0067B3"/>
            </w:tcBorders>
            <w:vMerge w:val="continue"/>
          </w:tcPr>
          <w:p>
            <w:pPr>
              <w:spacing w:after="0"/>
              <w:rPr>
                <w:sz w:val="18"/>
                <w:szCs w:val="18"/>
                <w:color w:val="auto"/>
              </w:rPr>
            </w:pPr>
          </w:p>
        </w:tc>
        <w:tc>
          <w:tcPr>
            <w:tcW w:w="282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does not have a specific</w:t>
            </w:r>
          </w:p>
        </w:tc>
        <w:tc>
          <w:tcPr>
            <w:tcW w:w="2400" w:type="dxa"/>
            <w:vAlign w:val="bottom"/>
            <w:vMerge w:val="continue"/>
          </w:tcPr>
          <w:p>
            <w:pPr>
              <w:spacing w:after="0"/>
              <w:rPr>
                <w:sz w:val="18"/>
                <w:szCs w:val="18"/>
                <w:color w:val="auto"/>
              </w:rPr>
            </w:pPr>
          </w:p>
        </w:tc>
        <w:tc>
          <w:tcPr>
            <w:tcW w:w="3080" w:type="dxa"/>
            <w:vAlign w:val="bottom"/>
          </w:tcPr>
          <w:p>
            <w:pPr>
              <w:ind w:left="480"/>
              <w:spacing w:after="0"/>
              <w:rPr>
                <w:sz w:val="20"/>
                <w:szCs w:val="20"/>
                <w:color w:val="auto"/>
              </w:rPr>
            </w:pPr>
            <w:r>
              <w:rPr>
                <w:rFonts w:ascii="Arial" w:cs="Arial" w:eastAsia="Arial" w:hAnsi="Arial"/>
                <w:sz w:val="18"/>
                <w:szCs w:val="18"/>
                <w:color w:val="auto"/>
              </w:rPr>
              <w:t>of the members of our Board of</w:t>
            </w:r>
          </w:p>
        </w:tc>
        <w:tc>
          <w:tcPr>
            <w:tcW w:w="140" w:type="dxa"/>
            <w:vAlign w:val="bottom"/>
            <w:tcBorders>
              <w:right w:val="single" w:sz="8" w:color="0067B3"/>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20" w:type="dxa"/>
            <w:vAlign w:val="bottom"/>
            <w:tcBorders>
              <w:left w:val="single" w:sz="8" w:color="0067B3"/>
            </w:tcBorders>
            <w:vMerge w:val="continue"/>
          </w:tcPr>
          <w:p>
            <w:pPr>
              <w:spacing w:after="0"/>
              <w:rPr>
                <w:sz w:val="18"/>
                <w:szCs w:val="18"/>
                <w:color w:val="auto"/>
              </w:rPr>
            </w:pPr>
          </w:p>
        </w:tc>
        <w:tc>
          <w:tcPr>
            <w:tcW w:w="282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diversity policy, our Corporate</w:t>
            </w:r>
          </w:p>
        </w:tc>
        <w:tc>
          <w:tcPr>
            <w:tcW w:w="2400" w:type="dxa"/>
            <w:vAlign w:val="bottom"/>
            <w:vMerge w:val="continue"/>
          </w:tcPr>
          <w:p>
            <w:pPr>
              <w:spacing w:after="0"/>
              <w:rPr>
                <w:sz w:val="18"/>
                <w:szCs w:val="18"/>
                <w:color w:val="auto"/>
              </w:rPr>
            </w:pPr>
          </w:p>
        </w:tc>
        <w:tc>
          <w:tcPr>
            <w:tcW w:w="3080" w:type="dxa"/>
            <w:vAlign w:val="bottom"/>
          </w:tcPr>
          <w:p>
            <w:pPr>
              <w:ind w:left="480"/>
              <w:spacing w:after="0"/>
              <w:rPr>
                <w:sz w:val="20"/>
                <w:szCs w:val="20"/>
                <w:color w:val="auto"/>
              </w:rPr>
            </w:pPr>
            <w:r>
              <w:rPr>
                <w:rFonts w:ascii="Arial" w:cs="Arial" w:eastAsia="Arial" w:hAnsi="Arial"/>
                <w:sz w:val="18"/>
                <w:szCs w:val="18"/>
                <w:color w:val="auto"/>
              </w:rPr>
              <w:t>Directors must be independent</w:t>
            </w:r>
          </w:p>
        </w:tc>
        <w:tc>
          <w:tcPr>
            <w:tcW w:w="140" w:type="dxa"/>
            <w:vAlign w:val="bottom"/>
            <w:tcBorders>
              <w:right w:val="single" w:sz="8" w:color="0067B3"/>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20" w:type="dxa"/>
            <w:vAlign w:val="bottom"/>
            <w:tcBorders>
              <w:left w:val="single" w:sz="8" w:color="0067B3"/>
            </w:tcBorders>
          </w:tcPr>
          <w:p>
            <w:pPr>
              <w:ind w:left="100"/>
              <w:spacing w:after="0"/>
              <w:rPr>
                <w:sz w:val="20"/>
                <w:szCs w:val="20"/>
                <w:color w:val="auto"/>
              </w:rPr>
            </w:pPr>
            <w:r>
              <w:rPr>
                <w:rFonts w:ascii="Arial" w:cs="Arial" w:eastAsia="Arial" w:hAnsi="Arial"/>
                <w:sz w:val="18"/>
                <w:szCs w:val="18"/>
                <w:color w:val="auto"/>
              </w:rPr>
              <w:t>Director nominees identify as</w:t>
            </w:r>
          </w:p>
        </w:tc>
        <w:tc>
          <w:tcPr>
            <w:tcW w:w="282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Governance Guidelines and</w:t>
            </w:r>
          </w:p>
        </w:tc>
        <w:tc>
          <w:tcPr>
            <w:tcW w:w="2400" w:type="dxa"/>
            <w:vAlign w:val="bottom"/>
          </w:tcPr>
          <w:p>
            <w:pPr>
              <w:ind w:left="120"/>
              <w:spacing w:after="0"/>
              <w:rPr>
                <w:sz w:val="20"/>
                <w:szCs w:val="20"/>
                <w:color w:val="auto"/>
              </w:rPr>
            </w:pPr>
            <w:r>
              <w:rPr>
                <w:rFonts w:ascii="Arial" w:cs="Arial" w:eastAsia="Arial" w:hAnsi="Arial"/>
                <w:sz w:val="18"/>
                <w:szCs w:val="18"/>
                <w:color w:val="auto"/>
              </w:rPr>
              <w:t>Director nominees are</w:t>
            </w:r>
          </w:p>
        </w:tc>
        <w:tc>
          <w:tcPr>
            <w:tcW w:w="3080" w:type="dxa"/>
            <w:vAlign w:val="bottom"/>
          </w:tcPr>
          <w:p>
            <w:pPr>
              <w:ind w:left="480"/>
              <w:spacing w:after="0"/>
              <w:rPr>
                <w:sz w:val="20"/>
                <w:szCs w:val="20"/>
                <w:color w:val="auto"/>
              </w:rPr>
            </w:pPr>
            <w:r>
              <w:rPr>
                <w:rFonts w:ascii="Arial" w:cs="Arial" w:eastAsia="Arial" w:hAnsi="Arial"/>
                <w:sz w:val="18"/>
                <w:szCs w:val="18"/>
                <w:color w:val="auto"/>
              </w:rPr>
              <w:t>directors. To be considered</w:t>
            </w:r>
          </w:p>
        </w:tc>
        <w:tc>
          <w:tcPr>
            <w:tcW w:w="140" w:type="dxa"/>
            <w:vAlign w:val="bottom"/>
            <w:tcBorders>
              <w:right w:val="single" w:sz="8" w:color="0067B3"/>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20" w:type="dxa"/>
            <w:vAlign w:val="bottom"/>
            <w:tcBorders>
              <w:left w:val="single" w:sz="8" w:color="0067B3"/>
            </w:tcBorders>
          </w:tcPr>
          <w:p>
            <w:pPr>
              <w:ind w:left="100"/>
              <w:spacing w:after="0"/>
              <w:rPr>
                <w:sz w:val="20"/>
                <w:szCs w:val="20"/>
                <w:color w:val="auto"/>
              </w:rPr>
            </w:pPr>
            <w:r>
              <w:rPr>
                <w:rFonts w:ascii="Arial" w:cs="Arial" w:eastAsia="Arial" w:hAnsi="Arial"/>
                <w:sz w:val="18"/>
                <w:szCs w:val="18"/>
                <w:color w:val="auto"/>
              </w:rPr>
              <w:t>female, or 40%</w:t>
            </w:r>
          </w:p>
        </w:tc>
        <w:tc>
          <w:tcPr>
            <w:tcW w:w="282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Nominating and Corporate</w:t>
            </w:r>
          </w:p>
        </w:tc>
        <w:tc>
          <w:tcPr>
            <w:tcW w:w="2400" w:type="dxa"/>
            <w:vAlign w:val="bottom"/>
          </w:tcPr>
          <w:p>
            <w:pPr>
              <w:ind w:left="120"/>
              <w:spacing w:after="0"/>
              <w:rPr>
                <w:sz w:val="20"/>
                <w:szCs w:val="20"/>
                <w:color w:val="auto"/>
              </w:rPr>
            </w:pPr>
            <w:r>
              <w:rPr>
                <w:rFonts w:ascii="Arial" w:cs="Arial" w:eastAsia="Arial" w:hAnsi="Arial"/>
                <w:sz w:val="18"/>
                <w:szCs w:val="18"/>
                <w:color w:val="auto"/>
              </w:rPr>
              <w:t>independent, or 80%</w:t>
            </w:r>
          </w:p>
        </w:tc>
        <w:tc>
          <w:tcPr>
            <w:tcW w:w="3080" w:type="dxa"/>
            <w:vAlign w:val="bottom"/>
          </w:tcPr>
          <w:p>
            <w:pPr>
              <w:ind w:left="480"/>
              <w:spacing w:after="0"/>
              <w:rPr>
                <w:sz w:val="20"/>
                <w:szCs w:val="20"/>
                <w:color w:val="auto"/>
              </w:rPr>
            </w:pPr>
            <w:r>
              <w:rPr>
                <w:rFonts w:ascii="Arial" w:cs="Arial" w:eastAsia="Arial" w:hAnsi="Arial"/>
                <w:sz w:val="18"/>
                <w:szCs w:val="18"/>
                <w:color w:val="auto"/>
              </w:rPr>
              <w:t>independent, a director must be</w:t>
            </w:r>
          </w:p>
        </w:tc>
        <w:tc>
          <w:tcPr>
            <w:tcW w:w="140" w:type="dxa"/>
            <w:vAlign w:val="bottom"/>
            <w:tcBorders>
              <w:right w:val="single" w:sz="8" w:color="0067B3"/>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20" w:type="dxa"/>
            <w:vAlign w:val="bottom"/>
            <w:tcBorders>
              <w:left w:val="single" w:sz="8" w:color="0067B3"/>
            </w:tcBorders>
          </w:tcPr>
          <w:p>
            <w:pPr>
              <w:spacing w:after="0"/>
              <w:rPr>
                <w:sz w:val="18"/>
                <w:szCs w:val="18"/>
                <w:color w:val="auto"/>
              </w:rPr>
            </w:pPr>
          </w:p>
        </w:tc>
        <w:tc>
          <w:tcPr>
            <w:tcW w:w="282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Governance Committee</w:t>
            </w:r>
          </w:p>
        </w:tc>
        <w:tc>
          <w:tcPr>
            <w:tcW w:w="2400" w:type="dxa"/>
            <w:vAlign w:val="bottom"/>
          </w:tcPr>
          <w:p>
            <w:pPr>
              <w:spacing w:after="0"/>
              <w:rPr>
                <w:sz w:val="18"/>
                <w:szCs w:val="18"/>
                <w:color w:val="auto"/>
              </w:rPr>
            </w:pPr>
          </w:p>
        </w:tc>
        <w:tc>
          <w:tcPr>
            <w:tcW w:w="3080" w:type="dxa"/>
            <w:vAlign w:val="bottom"/>
          </w:tcPr>
          <w:p>
            <w:pPr>
              <w:ind w:left="480"/>
              <w:spacing w:after="0"/>
              <w:rPr>
                <w:sz w:val="20"/>
                <w:szCs w:val="20"/>
                <w:color w:val="auto"/>
              </w:rPr>
            </w:pPr>
            <w:r>
              <w:rPr>
                <w:rFonts w:ascii="Arial" w:cs="Arial" w:eastAsia="Arial" w:hAnsi="Arial"/>
                <w:sz w:val="18"/>
                <w:szCs w:val="18"/>
                <w:color w:val="auto"/>
              </w:rPr>
              <w:t>independent as determined</w:t>
            </w:r>
          </w:p>
        </w:tc>
        <w:tc>
          <w:tcPr>
            <w:tcW w:w="140" w:type="dxa"/>
            <w:vAlign w:val="bottom"/>
            <w:tcBorders>
              <w:right w:val="single" w:sz="8" w:color="0067B3"/>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20" w:type="dxa"/>
            <w:vAlign w:val="bottom"/>
            <w:tcBorders>
              <w:left w:val="single" w:sz="8" w:color="0067B3"/>
            </w:tcBorders>
          </w:tcPr>
          <w:p>
            <w:pPr>
              <w:spacing w:after="0"/>
              <w:rPr>
                <w:sz w:val="18"/>
                <w:szCs w:val="18"/>
                <w:color w:val="auto"/>
              </w:rPr>
            </w:pPr>
          </w:p>
        </w:tc>
        <w:tc>
          <w:tcPr>
            <w:tcW w:w="282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Charter provide that we</w:t>
            </w:r>
          </w:p>
        </w:tc>
        <w:tc>
          <w:tcPr>
            <w:tcW w:w="2400" w:type="dxa"/>
            <w:vAlign w:val="bottom"/>
          </w:tcPr>
          <w:p>
            <w:pPr>
              <w:spacing w:after="0"/>
              <w:rPr>
                <w:sz w:val="18"/>
                <w:szCs w:val="18"/>
                <w:color w:val="auto"/>
              </w:rPr>
            </w:pPr>
          </w:p>
        </w:tc>
        <w:tc>
          <w:tcPr>
            <w:tcW w:w="3080" w:type="dxa"/>
            <w:vAlign w:val="bottom"/>
          </w:tcPr>
          <w:p>
            <w:pPr>
              <w:ind w:left="480"/>
              <w:spacing w:after="0"/>
              <w:rPr>
                <w:sz w:val="20"/>
                <w:szCs w:val="20"/>
                <w:color w:val="auto"/>
              </w:rPr>
            </w:pPr>
            <w:r>
              <w:rPr>
                <w:rFonts w:ascii="Arial" w:cs="Arial" w:eastAsia="Arial" w:hAnsi="Arial"/>
                <w:sz w:val="18"/>
                <w:szCs w:val="18"/>
                <w:color w:val="auto"/>
              </w:rPr>
              <w:t>under applicable Nasdaq Rules,</w:t>
            </w:r>
          </w:p>
        </w:tc>
        <w:tc>
          <w:tcPr>
            <w:tcW w:w="140" w:type="dxa"/>
            <w:vAlign w:val="bottom"/>
            <w:tcBorders>
              <w:right w:val="single" w:sz="8" w:color="0067B3"/>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20" w:type="dxa"/>
            <w:vAlign w:val="bottom"/>
            <w:tcBorders>
              <w:left w:val="single" w:sz="8" w:color="0067B3"/>
            </w:tcBorders>
          </w:tcPr>
          <w:p>
            <w:pPr>
              <w:spacing w:after="0"/>
              <w:rPr>
                <w:sz w:val="18"/>
                <w:szCs w:val="18"/>
                <w:color w:val="auto"/>
              </w:rPr>
            </w:pPr>
          </w:p>
        </w:tc>
        <w:tc>
          <w:tcPr>
            <w:tcW w:w="282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consider diversity of</w:t>
            </w:r>
          </w:p>
        </w:tc>
        <w:tc>
          <w:tcPr>
            <w:tcW w:w="2400" w:type="dxa"/>
            <w:vAlign w:val="bottom"/>
          </w:tcPr>
          <w:p>
            <w:pPr>
              <w:spacing w:after="0"/>
              <w:rPr>
                <w:sz w:val="18"/>
                <w:szCs w:val="18"/>
                <w:color w:val="auto"/>
              </w:rPr>
            </w:pPr>
          </w:p>
        </w:tc>
        <w:tc>
          <w:tcPr>
            <w:tcW w:w="3080" w:type="dxa"/>
            <w:vAlign w:val="bottom"/>
          </w:tcPr>
          <w:p>
            <w:pPr>
              <w:ind w:left="480"/>
              <w:spacing w:after="0"/>
              <w:rPr>
                <w:sz w:val="20"/>
                <w:szCs w:val="20"/>
                <w:color w:val="auto"/>
              </w:rPr>
            </w:pPr>
            <w:r>
              <w:rPr>
                <w:rFonts w:ascii="Arial" w:cs="Arial" w:eastAsia="Arial" w:hAnsi="Arial"/>
                <w:sz w:val="18"/>
                <w:szCs w:val="18"/>
                <w:color w:val="auto"/>
              </w:rPr>
              <w:t>and in our Board of Directors’</w:t>
            </w:r>
          </w:p>
        </w:tc>
        <w:tc>
          <w:tcPr>
            <w:tcW w:w="140" w:type="dxa"/>
            <w:vAlign w:val="bottom"/>
            <w:tcBorders>
              <w:right w:val="single" w:sz="8" w:color="0067B3"/>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20" w:type="dxa"/>
            <w:vAlign w:val="bottom"/>
            <w:tcBorders>
              <w:left w:val="single" w:sz="8" w:color="0067B3"/>
            </w:tcBorders>
            <w:vMerge w:val="restart"/>
          </w:tcPr>
          <w:p>
            <w:pPr>
              <w:ind w:left="100"/>
              <w:spacing w:after="0"/>
              <w:rPr>
                <w:sz w:val="20"/>
                <w:szCs w:val="20"/>
                <w:color w:val="auto"/>
              </w:rPr>
            </w:pPr>
            <w:r>
              <w:rPr>
                <w:rFonts w:ascii="Arial" w:cs="Arial" w:eastAsia="Arial" w:hAnsi="Arial"/>
                <w:sz w:val="41"/>
                <w:szCs w:val="41"/>
                <w:b w:val="1"/>
                <w:bCs w:val="1"/>
                <w:color w:val="0067B3"/>
              </w:rPr>
              <w:t>3 of 10</w:t>
            </w:r>
          </w:p>
        </w:tc>
        <w:tc>
          <w:tcPr>
            <w:tcW w:w="282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experience, skills, and</w:t>
            </w:r>
          </w:p>
        </w:tc>
        <w:tc>
          <w:tcPr>
            <w:tcW w:w="2400" w:type="dxa"/>
            <w:vAlign w:val="bottom"/>
          </w:tcPr>
          <w:p>
            <w:pPr>
              <w:spacing w:after="0"/>
              <w:rPr>
                <w:sz w:val="18"/>
                <w:szCs w:val="18"/>
                <w:color w:val="auto"/>
              </w:rPr>
            </w:pPr>
          </w:p>
        </w:tc>
        <w:tc>
          <w:tcPr>
            <w:tcW w:w="3080" w:type="dxa"/>
            <w:vAlign w:val="bottom"/>
          </w:tcPr>
          <w:p>
            <w:pPr>
              <w:ind w:left="480"/>
              <w:spacing w:after="0"/>
              <w:rPr>
                <w:sz w:val="20"/>
                <w:szCs w:val="20"/>
                <w:color w:val="auto"/>
              </w:rPr>
            </w:pPr>
            <w:r>
              <w:rPr>
                <w:rFonts w:ascii="Arial" w:cs="Arial" w:eastAsia="Arial" w:hAnsi="Arial"/>
                <w:sz w:val="18"/>
                <w:szCs w:val="18"/>
                <w:color w:val="auto"/>
              </w:rPr>
              <w:t>judgment, the director must not</w:t>
            </w:r>
          </w:p>
        </w:tc>
        <w:tc>
          <w:tcPr>
            <w:tcW w:w="140" w:type="dxa"/>
            <w:vAlign w:val="bottom"/>
            <w:tcBorders>
              <w:right w:val="single" w:sz="8" w:color="0067B3"/>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20" w:type="dxa"/>
            <w:vAlign w:val="bottom"/>
            <w:tcBorders>
              <w:left w:val="single" w:sz="8" w:color="0067B3"/>
            </w:tcBorders>
            <w:vMerge w:val="continue"/>
          </w:tcPr>
          <w:p>
            <w:pPr>
              <w:spacing w:after="0"/>
              <w:rPr>
                <w:sz w:val="18"/>
                <w:szCs w:val="18"/>
                <w:color w:val="auto"/>
              </w:rPr>
            </w:pPr>
          </w:p>
        </w:tc>
        <w:tc>
          <w:tcPr>
            <w:tcW w:w="282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perspectives, as well as</w:t>
            </w:r>
          </w:p>
        </w:tc>
        <w:tc>
          <w:tcPr>
            <w:tcW w:w="2400" w:type="dxa"/>
            <w:vAlign w:val="bottom"/>
          </w:tcPr>
          <w:p>
            <w:pPr>
              <w:spacing w:after="0"/>
              <w:rPr>
                <w:sz w:val="18"/>
                <w:szCs w:val="18"/>
                <w:color w:val="auto"/>
              </w:rPr>
            </w:pPr>
          </w:p>
        </w:tc>
        <w:tc>
          <w:tcPr>
            <w:tcW w:w="3080" w:type="dxa"/>
            <w:vAlign w:val="bottom"/>
          </w:tcPr>
          <w:p>
            <w:pPr>
              <w:ind w:left="480"/>
              <w:spacing w:after="0"/>
              <w:rPr>
                <w:sz w:val="20"/>
                <w:szCs w:val="20"/>
                <w:color w:val="auto"/>
              </w:rPr>
            </w:pPr>
            <w:r>
              <w:rPr>
                <w:rFonts w:ascii="Arial" w:cs="Arial" w:eastAsia="Arial" w:hAnsi="Arial"/>
                <w:sz w:val="18"/>
                <w:szCs w:val="18"/>
                <w:color w:val="auto"/>
                <w:w w:val="99"/>
              </w:rPr>
              <w:t>have a relationship with ADI that</w:t>
            </w:r>
          </w:p>
        </w:tc>
        <w:tc>
          <w:tcPr>
            <w:tcW w:w="140" w:type="dxa"/>
            <w:vAlign w:val="bottom"/>
            <w:tcBorders>
              <w:right w:val="single" w:sz="8" w:color="0067B3"/>
            </w:tcBorders>
          </w:tcPr>
          <w:p>
            <w:pPr>
              <w:spacing w:after="0"/>
              <w:rPr>
                <w:sz w:val="18"/>
                <w:szCs w:val="18"/>
                <w:color w:val="auto"/>
              </w:rPr>
            </w:pPr>
          </w:p>
        </w:tc>
        <w:tc>
          <w:tcPr>
            <w:tcW w:w="0" w:type="dxa"/>
            <w:vAlign w:val="bottom"/>
          </w:tcPr>
          <w:p>
            <w:pPr>
              <w:spacing w:after="0"/>
              <w:rPr>
                <w:sz w:val="1"/>
                <w:szCs w:val="1"/>
                <w:color w:val="auto"/>
              </w:rPr>
            </w:pPr>
          </w:p>
        </w:tc>
      </w:tr>
      <w:tr>
        <w:trPr>
          <w:trHeight w:val="181"/>
        </w:trPr>
        <w:tc>
          <w:tcPr>
            <w:tcW w:w="2820" w:type="dxa"/>
            <w:vAlign w:val="bottom"/>
            <w:tcBorders>
              <w:left w:val="single" w:sz="8" w:color="0067B3"/>
            </w:tcBorders>
            <w:vMerge w:val="continue"/>
          </w:tcPr>
          <w:p>
            <w:pPr>
              <w:spacing w:after="0"/>
              <w:rPr>
                <w:sz w:val="15"/>
                <w:szCs w:val="15"/>
                <w:color w:val="auto"/>
              </w:rPr>
            </w:pPr>
          </w:p>
        </w:tc>
        <w:tc>
          <w:tcPr>
            <w:tcW w:w="2820" w:type="dxa"/>
            <w:vAlign w:val="bottom"/>
            <w:tcBorders>
              <w:right w:val="single" w:sz="8" w:color="auto"/>
            </w:tcBorders>
          </w:tcPr>
          <w:p>
            <w:pPr>
              <w:ind w:left="80"/>
              <w:spacing w:after="0" w:line="181" w:lineRule="exact"/>
              <w:rPr>
                <w:sz w:val="20"/>
                <w:szCs w:val="20"/>
                <w:color w:val="auto"/>
              </w:rPr>
            </w:pPr>
            <w:r>
              <w:rPr>
                <w:rFonts w:ascii="Arial" w:cs="Arial" w:eastAsia="Arial" w:hAnsi="Arial"/>
                <w:sz w:val="18"/>
                <w:szCs w:val="18"/>
                <w:color w:val="auto"/>
              </w:rPr>
              <w:t>diversity with respect to</w:t>
            </w:r>
          </w:p>
        </w:tc>
        <w:tc>
          <w:tcPr>
            <w:tcW w:w="2400" w:type="dxa"/>
            <w:vAlign w:val="bottom"/>
          </w:tcPr>
          <w:p>
            <w:pPr>
              <w:spacing w:after="0"/>
              <w:rPr>
                <w:sz w:val="15"/>
                <w:szCs w:val="15"/>
                <w:color w:val="auto"/>
              </w:rPr>
            </w:pPr>
          </w:p>
        </w:tc>
        <w:tc>
          <w:tcPr>
            <w:tcW w:w="3080" w:type="dxa"/>
            <w:vAlign w:val="bottom"/>
          </w:tcPr>
          <w:p>
            <w:pPr>
              <w:ind w:left="480"/>
              <w:spacing w:after="0" w:line="181" w:lineRule="exact"/>
              <w:rPr>
                <w:sz w:val="20"/>
                <w:szCs w:val="20"/>
                <w:color w:val="auto"/>
              </w:rPr>
            </w:pPr>
            <w:r>
              <w:rPr>
                <w:rFonts w:ascii="Arial" w:cs="Arial" w:eastAsia="Arial" w:hAnsi="Arial"/>
                <w:sz w:val="18"/>
                <w:szCs w:val="18"/>
                <w:color w:val="auto"/>
              </w:rPr>
              <w:t>would interfere with the exercise</w:t>
            </w:r>
          </w:p>
        </w:tc>
        <w:tc>
          <w:tcPr>
            <w:tcW w:w="140" w:type="dxa"/>
            <w:vAlign w:val="bottom"/>
            <w:tcBorders>
              <w:right w:val="single" w:sz="8" w:color="0067B3"/>
            </w:tcBorders>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820" w:type="dxa"/>
            <w:vAlign w:val="bottom"/>
            <w:tcBorders>
              <w:left w:val="single" w:sz="8" w:color="0067B3"/>
            </w:tcBorders>
          </w:tcPr>
          <w:p>
            <w:pPr>
              <w:ind w:left="100"/>
              <w:spacing w:after="0"/>
              <w:rPr>
                <w:sz w:val="20"/>
                <w:szCs w:val="20"/>
                <w:color w:val="auto"/>
              </w:rPr>
            </w:pPr>
            <w:r>
              <w:rPr>
                <w:rFonts w:ascii="Arial" w:cs="Arial" w:eastAsia="Arial" w:hAnsi="Arial"/>
                <w:sz w:val="18"/>
                <w:szCs w:val="18"/>
                <w:color w:val="auto"/>
              </w:rPr>
              <w:t>Director nominees are non-</w:t>
            </w:r>
          </w:p>
        </w:tc>
        <w:tc>
          <w:tcPr>
            <w:tcW w:w="282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gender, race and ethnicity,</w:t>
            </w:r>
          </w:p>
        </w:tc>
        <w:tc>
          <w:tcPr>
            <w:tcW w:w="2400" w:type="dxa"/>
            <w:vAlign w:val="bottom"/>
          </w:tcPr>
          <w:p>
            <w:pPr>
              <w:spacing w:after="0"/>
              <w:rPr>
                <w:sz w:val="18"/>
                <w:szCs w:val="18"/>
                <w:color w:val="auto"/>
              </w:rPr>
            </w:pPr>
          </w:p>
        </w:tc>
        <w:tc>
          <w:tcPr>
            <w:tcW w:w="3080" w:type="dxa"/>
            <w:vAlign w:val="bottom"/>
          </w:tcPr>
          <w:p>
            <w:pPr>
              <w:ind w:left="480"/>
              <w:spacing w:after="0"/>
              <w:rPr>
                <w:sz w:val="20"/>
                <w:szCs w:val="20"/>
                <w:color w:val="auto"/>
              </w:rPr>
            </w:pPr>
            <w:r>
              <w:rPr>
                <w:rFonts w:ascii="Arial" w:cs="Arial" w:eastAsia="Arial" w:hAnsi="Arial"/>
                <w:sz w:val="18"/>
                <w:szCs w:val="18"/>
                <w:color w:val="auto"/>
              </w:rPr>
              <w:t>of independent judgment in</w:t>
            </w:r>
          </w:p>
        </w:tc>
        <w:tc>
          <w:tcPr>
            <w:tcW w:w="140" w:type="dxa"/>
            <w:vAlign w:val="bottom"/>
            <w:tcBorders>
              <w:right w:val="single" w:sz="8" w:color="0067B3"/>
            </w:tcBorders>
          </w:tcPr>
          <w:p>
            <w:pPr>
              <w:spacing w:after="0"/>
              <w:rPr>
                <w:sz w:val="18"/>
                <w:szCs w:val="18"/>
                <w:color w:val="auto"/>
              </w:rPr>
            </w:pPr>
          </w:p>
        </w:tc>
        <w:tc>
          <w:tcPr>
            <w:tcW w:w="0" w:type="dxa"/>
            <w:vAlign w:val="bottom"/>
          </w:tcPr>
          <w:p>
            <w:pPr>
              <w:spacing w:after="0"/>
              <w:rPr>
                <w:sz w:val="1"/>
                <w:szCs w:val="1"/>
                <w:color w:val="auto"/>
              </w:rPr>
            </w:pPr>
          </w:p>
        </w:tc>
      </w:tr>
      <w:tr>
        <w:trPr>
          <w:trHeight w:val="251"/>
        </w:trPr>
        <w:tc>
          <w:tcPr>
            <w:tcW w:w="2820" w:type="dxa"/>
            <w:vAlign w:val="bottom"/>
            <w:tcBorders>
              <w:left w:val="single" w:sz="8" w:color="0067B3"/>
            </w:tcBorders>
          </w:tcPr>
          <w:p>
            <w:pPr>
              <w:ind w:left="100"/>
              <w:spacing w:after="0"/>
              <w:rPr>
                <w:sz w:val="20"/>
                <w:szCs w:val="20"/>
                <w:color w:val="auto"/>
              </w:rPr>
            </w:pPr>
            <w:r>
              <w:rPr>
                <w:rFonts w:ascii="Arial" w:cs="Arial" w:eastAsia="Arial" w:hAnsi="Arial"/>
                <w:sz w:val="18"/>
                <w:szCs w:val="18"/>
                <w:color w:val="auto"/>
              </w:rPr>
              <w:t>white, or 30%</w:t>
            </w:r>
          </w:p>
        </w:tc>
        <w:tc>
          <w:tcPr>
            <w:tcW w:w="282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sexual orientation, and</w:t>
            </w:r>
          </w:p>
        </w:tc>
        <w:tc>
          <w:tcPr>
            <w:tcW w:w="2400" w:type="dxa"/>
            <w:vAlign w:val="bottom"/>
          </w:tcPr>
          <w:p>
            <w:pPr>
              <w:spacing w:after="0"/>
              <w:rPr>
                <w:sz w:val="21"/>
                <w:szCs w:val="21"/>
                <w:color w:val="auto"/>
              </w:rPr>
            </w:pPr>
          </w:p>
        </w:tc>
        <w:tc>
          <w:tcPr>
            <w:tcW w:w="3080" w:type="dxa"/>
            <w:vAlign w:val="bottom"/>
          </w:tcPr>
          <w:p>
            <w:pPr>
              <w:ind w:left="480"/>
              <w:spacing w:after="0"/>
              <w:rPr>
                <w:sz w:val="20"/>
                <w:szCs w:val="20"/>
                <w:color w:val="auto"/>
              </w:rPr>
            </w:pPr>
            <w:r>
              <w:rPr>
                <w:rFonts w:ascii="Arial" w:cs="Arial" w:eastAsia="Arial" w:hAnsi="Arial"/>
                <w:sz w:val="18"/>
                <w:szCs w:val="18"/>
                <w:color w:val="auto"/>
              </w:rPr>
              <w:t>carrying out the responsibilities</w:t>
            </w:r>
          </w:p>
        </w:tc>
        <w:tc>
          <w:tcPr>
            <w:tcW w:w="140" w:type="dxa"/>
            <w:vAlign w:val="bottom"/>
            <w:tcBorders>
              <w:right w:val="single" w:sz="8" w:color="0067B3"/>
            </w:tcBorders>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820" w:type="dxa"/>
            <w:vAlign w:val="bottom"/>
            <w:tcBorders>
              <w:left w:val="single" w:sz="8" w:color="0067B3"/>
            </w:tcBorders>
          </w:tcPr>
          <w:p>
            <w:pPr>
              <w:spacing w:after="0"/>
              <w:rPr>
                <w:sz w:val="18"/>
                <w:szCs w:val="18"/>
                <w:color w:val="auto"/>
              </w:rPr>
            </w:pPr>
          </w:p>
        </w:tc>
        <w:tc>
          <w:tcPr>
            <w:tcW w:w="282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geography in considering</w:t>
            </w:r>
          </w:p>
        </w:tc>
        <w:tc>
          <w:tcPr>
            <w:tcW w:w="2400" w:type="dxa"/>
            <w:vAlign w:val="bottom"/>
          </w:tcPr>
          <w:p>
            <w:pPr>
              <w:spacing w:after="0"/>
              <w:rPr>
                <w:sz w:val="18"/>
                <w:szCs w:val="18"/>
                <w:color w:val="auto"/>
              </w:rPr>
            </w:pPr>
          </w:p>
        </w:tc>
        <w:tc>
          <w:tcPr>
            <w:tcW w:w="3080" w:type="dxa"/>
            <w:vAlign w:val="bottom"/>
          </w:tcPr>
          <w:p>
            <w:pPr>
              <w:ind w:left="480"/>
              <w:spacing w:after="0"/>
              <w:rPr>
                <w:sz w:val="20"/>
                <w:szCs w:val="20"/>
                <w:color w:val="auto"/>
              </w:rPr>
            </w:pPr>
            <w:r>
              <w:rPr>
                <w:rFonts w:ascii="Arial" w:cs="Arial" w:eastAsia="Arial" w:hAnsi="Arial"/>
                <w:sz w:val="18"/>
                <w:szCs w:val="18"/>
                <w:color w:val="auto"/>
              </w:rPr>
              <w:t>of a director.</w:t>
            </w:r>
          </w:p>
        </w:tc>
        <w:tc>
          <w:tcPr>
            <w:tcW w:w="140" w:type="dxa"/>
            <w:vAlign w:val="bottom"/>
            <w:tcBorders>
              <w:right w:val="single" w:sz="8" w:color="0067B3"/>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20" w:type="dxa"/>
            <w:vAlign w:val="bottom"/>
            <w:tcBorders>
              <w:left w:val="single" w:sz="8" w:color="0067B3"/>
            </w:tcBorders>
          </w:tcPr>
          <w:p>
            <w:pPr>
              <w:spacing w:after="0"/>
              <w:rPr>
                <w:sz w:val="18"/>
                <w:szCs w:val="18"/>
                <w:color w:val="auto"/>
              </w:rPr>
            </w:pPr>
          </w:p>
        </w:tc>
        <w:tc>
          <w:tcPr>
            <w:tcW w:w="282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candidates for nomination.</w:t>
            </w:r>
          </w:p>
        </w:tc>
        <w:tc>
          <w:tcPr>
            <w:tcW w:w="2400" w:type="dxa"/>
            <w:vAlign w:val="bottom"/>
          </w:tcPr>
          <w:p>
            <w:pPr>
              <w:spacing w:after="0"/>
              <w:rPr>
                <w:sz w:val="18"/>
                <w:szCs w:val="18"/>
                <w:color w:val="auto"/>
              </w:rPr>
            </w:pPr>
          </w:p>
        </w:tc>
        <w:tc>
          <w:tcPr>
            <w:tcW w:w="3080" w:type="dxa"/>
            <w:vAlign w:val="bottom"/>
          </w:tcPr>
          <w:p>
            <w:pPr>
              <w:spacing w:after="0"/>
              <w:rPr>
                <w:sz w:val="18"/>
                <w:szCs w:val="18"/>
                <w:color w:val="auto"/>
              </w:rPr>
            </w:pPr>
          </w:p>
        </w:tc>
        <w:tc>
          <w:tcPr>
            <w:tcW w:w="140" w:type="dxa"/>
            <w:vAlign w:val="bottom"/>
            <w:tcBorders>
              <w:right w:val="single" w:sz="8" w:color="0067B3"/>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20" w:type="dxa"/>
            <w:vAlign w:val="bottom"/>
            <w:tcBorders>
              <w:left w:val="single" w:sz="8" w:color="0067B3"/>
            </w:tcBorders>
          </w:tcPr>
          <w:p>
            <w:pPr>
              <w:spacing w:after="0"/>
              <w:rPr>
                <w:sz w:val="18"/>
                <w:szCs w:val="18"/>
                <w:color w:val="auto"/>
              </w:rPr>
            </w:pPr>
          </w:p>
        </w:tc>
        <w:tc>
          <w:tcPr>
            <w:tcW w:w="282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Effective application of these</w:t>
            </w:r>
          </w:p>
        </w:tc>
        <w:tc>
          <w:tcPr>
            <w:tcW w:w="2400" w:type="dxa"/>
            <w:vAlign w:val="bottom"/>
          </w:tcPr>
          <w:p>
            <w:pPr>
              <w:spacing w:after="0"/>
              <w:rPr>
                <w:sz w:val="18"/>
                <w:szCs w:val="18"/>
                <w:color w:val="auto"/>
              </w:rPr>
            </w:pPr>
          </w:p>
        </w:tc>
        <w:tc>
          <w:tcPr>
            <w:tcW w:w="3080" w:type="dxa"/>
            <w:vAlign w:val="bottom"/>
          </w:tcPr>
          <w:p>
            <w:pPr>
              <w:spacing w:after="0"/>
              <w:rPr>
                <w:sz w:val="18"/>
                <w:szCs w:val="18"/>
                <w:color w:val="auto"/>
              </w:rPr>
            </w:pPr>
          </w:p>
        </w:tc>
        <w:tc>
          <w:tcPr>
            <w:tcW w:w="140" w:type="dxa"/>
            <w:vAlign w:val="bottom"/>
            <w:tcBorders>
              <w:right w:val="single" w:sz="8" w:color="0067B3"/>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20" w:type="dxa"/>
            <w:vAlign w:val="bottom"/>
            <w:tcBorders>
              <w:left w:val="single" w:sz="8" w:color="0067B3"/>
            </w:tcBorders>
          </w:tcPr>
          <w:p>
            <w:pPr>
              <w:spacing w:after="0"/>
              <w:rPr>
                <w:sz w:val="18"/>
                <w:szCs w:val="18"/>
                <w:color w:val="auto"/>
              </w:rPr>
            </w:pPr>
          </w:p>
        </w:tc>
        <w:tc>
          <w:tcPr>
            <w:tcW w:w="282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criteria is reflected in the</w:t>
            </w:r>
          </w:p>
        </w:tc>
        <w:tc>
          <w:tcPr>
            <w:tcW w:w="2400" w:type="dxa"/>
            <w:vAlign w:val="bottom"/>
          </w:tcPr>
          <w:p>
            <w:pPr>
              <w:spacing w:after="0"/>
              <w:rPr>
                <w:sz w:val="18"/>
                <w:szCs w:val="18"/>
                <w:color w:val="auto"/>
              </w:rPr>
            </w:pPr>
          </w:p>
        </w:tc>
        <w:tc>
          <w:tcPr>
            <w:tcW w:w="3080" w:type="dxa"/>
            <w:vAlign w:val="bottom"/>
          </w:tcPr>
          <w:p>
            <w:pPr>
              <w:spacing w:after="0"/>
              <w:rPr>
                <w:sz w:val="18"/>
                <w:szCs w:val="18"/>
                <w:color w:val="auto"/>
              </w:rPr>
            </w:pPr>
          </w:p>
        </w:tc>
        <w:tc>
          <w:tcPr>
            <w:tcW w:w="140" w:type="dxa"/>
            <w:vAlign w:val="bottom"/>
            <w:tcBorders>
              <w:right w:val="single" w:sz="8" w:color="0067B3"/>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20" w:type="dxa"/>
            <w:vAlign w:val="bottom"/>
            <w:tcBorders>
              <w:left w:val="single" w:sz="8" w:color="0067B3"/>
            </w:tcBorders>
          </w:tcPr>
          <w:p>
            <w:pPr>
              <w:spacing w:after="0"/>
              <w:rPr>
                <w:sz w:val="18"/>
                <w:szCs w:val="18"/>
                <w:color w:val="auto"/>
              </w:rPr>
            </w:pPr>
          </w:p>
        </w:tc>
        <w:tc>
          <w:tcPr>
            <w:tcW w:w="282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diverse composition of our</w:t>
            </w:r>
          </w:p>
        </w:tc>
        <w:tc>
          <w:tcPr>
            <w:tcW w:w="2400" w:type="dxa"/>
            <w:vAlign w:val="bottom"/>
          </w:tcPr>
          <w:p>
            <w:pPr>
              <w:spacing w:after="0"/>
              <w:rPr>
                <w:sz w:val="18"/>
                <w:szCs w:val="18"/>
                <w:color w:val="auto"/>
              </w:rPr>
            </w:pPr>
          </w:p>
        </w:tc>
        <w:tc>
          <w:tcPr>
            <w:tcW w:w="3080" w:type="dxa"/>
            <w:vAlign w:val="bottom"/>
          </w:tcPr>
          <w:p>
            <w:pPr>
              <w:spacing w:after="0"/>
              <w:rPr>
                <w:sz w:val="18"/>
                <w:szCs w:val="18"/>
                <w:color w:val="auto"/>
              </w:rPr>
            </w:pPr>
          </w:p>
        </w:tc>
        <w:tc>
          <w:tcPr>
            <w:tcW w:w="140" w:type="dxa"/>
            <w:vAlign w:val="bottom"/>
            <w:tcBorders>
              <w:right w:val="single" w:sz="8" w:color="0067B3"/>
            </w:tcBorders>
          </w:tcPr>
          <w:p>
            <w:pPr>
              <w:spacing w:after="0"/>
              <w:rPr>
                <w:sz w:val="18"/>
                <w:szCs w:val="18"/>
                <w:color w:val="auto"/>
              </w:rPr>
            </w:pPr>
          </w:p>
        </w:tc>
        <w:tc>
          <w:tcPr>
            <w:tcW w:w="0" w:type="dxa"/>
            <w:vAlign w:val="bottom"/>
          </w:tcPr>
          <w:p>
            <w:pPr>
              <w:spacing w:after="0"/>
              <w:rPr>
                <w:sz w:val="1"/>
                <w:szCs w:val="1"/>
                <w:color w:val="auto"/>
              </w:rPr>
            </w:pPr>
          </w:p>
        </w:tc>
      </w:tr>
      <w:tr>
        <w:trPr>
          <w:trHeight w:val="239"/>
        </w:trPr>
        <w:tc>
          <w:tcPr>
            <w:tcW w:w="2820" w:type="dxa"/>
            <w:vAlign w:val="bottom"/>
            <w:tcBorders>
              <w:left w:val="single" w:sz="8" w:color="0067B3"/>
            </w:tcBorders>
          </w:tcPr>
          <w:p>
            <w:pPr>
              <w:spacing w:after="0"/>
              <w:rPr>
                <w:sz w:val="20"/>
                <w:szCs w:val="20"/>
                <w:color w:val="auto"/>
              </w:rPr>
            </w:pPr>
          </w:p>
        </w:tc>
        <w:tc>
          <w:tcPr>
            <w:tcW w:w="282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Board of Directors.</w:t>
            </w:r>
          </w:p>
        </w:tc>
        <w:tc>
          <w:tcPr>
            <w:tcW w:w="2400" w:type="dxa"/>
            <w:vAlign w:val="bottom"/>
          </w:tcPr>
          <w:p>
            <w:pPr>
              <w:spacing w:after="0"/>
              <w:rPr>
                <w:sz w:val="20"/>
                <w:szCs w:val="20"/>
                <w:color w:val="auto"/>
              </w:rPr>
            </w:pPr>
          </w:p>
        </w:tc>
        <w:tc>
          <w:tcPr>
            <w:tcW w:w="3080" w:type="dxa"/>
            <w:vAlign w:val="bottom"/>
          </w:tcPr>
          <w:p>
            <w:pPr>
              <w:spacing w:after="0"/>
              <w:rPr>
                <w:sz w:val="20"/>
                <w:szCs w:val="20"/>
                <w:color w:val="auto"/>
              </w:rPr>
            </w:pPr>
          </w:p>
        </w:tc>
        <w:tc>
          <w:tcPr>
            <w:tcW w:w="140" w:type="dxa"/>
            <w:vAlign w:val="bottom"/>
            <w:tcBorders>
              <w:right w:val="single" w:sz="8" w:color="0067B3"/>
            </w:tcBorders>
          </w:tcPr>
          <w:p>
            <w:pPr>
              <w:spacing w:after="0"/>
              <w:rPr>
                <w:sz w:val="20"/>
                <w:szCs w:val="20"/>
                <w:color w:val="auto"/>
              </w:rPr>
            </w:pPr>
          </w:p>
        </w:tc>
        <w:tc>
          <w:tcPr>
            <w:tcW w:w="0" w:type="dxa"/>
            <w:vAlign w:val="bottom"/>
          </w:tcPr>
          <w:p>
            <w:pPr>
              <w:spacing w:after="0"/>
              <w:rPr>
                <w:sz w:val="1"/>
                <w:szCs w:val="1"/>
                <w:color w:val="auto"/>
              </w:rPr>
            </w:pPr>
          </w:p>
        </w:tc>
      </w:tr>
      <w:tr>
        <w:trPr>
          <w:trHeight w:val="428"/>
        </w:trPr>
        <w:tc>
          <w:tcPr>
            <w:tcW w:w="2820" w:type="dxa"/>
            <w:vAlign w:val="bottom"/>
            <w:tcBorders>
              <w:left w:val="single" w:sz="8" w:color="0067B3"/>
              <w:bottom w:val="single" w:sz="8" w:color="0067B3"/>
            </w:tcBorders>
          </w:tcPr>
          <w:p>
            <w:pPr>
              <w:spacing w:after="0"/>
              <w:rPr>
                <w:sz w:val="24"/>
                <w:szCs w:val="24"/>
                <w:color w:val="auto"/>
              </w:rPr>
            </w:pPr>
          </w:p>
        </w:tc>
        <w:tc>
          <w:tcPr>
            <w:tcW w:w="2820" w:type="dxa"/>
            <w:vAlign w:val="bottom"/>
            <w:tcBorders>
              <w:bottom w:val="single" w:sz="8" w:color="0067B3"/>
              <w:right w:val="single" w:sz="8" w:color="auto"/>
            </w:tcBorders>
          </w:tcPr>
          <w:p>
            <w:pPr>
              <w:spacing w:after="0"/>
              <w:rPr>
                <w:sz w:val="24"/>
                <w:szCs w:val="24"/>
                <w:color w:val="auto"/>
              </w:rPr>
            </w:pPr>
          </w:p>
        </w:tc>
        <w:tc>
          <w:tcPr>
            <w:tcW w:w="2400" w:type="dxa"/>
            <w:vAlign w:val="bottom"/>
            <w:tcBorders>
              <w:bottom w:val="single" w:sz="8" w:color="0067B3"/>
            </w:tcBorders>
          </w:tcPr>
          <w:p>
            <w:pPr>
              <w:spacing w:after="0"/>
              <w:rPr>
                <w:sz w:val="24"/>
                <w:szCs w:val="24"/>
                <w:color w:val="auto"/>
              </w:rPr>
            </w:pPr>
          </w:p>
        </w:tc>
        <w:tc>
          <w:tcPr>
            <w:tcW w:w="3080" w:type="dxa"/>
            <w:vAlign w:val="bottom"/>
            <w:tcBorders>
              <w:bottom w:val="single" w:sz="8" w:color="0067B3"/>
            </w:tcBorders>
          </w:tcPr>
          <w:p>
            <w:pPr>
              <w:spacing w:after="0"/>
              <w:rPr>
                <w:sz w:val="24"/>
                <w:szCs w:val="24"/>
                <w:color w:val="auto"/>
              </w:rPr>
            </w:pPr>
          </w:p>
        </w:tc>
        <w:tc>
          <w:tcPr>
            <w:tcW w:w="140" w:type="dxa"/>
            <w:vAlign w:val="bottom"/>
            <w:tcBorders>
              <w:bottom w:val="single" w:sz="8" w:color="0067B3"/>
              <w:right w:val="single" w:sz="8" w:color="0067B3"/>
            </w:tcBorders>
          </w:tcPr>
          <w:p>
            <w:pPr>
              <w:spacing w:after="0"/>
              <w:rPr>
                <w:sz w:val="24"/>
                <w:szCs w:val="24"/>
                <w:color w:val="auto"/>
              </w:rPr>
            </w:pPr>
          </w:p>
        </w:tc>
        <w:tc>
          <w:tcPr>
            <w:tcW w:w="0" w:type="dxa"/>
            <w:vAlign w:val="bottom"/>
          </w:tcPr>
          <w:p>
            <w:pPr>
              <w:spacing w:after="0"/>
              <w:rPr>
                <w:sz w:val="1"/>
                <w:szCs w:val="1"/>
                <w:color w:val="auto"/>
              </w:rPr>
            </w:pPr>
          </w:p>
        </w:tc>
      </w:tr>
      <w:tr>
        <w:trPr>
          <w:trHeight w:val="823"/>
        </w:trPr>
        <w:tc>
          <w:tcPr>
            <w:tcW w:w="2820" w:type="dxa"/>
            <w:vAlign w:val="bottom"/>
          </w:tcPr>
          <w:p>
            <w:pPr>
              <w:spacing w:after="0"/>
              <w:rPr>
                <w:sz w:val="24"/>
                <w:szCs w:val="24"/>
                <w:color w:val="auto"/>
              </w:rPr>
            </w:pPr>
          </w:p>
        </w:tc>
        <w:tc>
          <w:tcPr>
            <w:tcW w:w="2820" w:type="dxa"/>
            <w:vAlign w:val="bottom"/>
          </w:tcPr>
          <w:p>
            <w:pPr>
              <w:spacing w:after="0"/>
              <w:rPr>
                <w:sz w:val="24"/>
                <w:szCs w:val="24"/>
                <w:color w:val="auto"/>
              </w:rPr>
            </w:pPr>
          </w:p>
        </w:tc>
        <w:tc>
          <w:tcPr>
            <w:tcW w:w="2400" w:type="dxa"/>
            <w:vAlign w:val="bottom"/>
          </w:tcPr>
          <w:p>
            <w:pPr>
              <w:spacing w:after="0"/>
              <w:rPr>
                <w:sz w:val="24"/>
                <w:szCs w:val="24"/>
                <w:color w:val="auto"/>
              </w:rPr>
            </w:pPr>
          </w:p>
        </w:tc>
        <w:tc>
          <w:tcPr>
            <w:tcW w:w="3080" w:type="dxa"/>
            <w:vAlign w:val="bottom"/>
          </w:tcPr>
          <w:p>
            <w:pPr>
              <w:ind w:left="940"/>
              <w:spacing w:after="0"/>
              <w:rPr>
                <w:sz w:val="20"/>
                <w:szCs w:val="20"/>
                <w:color w:val="auto"/>
              </w:rPr>
            </w:pPr>
            <w:r>
              <w:rPr>
                <w:rFonts w:ascii="Arial" w:cs="Arial" w:eastAsia="Arial" w:hAnsi="Arial"/>
                <w:sz w:val="16"/>
                <w:szCs w:val="16"/>
                <w:color w:val="0067B3"/>
              </w:rPr>
              <w:t>2026 Proxy Statement</w:t>
            </w:r>
          </w:p>
        </w:tc>
        <w:tc>
          <w:tcPr>
            <w:tcW w:w="140" w:type="dxa"/>
            <w:vAlign w:val="bottom"/>
          </w:tcPr>
          <w:p>
            <w:pPr>
              <w:jc w:val="right"/>
              <w:spacing w:after="0"/>
              <w:rPr>
                <w:sz w:val="20"/>
                <w:szCs w:val="20"/>
                <w:color w:val="auto"/>
              </w:rPr>
            </w:pPr>
            <w:r>
              <w:rPr>
                <w:rFonts w:ascii="Arial" w:cs="Arial" w:eastAsia="Arial" w:hAnsi="Arial"/>
                <w:sz w:val="20"/>
                <w:szCs w:val="20"/>
                <w:b w:val="1"/>
                <w:bCs w:val="1"/>
                <w:color w:val="auto"/>
                <w:w w:val="71"/>
              </w:rPr>
              <w:t>9</w:t>
            </w:r>
          </w:p>
        </w:tc>
        <w:tc>
          <w:tcPr>
            <w:tcW w:w="0" w:type="dxa"/>
            <w:vAlign w:val="bottom"/>
          </w:tcPr>
          <w:p>
            <w:pPr>
              <w:spacing w:after="0"/>
              <w:rPr>
                <w:sz w:val="1"/>
                <w:szCs w:val="1"/>
                <w:color w:val="auto"/>
              </w:rPr>
            </w:pPr>
          </w:p>
        </w:tc>
      </w:tr>
      <w:tr>
        <w:trPr>
          <w:trHeight w:val="338"/>
        </w:trPr>
        <w:tc>
          <w:tcPr>
            <w:tcW w:w="2820" w:type="dxa"/>
            <w:vAlign w:val="bottom"/>
            <w:tcBorders>
              <w:bottom w:val="single" w:sz="8" w:color="9A9A9A"/>
            </w:tcBorders>
          </w:tcPr>
          <w:p>
            <w:pPr>
              <w:spacing w:after="0"/>
              <w:rPr>
                <w:sz w:val="24"/>
                <w:szCs w:val="24"/>
                <w:color w:val="auto"/>
              </w:rPr>
            </w:pPr>
          </w:p>
        </w:tc>
        <w:tc>
          <w:tcPr>
            <w:tcW w:w="2820" w:type="dxa"/>
            <w:vAlign w:val="bottom"/>
            <w:tcBorders>
              <w:bottom w:val="single" w:sz="8" w:color="9A9A9A"/>
            </w:tcBorders>
          </w:tcPr>
          <w:p>
            <w:pPr>
              <w:spacing w:after="0"/>
              <w:rPr>
                <w:sz w:val="24"/>
                <w:szCs w:val="24"/>
                <w:color w:val="auto"/>
              </w:rPr>
            </w:pPr>
          </w:p>
        </w:tc>
        <w:tc>
          <w:tcPr>
            <w:tcW w:w="2400" w:type="dxa"/>
            <w:vAlign w:val="bottom"/>
            <w:tcBorders>
              <w:bottom w:val="single" w:sz="8" w:color="9A9A9A"/>
            </w:tcBorders>
          </w:tcPr>
          <w:p>
            <w:pPr>
              <w:spacing w:after="0"/>
              <w:rPr>
                <w:sz w:val="24"/>
                <w:szCs w:val="24"/>
                <w:color w:val="auto"/>
              </w:rPr>
            </w:pPr>
          </w:p>
        </w:tc>
        <w:tc>
          <w:tcPr>
            <w:tcW w:w="308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64770</wp:posOffset>
            </wp:positionH>
            <wp:positionV relativeFrom="paragraph">
              <wp:posOffset>-3711575</wp:posOffset>
            </wp:positionV>
            <wp:extent cx="1423035" cy="12001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1423035" cy="120015"/>
                    </a:xfrm>
                    <a:prstGeom prst="rect">
                      <a:avLst/>
                    </a:prstGeom>
                    <a:noFill/>
                  </pic:spPr>
                </pic:pic>
              </a:graphicData>
            </a:graphic>
          </wp:anchor>
        </w:drawing>
        <w:drawing>
          <wp:anchor simplePos="0" relativeHeight="251657728" behindDoc="1" locked="0" layoutInCell="0" allowOverlap="1">
            <wp:simplePos x="0" y="0"/>
            <wp:positionH relativeFrom="column">
              <wp:posOffset>3656965</wp:posOffset>
            </wp:positionH>
            <wp:positionV relativeFrom="paragraph">
              <wp:posOffset>-3711575</wp:posOffset>
            </wp:positionV>
            <wp:extent cx="1423035" cy="10287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1423035" cy="102870"/>
                    </a:xfrm>
                    <a:prstGeom prst="rect">
                      <a:avLst/>
                    </a:prstGeom>
                    <a:noFill/>
                  </pic:spPr>
                </pic:pic>
              </a:graphicData>
            </a:graphic>
          </wp:anchor>
        </w:drawing>
        <w:drawing>
          <wp:anchor simplePos="0" relativeHeight="251657728" behindDoc="1" locked="0" layoutInCell="0" allowOverlap="1">
            <wp:simplePos x="0" y="0"/>
            <wp:positionH relativeFrom="column">
              <wp:posOffset>64770</wp:posOffset>
            </wp:positionH>
            <wp:positionV relativeFrom="paragraph">
              <wp:posOffset>-2656840</wp:posOffset>
            </wp:positionV>
            <wp:extent cx="1423035" cy="12001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1423035" cy="120015"/>
                    </a:xfrm>
                    <a:prstGeom prst="rect">
                      <a:avLst/>
                    </a:prstGeom>
                    <a:noFill/>
                  </pic:spPr>
                </pic:pic>
              </a:graphicData>
            </a:graphic>
          </wp:anchor>
        </w:drawing>
      </w:r>
    </w:p>
    <w:p>
      <w:pPr>
        <w:sectPr>
          <w:pgSz w:w="11900" w:h="16838" w:orient="portrait"/>
          <w:cols w:equalWidth="0" w:num="1">
            <w:col w:w="11260"/>
          </w:cols>
          <w:pgMar w:left="320" w:top="1311" w:right="319" w:bottom="1440" w:gutter="0" w:footer="0" w:header="0"/>
        </w:sectPr>
      </w:pPr>
    </w:p>
    <w:bookmarkStart w:id="16" w:name="page17"/>
    <w:bookmarkEnd w:id="16"/>
    <w:p>
      <w:pPr>
        <w:spacing w:after="0"/>
        <w:rPr>
          <w:sz w:val="20"/>
          <w:szCs w:val="20"/>
          <w:color w:val="auto"/>
        </w:rPr>
      </w:pPr>
      <w:r>
        <w:rPr>
          <w:rFonts w:ascii="Arial" w:cs="Arial" w:eastAsia="Arial" w:hAnsi="Arial"/>
          <w:sz w:val="32"/>
          <w:szCs w:val="32"/>
          <w:b w:val="1"/>
          <w:bCs w:val="1"/>
          <w:color w:val="auto"/>
        </w:rPr>
        <w:t>Board Profile</w:t>
      </w:r>
    </w:p>
    <w:p>
      <w:pPr>
        <w:spacing w:after="0" w:line="156" w:lineRule="exact"/>
        <w:rPr>
          <w:sz w:val="20"/>
          <w:szCs w:val="20"/>
          <w:color w:val="auto"/>
        </w:rPr>
      </w:pPr>
    </w:p>
    <w:p>
      <w:pPr>
        <w:ind w:right="620"/>
        <w:spacing w:after="0" w:line="287" w:lineRule="auto"/>
        <w:rPr>
          <w:sz w:val="20"/>
          <w:szCs w:val="20"/>
          <w:color w:val="auto"/>
        </w:rPr>
      </w:pPr>
      <w:r>
        <w:rPr>
          <w:rFonts w:ascii="Arial" w:cs="Arial" w:eastAsia="Arial" w:hAnsi="Arial"/>
          <w:sz w:val="18"/>
          <w:szCs w:val="18"/>
          <w:color w:val="auto"/>
        </w:rPr>
        <w:t>ADI’s directors contribute significant experience in the areas most relevant to overseeing our business and strategy. The matrix below provides a high-level summary of the experience and qualifications of our director nominees:</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350"/>
        </w:trPr>
        <w:tc>
          <w:tcPr>
            <w:tcW w:w="8280" w:type="dxa"/>
            <w:vAlign w:val="bottom"/>
            <w:tcBorders>
              <w:top w:val="single" w:sz="8" w:color="0067B3"/>
              <w:right w:val="single" w:sz="8" w:color="939598"/>
            </w:tcBorders>
          </w:tcPr>
          <w:p>
            <w:pPr>
              <w:ind w:left="760"/>
              <w:spacing w:after="0"/>
              <w:rPr>
                <w:sz w:val="20"/>
                <w:szCs w:val="20"/>
                <w:color w:val="auto"/>
              </w:rPr>
            </w:pPr>
            <w:r>
              <w:rPr>
                <w:rFonts w:ascii="Arial" w:cs="Arial" w:eastAsia="Arial" w:hAnsi="Arial"/>
                <w:sz w:val="18"/>
                <w:szCs w:val="18"/>
                <w:b w:val="1"/>
                <w:bCs w:val="1"/>
                <w:color w:val="0067B3"/>
              </w:rPr>
              <w:t>Executive Leadership:</w:t>
            </w:r>
          </w:p>
        </w:tc>
        <w:tc>
          <w:tcPr>
            <w:tcW w:w="2960" w:type="dxa"/>
            <w:vAlign w:val="bottom"/>
            <w:tcBorders>
              <w:top w:val="single" w:sz="8" w:color="0067B3"/>
            </w:tcBorders>
            <w:vMerge w:val="restart"/>
          </w:tcPr>
          <w:p>
            <w:pPr>
              <w:jc w:val="center"/>
              <w:ind w:right="2330"/>
              <w:spacing w:after="0"/>
              <w:rPr>
                <w:sz w:val="20"/>
                <w:szCs w:val="20"/>
                <w:color w:val="auto"/>
              </w:rPr>
            </w:pPr>
            <w:r>
              <w:rPr>
                <w:rFonts w:ascii="Arial" w:cs="Arial" w:eastAsia="Arial" w:hAnsi="Arial"/>
                <w:sz w:val="18"/>
                <w:szCs w:val="18"/>
                <w:color w:val="auto"/>
                <w:w w:val="96"/>
              </w:rPr>
              <w:t>6/10</w:t>
            </w:r>
          </w:p>
        </w:tc>
        <w:tc>
          <w:tcPr>
            <w:tcW w:w="0" w:type="dxa"/>
            <w:vAlign w:val="bottom"/>
          </w:tcPr>
          <w:p>
            <w:pPr>
              <w:spacing w:after="0"/>
              <w:rPr>
                <w:sz w:val="1"/>
                <w:szCs w:val="1"/>
                <w:color w:val="auto"/>
              </w:rPr>
            </w:pPr>
          </w:p>
        </w:tc>
      </w:tr>
      <w:tr>
        <w:trPr>
          <w:trHeight w:val="127"/>
        </w:trPr>
        <w:tc>
          <w:tcPr>
            <w:tcW w:w="8280" w:type="dxa"/>
            <w:vAlign w:val="bottom"/>
            <w:tcBorders>
              <w:right w:val="single" w:sz="8" w:color="939598"/>
            </w:tcBorders>
            <w:vMerge w:val="restart"/>
          </w:tcPr>
          <w:p>
            <w:pPr>
              <w:ind w:left="760"/>
              <w:spacing w:after="0"/>
              <w:rPr>
                <w:sz w:val="20"/>
                <w:szCs w:val="20"/>
                <w:color w:val="auto"/>
              </w:rPr>
            </w:pPr>
            <w:r>
              <w:rPr>
                <w:rFonts w:ascii="Arial" w:cs="Arial" w:eastAsia="Arial" w:hAnsi="Arial"/>
                <w:sz w:val="18"/>
                <w:szCs w:val="18"/>
                <w:color w:val="auto"/>
              </w:rPr>
              <w:t>Experienced executive-level leadership of complex global businesses</w:t>
            </w:r>
          </w:p>
        </w:tc>
        <w:tc>
          <w:tcPr>
            <w:tcW w:w="29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8280" w:type="dxa"/>
            <w:vAlign w:val="bottom"/>
            <w:tcBorders>
              <w:right w:val="single" w:sz="8" w:color="939598"/>
            </w:tcBorders>
            <w:vMerge w:val="continue"/>
          </w:tcPr>
          <w:p>
            <w:pPr>
              <w:spacing w:after="0"/>
              <w:rPr>
                <w:sz w:val="12"/>
                <w:szCs w:val="12"/>
                <w:color w:val="auto"/>
              </w:rPr>
            </w:pPr>
          </w:p>
        </w:tc>
        <w:tc>
          <w:tcPr>
            <w:tcW w:w="29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90"/>
        </w:trPr>
        <w:tc>
          <w:tcPr>
            <w:tcW w:w="8280" w:type="dxa"/>
            <w:vAlign w:val="bottom"/>
            <w:tcBorders>
              <w:bottom w:val="single" w:sz="8" w:color="939598"/>
              <w:right w:val="single" w:sz="8" w:color="939598"/>
            </w:tcBorders>
          </w:tcPr>
          <w:p>
            <w:pPr>
              <w:spacing w:after="0"/>
              <w:rPr>
                <w:sz w:val="7"/>
                <w:szCs w:val="7"/>
                <w:color w:val="auto"/>
              </w:rPr>
            </w:pPr>
          </w:p>
        </w:tc>
        <w:tc>
          <w:tcPr>
            <w:tcW w:w="2960" w:type="dxa"/>
            <w:vAlign w:val="bottom"/>
            <w:tcBorders>
              <w:bottom w:val="single" w:sz="8" w:color="939598"/>
            </w:tcBorders>
          </w:tcPr>
          <w:p>
            <w:pPr>
              <w:spacing w:after="0"/>
              <w:rPr>
                <w:sz w:val="7"/>
                <w:szCs w:val="7"/>
                <w:color w:val="auto"/>
              </w:rPr>
            </w:pPr>
          </w:p>
        </w:tc>
        <w:tc>
          <w:tcPr>
            <w:tcW w:w="0" w:type="dxa"/>
            <w:vAlign w:val="bottom"/>
          </w:tcPr>
          <w:p>
            <w:pPr>
              <w:spacing w:after="0"/>
              <w:rPr>
                <w:sz w:val="1"/>
                <w:szCs w:val="1"/>
                <w:color w:val="auto"/>
              </w:rPr>
            </w:pPr>
          </w:p>
        </w:tc>
      </w:tr>
      <w:tr>
        <w:trPr>
          <w:trHeight w:val="329"/>
        </w:trPr>
        <w:tc>
          <w:tcPr>
            <w:tcW w:w="8280" w:type="dxa"/>
            <w:vAlign w:val="bottom"/>
            <w:tcBorders>
              <w:right w:val="single" w:sz="8" w:color="939598"/>
            </w:tcBorders>
          </w:tcPr>
          <w:p>
            <w:pPr>
              <w:ind w:left="760"/>
              <w:spacing w:after="0"/>
              <w:rPr>
                <w:sz w:val="20"/>
                <w:szCs w:val="20"/>
                <w:color w:val="auto"/>
              </w:rPr>
            </w:pPr>
            <w:r>
              <w:rPr>
                <w:rFonts w:ascii="Arial" w:cs="Arial" w:eastAsia="Arial" w:hAnsi="Arial"/>
                <w:sz w:val="18"/>
                <w:szCs w:val="18"/>
                <w:b w:val="1"/>
                <w:bCs w:val="1"/>
                <w:color w:val="0067B3"/>
              </w:rPr>
              <w:t>Industry:</w:t>
            </w:r>
          </w:p>
        </w:tc>
        <w:tc>
          <w:tcPr>
            <w:tcW w:w="2960" w:type="dxa"/>
            <w:vAlign w:val="bottom"/>
            <w:vMerge w:val="restart"/>
          </w:tcPr>
          <w:p>
            <w:pPr>
              <w:jc w:val="center"/>
              <w:ind w:right="2330"/>
              <w:spacing w:after="0"/>
              <w:rPr>
                <w:sz w:val="20"/>
                <w:szCs w:val="20"/>
                <w:color w:val="auto"/>
              </w:rPr>
            </w:pPr>
            <w:r>
              <w:rPr>
                <w:rFonts w:ascii="Arial" w:cs="Arial" w:eastAsia="Arial" w:hAnsi="Arial"/>
                <w:sz w:val="18"/>
                <w:szCs w:val="18"/>
                <w:color w:val="auto"/>
                <w:w w:val="96"/>
              </w:rPr>
              <w:t>8/10</w:t>
            </w:r>
          </w:p>
        </w:tc>
        <w:tc>
          <w:tcPr>
            <w:tcW w:w="0" w:type="dxa"/>
            <w:vAlign w:val="bottom"/>
          </w:tcPr>
          <w:p>
            <w:pPr>
              <w:spacing w:after="0"/>
              <w:rPr>
                <w:sz w:val="1"/>
                <w:szCs w:val="1"/>
                <w:color w:val="auto"/>
              </w:rPr>
            </w:pPr>
          </w:p>
        </w:tc>
      </w:tr>
      <w:tr>
        <w:trPr>
          <w:trHeight w:val="127"/>
        </w:trPr>
        <w:tc>
          <w:tcPr>
            <w:tcW w:w="8280" w:type="dxa"/>
            <w:vAlign w:val="bottom"/>
            <w:tcBorders>
              <w:right w:val="single" w:sz="8" w:color="939598"/>
            </w:tcBorders>
            <w:vMerge w:val="restart"/>
          </w:tcPr>
          <w:p>
            <w:pPr>
              <w:ind w:left="760"/>
              <w:spacing w:after="0"/>
              <w:rPr>
                <w:sz w:val="20"/>
                <w:szCs w:val="20"/>
                <w:color w:val="auto"/>
              </w:rPr>
            </w:pPr>
            <w:r>
              <w:rPr>
                <w:rFonts w:ascii="Arial" w:cs="Arial" w:eastAsia="Arial" w:hAnsi="Arial"/>
                <w:sz w:val="18"/>
                <w:szCs w:val="18"/>
                <w:color w:val="auto"/>
              </w:rPr>
              <w:t>Insight into key issues affecting ADI</w:t>
            </w:r>
          </w:p>
        </w:tc>
        <w:tc>
          <w:tcPr>
            <w:tcW w:w="29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8280" w:type="dxa"/>
            <w:vAlign w:val="bottom"/>
            <w:tcBorders>
              <w:right w:val="single" w:sz="8" w:color="939598"/>
            </w:tcBorders>
            <w:vMerge w:val="continue"/>
          </w:tcPr>
          <w:p>
            <w:pPr>
              <w:spacing w:after="0"/>
              <w:rPr>
                <w:sz w:val="12"/>
                <w:szCs w:val="12"/>
                <w:color w:val="auto"/>
              </w:rPr>
            </w:pPr>
          </w:p>
        </w:tc>
        <w:tc>
          <w:tcPr>
            <w:tcW w:w="29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90"/>
        </w:trPr>
        <w:tc>
          <w:tcPr>
            <w:tcW w:w="8280" w:type="dxa"/>
            <w:vAlign w:val="bottom"/>
            <w:tcBorders>
              <w:bottom w:val="single" w:sz="8" w:color="939598"/>
              <w:right w:val="single" w:sz="8" w:color="939598"/>
            </w:tcBorders>
          </w:tcPr>
          <w:p>
            <w:pPr>
              <w:spacing w:after="0"/>
              <w:rPr>
                <w:sz w:val="7"/>
                <w:szCs w:val="7"/>
                <w:color w:val="auto"/>
              </w:rPr>
            </w:pPr>
          </w:p>
        </w:tc>
        <w:tc>
          <w:tcPr>
            <w:tcW w:w="2960" w:type="dxa"/>
            <w:vAlign w:val="bottom"/>
            <w:tcBorders>
              <w:bottom w:val="single" w:sz="8" w:color="939598"/>
            </w:tcBorders>
          </w:tcPr>
          <w:p>
            <w:pPr>
              <w:spacing w:after="0"/>
              <w:rPr>
                <w:sz w:val="7"/>
                <w:szCs w:val="7"/>
                <w:color w:val="auto"/>
              </w:rPr>
            </w:pPr>
          </w:p>
        </w:tc>
        <w:tc>
          <w:tcPr>
            <w:tcW w:w="0" w:type="dxa"/>
            <w:vAlign w:val="bottom"/>
          </w:tcPr>
          <w:p>
            <w:pPr>
              <w:spacing w:after="0"/>
              <w:rPr>
                <w:sz w:val="1"/>
                <w:szCs w:val="1"/>
                <w:color w:val="auto"/>
              </w:rPr>
            </w:pPr>
          </w:p>
        </w:tc>
      </w:tr>
      <w:tr>
        <w:trPr>
          <w:trHeight w:val="329"/>
        </w:trPr>
        <w:tc>
          <w:tcPr>
            <w:tcW w:w="8280" w:type="dxa"/>
            <w:vAlign w:val="bottom"/>
            <w:tcBorders>
              <w:right w:val="single" w:sz="8" w:color="939598"/>
            </w:tcBorders>
          </w:tcPr>
          <w:p>
            <w:pPr>
              <w:ind w:left="760"/>
              <w:spacing w:after="0"/>
              <w:rPr>
                <w:sz w:val="20"/>
                <w:szCs w:val="20"/>
                <w:color w:val="auto"/>
              </w:rPr>
            </w:pPr>
            <w:r>
              <w:rPr>
                <w:rFonts w:ascii="Arial" w:cs="Arial" w:eastAsia="Arial" w:hAnsi="Arial"/>
                <w:sz w:val="18"/>
                <w:szCs w:val="18"/>
                <w:b w:val="1"/>
                <w:bCs w:val="1"/>
                <w:color w:val="0067B3"/>
              </w:rPr>
              <w:t>Innovation and Emerging Technologies:</w:t>
            </w:r>
          </w:p>
        </w:tc>
        <w:tc>
          <w:tcPr>
            <w:tcW w:w="2960" w:type="dxa"/>
            <w:vAlign w:val="bottom"/>
            <w:vMerge w:val="restart"/>
          </w:tcPr>
          <w:p>
            <w:pPr>
              <w:jc w:val="center"/>
              <w:ind w:right="2330"/>
              <w:spacing w:after="0"/>
              <w:rPr>
                <w:sz w:val="20"/>
                <w:szCs w:val="20"/>
                <w:color w:val="auto"/>
              </w:rPr>
            </w:pPr>
            <w:r>
              <w:rPr>
                <w:rFonts w:ascii="Arial" w:cs="Arial" w:eastAsia="Arial" w:hAnsi="Arial"/>
                <w:sz w:val="18"/>
                <w:szCs w:val="18"/>
                <w:color w:val="auto"/>
                <w:w w:val="96"/>
              </w:rPr>
              <w:t>9/10</w:t>
            </w:r>
          </w:p>
        </w:tc>
        <w:tc>
          <w:tcPr>
            <w:tcW w:w="0" w:type="dxa"/>
            <w:vAlign w:val="bottom"/>
          </w:tcPr>
          <w:p>
            <w:pPr>
              <w:spacing w:after="0"/>
              <w:rPr>
                <w:sz w:val="1"/>
                <w:szCs w:val="1"/>
                <w:color w:val="auto"/>
              </w:rPr>
            </w:pPr>
          </w:p>
        </w:tc>
      </w:tr>
      <w:tr>
        <w:trPr>
          <w:trHeight w:val="253"/>
        </w:trPr>
        <w:tc>
          <w:tcPr>
            <w:tcW w:w="8280" w:type="dxa"/>
            <w:vAlign w:val="bottom"/>
            <w:tcBorders>
              <w:right w:val="single" w:sz="8" w:color="939598"/>
            </w:tcBorders>
          </w:tcPr>
          <w:p>
            <w:pPr>
              <w:ind w:left="760"/>
              <w:spacing w:after="0"/>
              <w:rPr>
                <w:sz w:val="20"/>
                <w:szCs w:val="20"/>
                <w:color w:val="auto"/>
              </w:rPr>
            </w:pPr>
            <w:r>
              <w:rPr>
                <w:rFonts w:ascii="Arial" w:cs="Arial" w:eastAsia="Arial" w:hAnsi="Arial"/>
                <w:sz w:val="18"/>
                <w:szCs w:val="18"/>
                <w:color w:val="auto"/>
              </w:rPr>
              <w:t>Expertise and thought leadership relating to artificial intelligence or technological innovation in</w:t>
            </w:r>
          </w:p>
        </w:tc>
        <w:tc>
          <w:tcPr>
            <w:tcW w:w="296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8280" w:type="dxa"/>
            <w:vAlign w:val="bottom"/>
            <w:tcBorders>
              <w:right w:val="single" w:sz="8" w:color="939598"/>
            </w:tcBorders>
          </w:tcPr>
          <w:p>
            <w:pPr>
              <w:ind w:left="760"/>
              <w:spacing w:after="0"/>
              <w:rPr>
                <w:sz w:val="20"/>
                <w:szCs w:val="20"/>
                <w:color w:val="auto"/>
              </w:rPr>
            </w:pPr>
            <w:r>
              <w:rPr>
                <w:rFonts w:ascii="Arial" w:cs="Arial" w:eastAsia="Arial" w:hAnsi="Arial"/>
                <w:sz w:val="18"/>
                <w:szCs w:val="18"/>
                <w:color w:val="auto"/>
              </w:rPr>
              <w:t>our industry and our end markets</w:t>
            </w:r>
          </w:p>
        </w:tc>
        <w:tc>
          <w:tcPr>
            <w:tcW w:w="29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91"/>
        </w:trPr>
        <w:tc>
          <w:tcPr>
            <w:tcW w:w="8280" w:type="dxa"/>
            <w:vAlign w:val="bottom"/>
            <w:tcBorders>
              <w:bottom w:val="single" w:sz="8" w:color="939598"/>
              <w:right w:val="single" w:sz="8" w:color="939598"/>
            </w:tcBorders>
          </w:tcPr>
          <w:p>
            <w:pPr>
              <w:spacing w:after="0"/>
              <w:rPr>
                <w:sz w:val="7"/>
                <w:szCs w:val="7"/>
                <w:color w:val="auto"/>
              </w:rPr>
            </w:pPr>
          </w:p>
        </w:tc>
        <w:tc>
          <w:tcPr>
            <w:tcW w:w="2960" w:type="dxa"/>
            <w:vAlign w:val="bottom"/>
            <w:tcBorders>
              <w:bottom w:val="single" w:sz="8" w:color="939598"/>
            </w:tcBorders>
          </w:tcPr>
          <w:p>
            <w:pPr>
              <w:spacing w:after="0"/>
              <w:rPr>
                <w:sz w:val="7"/>
                <w:szCs w:val="7"/>
                <w:color w:val="auto"/>
              </w:rPr>
            </w:pPr>
          </w:p>
        </w:tc>
        <w:tc>
          <w:tcPr>
            <w:tcW w:w="0" w:type="dxa"/>
            <w:vAlign w:val="bottom"/>
          </w:tcPr>
          <w:p>
            <w:pPr>
              <w:spacing w:after="0"/>
              <w:rPr>
                <w:sz w:val="1"/>
                <w:szCs w:val="1"/>
                <w:color w:val="auto"/>
              </w:rPr>
            </w:pPr>
          </w:p>
        </w:tc>
      </w:tr>
      <w:tr>
        <w:trPr>
          <w:trHeight w:val="329"/>
        </w:trPr>
        <w:tc>
          <w:tcPr>
            <w:tcW w:w="8280" w:type="dxa"/>
            <w:vAlign w:val="bottom"/>
            <w:tcBorders>
              <w:right w:val="single" w:sz="8" w:color="939598"/>
            </w:tcBorders>
          </w:tcPr>
          <w:p>
            <w:pPr>
              <w:ind w:left="760"/>
              <w:spacing w:after="0"/>
              <w:rPr>
                <w:sz w:val="20"/>
                <w:szCs w:val="20"/>
                <w:color w:val="auto"/>
              </w:rPr>
            </w:pPr>
            <w:r>
              <w:rPr>
                <w:rFonts w:ascii="Arial" w:cs="Arial" w:eastAsia="Arial" w:hAnsi="Arial"/>
                <w:sz w:val="18"/>
                <w:szCs w:val="18"/>
                <w:b w:val="1"/>
                <w:bCs w:val="1"/>
                <w:color w:val="0067B3"/>
              </w:rPr>
              <w:t>Corporate Governance, Public Company Board:</w:t>
            </w:r>
          </w:p>
        </w:tc>
        <w:tc>
          <w:tcPr>
            <w:tcW w:w="2960" w:type="dxa"/>
            <w:vAlign w:val="bottom"/>
            <w:vMerge w:val="restart"/>
          </w:tcPr>
          <w:p>
            <w:pPr>
              <w:jc w:val="center"/>
              <w:ind w:right="2330"/>
              <w:spacing w:after="0"/>
              <w:rPr>
                <w:sz w:val="20"/>
                <w:szCs w:val="20"/>
                <w:color w:val="auto"/>
              </w:rPr>
            </w:pPr>
            <w:r>
              <w:rPr>
                <w:rFonts w:ascii="Arial" w:cs="Arial" w:eastAsia="Arial" w:hAnsi="Arial"/>
                <w:sz w:val="18"/>
                <w:szCs w:val="18"/>
                <w:color w:val="auto"/>
                <w:w w:val="96"/>
              </w:rPr>
              <w:t>8/10</w:t>
            </w:r>
          </w:p>
        </w:tc>
        <w:tc>
          <w:tcPr>
            <w:tcW w:w="0" w:type="dxa"/>
            <w:vAlign w:val="bottom"/>
          </w:tcPr>
          <w:p>
            <w:pPr>
              <w:spacing w:after="0"/>
              <w:rPr>
                <w:sz w:val="1"/>
                <w:szCs w:val="1"/>
                <w:color w:val="auto"/>
              </w:rPr>
            </w:pPr>
          </w:p>
        </w:tc>
      </w:tr>
      <w:tr>
        <w:trPr>
          <w:trHeight w:val="127"/>
        </w:trPr>
        <w:tc>
          <w:tcPr>
            <w:tcW w:w="8280" w:type="dxa"/>
            <w:vAlign w:val="bottom"/>
            <w:tcBorders>
              <w:right w:val="single" w:sz="8" w:color="939598"/>
            </w:tcBorders>
            <w:vMerge w:val="restart"/>
          </w:tcPr>
          <w:p>
            <w:pPr>
              <w:ind w:left="760"/>
              <w:spacing w:after="0"/>
              <w:rPr>
                <w:sz w:val="20"/>
                <w:szCs w:val="20"/>
                <w:color w:val="auto"/>
              </w:rPr>
            </w:pPr>
            <w:r>
              <w:rPr>
                <w:rFonts w:ascii="Arial" w:cs="Arial" w:eastAsia="Arial" w:hAnsi="Arial"/>
                <w:sz w:val="18"/>
                <w:szCs w:val="18"/>
                <w:color w:val="auto"/>
              </w:rPr>
              <w:t>Knowledge of public company governance issues and policies to enhance Board practices</w:t>
            </w:r>
          </w:p>
        </w:tc>
        <w:tc>
          <w:tcPr>
            <w:tcW w:w="29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8280" w:type="dxa"/>
            <w:vAlign w:val="bottom"/>
            <w:tcBorders>
              <w:right w:val="single" w:sz="8" w:color="939598"/>
            </w:tcBorders>
            <w:vMerge w:val="continue"/>
          </w:tcPr>
          <w:p>
            <w:pPr>
              <w:spacing w:after="0"/>
              <w:rPr>
                <w:sz w:val="12"/>
                <w:szCs w:val="12"/>
                <w:color w:val="auto"/>
              </w:rPr>
            </w:pPr>
          </w:p>
        </w:tc>
        <w:tc>
          <w:tcPr>
            <w:tcW w:w="29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4"/>
        </w:trPr>
        <w:tc>
          <w:tcPr>
            <w:tcW w:w="8280" w:type="dxa"/>
            <w:vAlign w:val="bottom"/>
            <w:tcBorders>
              <w:bottom w:val="single" w:sz="8" w:color="939598"/>
              <w:right w:val="single" w:sz="8" w:color="939598"/>
            </w:tcBorders>
          </w:tcPr>
          <w:p>
            <w:pPr>
              <w:spacing w:after="0"/>
              <w:rPr>
                <w:sz w:val="9"/>
                <w:szCs w:val="9"/>
                <w:color w:val="auto"/>
              </w:rPr>
            </w:pPr>
          </w:p>
        </w:tc>
        <w:tc>
          <w:tcPr>
            <w:tcW w:w="2960" w:type="dxa"/>
            <w:vAlign w:val="bottom"/>
            <w:tcBorders>
              <w:bottom w:val="single" w:sz="8" w:color="939598"/>
            </w:tcBorders>
          </w:tcPr>
          <w:p>
            <w:pPr>
              <w:spacing w:after="0"/>
              <w:rPr>
                <w:sz w:val="9"/>
                <w:szCs w:val="9"/>
                <w:color w:val="auto"/>
              </w:rPr>
            </w:pPr>
          </w:p>
        </w:tc>
        <w:tc>
          <w:tcPr>
            <w:tcW w:w="0" w:type="dxa"/>
            <w:vAlign w:val="bottom"/>
          </w:tcPr>
          <w:p>
            <w:pPr>
              <w:spacing w:after="0"/>
              <w:rPr>
                <w:sz w:val="1"/>
                <w:szCs w:val="1"/>
                <w:color w:val="auto"/>
              </w:rPr>
            </w:pPr>
          </w:p>
        </w:tc>
      </w:tr>
      <w:tr>
        <w:trPr>
          <w:trHeight w:val="329"/>
        </w:trPr>
        <w:tc>
          <w:tcPr>
            <w:tcW w:w="8280" w:type="dxa"/>
            <w:vAlign w:val="bottom"/>
            <w:tcBorders>
              <w:right w:val="single" w:sz="8" w:color="939598"/>
            </w:tcBorders>
          </w:tcPr>
          <w:p>
            <w:pPr>
              <w:ind w:left="760"/>
              <w:spacing w:after="0"/>
              <w:rPr>
                <w:sz w:val="20"/>
                <w:szCs w:val="20"/>
                <w:color w:val="auto"/>
              </w:rPr>
            </w:pPr>
            <w:r>
              <w:rPr>
                <w:rFonts w:ascii="Arial" w:cs="Arial" w:eastAsia="Arial" w:hAnsi="Arial"/>
                <w:sz w:val="18"/>
                <w:szCs w:val="18"/>
                <w:b w:val="1"/>
                <w:bCs w:val="1"/>
                <w:color w:val="0067B3"/>
              </w:rPr>
              <w:t>Financial, Accounting, Auditing:</w:t>
            </w:r>
          </w:p>
        </w:tc>
        <w:tc>
          <w:tcPr>
            <w:tcW w:w="2960" w:type="dxa"/>
            <w:vAlign w:val="bottom"/>
            <w:vMerge w:val="restart"/>
          </w:tcPr>
          <w:p>
            <w:pPr>
              <w:jc w:val="center"/>
              <w:ind w:right="2330"/>
              <w:spacing w:after="0"/>
              <w:rPr>
                <w:sz w:val="20"/>
                <w:szCs w:val="20"/>
                <w:color w:val="auto"/>
              </w:rPr>
            </w:pPr>
            <w:r>
              <w:rPr>
                <w:rFonts w:ascii="Arial" w:cs="Arial" w:eastAsia="Arial" w:hAnsi="Arial"/>
                <w:sz w:val="18"/>
                <w:szCs w:val="18"/>
                <w:color w:val="auto"/>
                <w:w w:val="96"/>
              </w:rPr>
              <w:t>4/10</w:t>
            </w:r>
          </w:p>
        </w:tc>
        <w:tc>
          <w:tcPr>
            <w:tcW w:w="0" w:type="dxa"/>
            <w:vAlign w:val="bottom"/>
          </w:tcPr>
          <w:p>
            <w:pPr>
              <w:spacing w:after="0"/>
              <w:rPr>
                <w:sz w:val="1"/>
                <w:szCs w:val="1"/>
                <w:color w:val="auto"/>
              </w:rPr>
            </w:pPr>
          </w:p>
        </w:tc>
      </w:tr>
      <w:tr>
        <w:trPr>
          <w:trHeight w:val="127"/>
        </w:trPr>
        <w:tc>
          <w:tcPr>
            <w:tcW w:w="8280" w:type="dxa"/>
            <w:vAlign w:val="bottom"/>
            <w:tcBorders>
              <w:right w:val="single" w:sz="8" w:color="939598"/>
            </w:tcBorders>
            <w:vMerge w:val="restart"/>
          </w:tcPr>
          <w:p>
            <w:pPr>
              <w:ind w:left="760"/>
              <w:spacing w:after="0"/>
              <w:rPr>
                <w:sz w:val="20"/>
                <w:szCs w:val="20"/>
                <w:color w:val="auto"/>
              </w:rPr>
            </w:pPr>
            <w:r>
              <w:rPr>
                <w:rFonts w:ascii="Arial" w:cs="Arial" w:eastAsia="Arial" w:hAnsi="Arial"/>
                <w:sz w:val="18"/>
                <w:szCs w:val="18"/>
                <w:color w:val="auto"/>
              </w:rPr>
              <w:t>Experience preparing financial statements and capital market expertise</w:t>
            </w:r>
          </w:p>
        </w:tc>
        <w:tc>
          <w:tcPr>
            <w:tcW w:w="29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8280" w:type="dxa"/>
            <w:vAlign w:val="bottom"/>
            <w:tcBorders>
              <w:right w:val="single" w:sz="8" w:color="939598"/>
            </w:tcBorders>
            <w:vMerge w:val="continue"/>
          </w:tcPr>
          <w:p>
            <w:pPr>
              <w:spacing w:after="0"/>
              <w:rPr>
                <w:sz w:val="12"/>
                <w:szCs w:val="12"/>
                <w:color w:val="auto"/>
              </w:rPr>
            </w:pPr>
          </w:p>
        </w:tc>
        <w:tc>
          <w:tcPr>
            <w:tcW w:w="29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90"/>
        </w:trPr>
        <w:tc>
          <w:tcPr>
            <w:tcW w:w="8280" w:type="dxa"/>
            <w:vAlign w:val="bottom"/>
            <w:tcBorders>
              <w:bottom w:val="single" w:sz="8" w:color="939598"/>
              <w:right w:val="single" w:sz="8" w:color="939598"/>
            </w:tcBorders>
          </w:tcPr>
          <w:p>
            <w:pPr>
              <w:spacing w:after="0"/>
              <w:rPr>
                <w:sz w:val="7"/>
                <w:szCs w:val="7"/>
                <w:color w:val="auto"/>
              </w:rPr>
            </w:pPr>
          </w:p>
        </w:tc>
        <w:tc>
          <w:tcPr>
            <w:tcW w:w="2960" w:type="dxa"/>
            <w:vAlign w:val="bottom"/>
            <w:tcBorders>
              <w:bottom w:val="single" w:sz="8" w:color="939598"/>
            </w:tcBorders>
          </w:tcPr>
          <w:p>
            <w:pPr>
              <w:spacing w:after="0"/>
              <w:rPr>
                <w:sz w:val="7"/>
                <w:szCs w:val="7"/>
                <w:color w:val="auto"/>
              </w:rPr>
            </w:pPr>
          </w:p>
        </w:tc>
        <w:tc>
          <w:tcPr>
            <w:tcW w:w="0" w:type="dxa"/>
            <w:vAlign w:val="bottom"/>
          </w:tcPr>
          <w:p>
            <w:pPr>
              <w:spacing w:after="0"/>
              <w:rPr>
                <w:sz w:val="1"/>
                <w:szCs w:val="1"/>
                <w:color w:val="auto"/>
              </w:rPr>
            </w:pPr>
          </w:p>
        </w:tc>
      </w:tr>
      <w:tr>
        <w:trPr>
          <w:trHeight w:val="329"/>
        </w:trPr>
        <w:tc>
          <w:tcPr>
            <w:tcW w:w="8280" w:type="dxa"/>
            <w:vAlign w:val="bottom"/>
            <w:tcBorders>
              <w:right w:val="single" w:sz="8" w:color="939598"/>
            </w:tcBorders>
          </w:tcPr>
          <w:p>
            <w:pPr>
              <w:ind w:left="760"/>
              <w:spacing w:after="0"/>
              <w:rPr>
                <w:sz w:val="20"/>
                <w:szCs w:val="20"/>
                <w:color w:val="auto"/>
              </w:rPr>
            </w:pPr>
            <w:r>
              <w:rPr>
                <w:rFonts w:ascii="Arial" w:cs="Arial" w:eastAsia="Arial" w:hAnsi="Arial"/>
                <w:sz w:val="18"/>
                <w:szCs w:val="18"/>
                <w:b w:val="1"/>
                <w:bCs w:val="1"/>
                <w:color w:val="0067B3"/>
              </w:rPr>
              <w:t>International:</w:t>
            </w:r>
          </w:p>
        </w:tc>
        <w:tc>
          <w:tcPr>
            <w:tcW w:w="2960" w:type="dxa"/>
            <w:vAlign w:val="bottom"/>
            <w:vMerge w:val="restart"/>
          </w:tcPr>
          <w:p>
            <w:pPr>
              <w:jc w:val="center"/>
              <w:ind w:right="2330"/>
              <w:spacing w:after="0"/>
              <w:rPr>
                <w:sz w:val="20"/>
                <w:szCs w:val="20"/>
                <w:color w:val="auto"/>
              </w:rPr>
            </w:pPr>
            <w:r>
              <w:rPr>
                <w:rFonts w:ascii="Arial" w:cs="Arial" w:eastAsia="Arial" w:hAnsi="Arial"/>
                <w:sz w:val="18"/>
                <w:szCs w:val="18"/>
                <w:color w:val="auto"/>
                <w:w w:val="96"/>
              </w:rPr>
              <w:t>9/10</w:t>
            </w:r>
          </w:p>
        </w:tc>
        <w:tc>
          <w:tcPr>
            <w:tcW w:w="0" w:type="dxa"/>
            <w:vAlign w:val="bottom"/>
          </w:tcPr>
          <w:p>
            <w:pPr>
              <w:spacing w:after="0"/>
              <w:rPr>
                <w:sz w:val="1"/>
                <w:szCs w:val="1"/>
                <w:color w:val="auto"/>
              </w:rPr>
            </w:pPr>
          </w:p>
        </w:tc>
      </w:tr>
      <w:tr>
        <w:trPr>
          <w:trHeight w:val="127"/>
        </w:trPr>
        <w:tc>
          <w:tcPr>
            <w:tcW w:w="8280" w:type="dxa"/>
            <w:vAlign w:val="bottom"/>
            <w:tcBorders>
              <w:right w:val="single" w:sz="8" w:color="939598"/>
            </w:tcBorders>
            <w:vMerge w:val="restart"/>
          </w:tcPr>
          <w:p>
            <w:pPr>
              <w:ind w:left="760"/>
              <w:spacing w:after="0"/>
              <w:rPr>
                <w:sz w:val="20"/>
                <w:szCs w:val="20"/>
                <w:color w:val="auto"/>
              </w:rPr>
            </w:pPr>
            <w:r>
              <w:rPr>
                <w:rFonts w:ascii="Arial" w:cs="Arial" w:eastAsia="Arial" w:hAnsi="Arial"/>
                <w:sz w:val="18"/>
                <w:szCs w:val="18"/>
                <w:color w:val="auto"/>
              </w:rPr>
              <w:t>Insight into the many factors involved in overseeing management of ADI's global business</w:t>
            </w:r>
          </w:p>
        </w:tc>
        <w:tc>
          <w:tcPr>
            <w:tcW w:w="29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8280" w:type="dxa"/>
            <w:vAlign w:val="bottom"/>
            <w:tcBorders>
              <w:right w:val="single" w:sz="8" w:color="939598"/>
            </w:tcBorders>
            <w:vMerge w:val="continue"/>
          </w:tcPr>
          <w:p>
            <w:pPr>
              <w:spacing w:after="0"/>
              <w:rPr>
                <w:sz w:val="12"/>
                <w:szCs w:val="12"/>
                <w:color w:val="auto"/>
              </w:rPr>
            </w:pPr>
          </w:p>
        </w:tc>
        <w:tc>
          <w:tcPr>
            <w:tcW w:w="29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91"/>
        </w:trPr>
        <w:tc>
          <w:tcPr>
            <w:tcW w:w="8280" w:type="dxa"/>
            <w:vAlign w:val="bottom"/>
            <w:tcBorders>
              <w:bottom w:val="single" w:sz="8" w:color="939598"/>
              <w:right w:val="single" w:sz="8" w:color="939598"/>
            </w:tcBorders>
          </w:tcPr>
          <w:p>
            <w:pPr>
              <w:spacing w:after="0"/>
              <w:rPr>
                <w:sz w:val="7"/>
                <w:szCs w:val="7"/>
                <w:color w:val="auto"/>
              </w:rPr>
            </w:pPr>
          </w:p>
        </w:tc>
        <w:tc>
          <w:tcPr>
            <w:tcW w:w="2960" w:type="dxa"/>
            <w:vAlign w:val="bottom"/>
            <w:tcBorders>
              <w:bottom w:val="single" w:sz="8" w:color="939598"/>
            </w:tcBorders>
          </w:tcPr>
          <w:p>
            <w:pPr>
              <w:spacing w:after="0"/>
              <w:rPr>
                <w:sz w:val="7"/>
                <w:szCs w:val="7"/>
                <w:color w:val="auto"/>
              </w:rPr>
            </w:pPr>
          </w:p>
        </w:tc>
        <w:tc>
          <w:tcPr>
            <w:tcW w:w="0" w:type="dxa"/>
            <w:vAlign w:val="bottom"/>
          </w:tcPr>
          <w:p>
            <w:pPr>
              <w:spacing w:after="0"/>
              <w:rPr>
                <w:sz w:val="1"/>
                <w:szCs w:val="1"/>
                <w:color w:val="auto"/>
              </w:rPr>
            </w:pPr>
          </w:p>
        </w:tc>
      </w:tr>
      <w:tr>
        <w:trPr>
          <w:trHeight w:val="329"/>
        </w:trPr>
        <w:tc>
          <w:tcPr>
            <w:tcW w:w="8280" w:type="dxa"/>
            <w:vAlign w:val="bottom"/>
            <w:tcBorders>
              <w:right w:val="single" w:sz="8" w:color="939598"/>
            </w:tcBorders>
          </w:tcPr>
          <w:p>
            <w:pPr>
              <w:ind w:left="760"/>
              <w:spacing w:after="0"/>
              <w:rPr>
                <w:sz w:val="20"/>
                <w:szCs w:val="20"/>
                <w:color w:val="auto"/>
              </w:rPr>
            </w:pPr>
            <w:r>
              <w:rPr>
                <w:rFonts w:ascii="Arial" w:cs="Arial" w:eastAsia="Arial" w:hAnsi="Arial"/>
                <w:sz w:val="18"/>
                <w:szCs w:val="18"/>
                <w:b w:val="1"/>
                <w:bCs w:val="1"/>
                <w:color w:val="0067B3"/>
              </w:rPr>
              <w:t>Large-Scale Operations, Manufacturing:</w:t>
            </w:r>
          </w:p>
        </w:tc>
        <w:tc>
          <w:tcPr>
            <w:tcW w:w="2960" w:type="dxa"/>
            <w:vAlign w:val="bottom"/>
            <w:vMerge w:val="restart"/>
          </w:tcPr>
          <w:p>
            <w:pPr>
              <w:jc w:val="center"/>
              <w:ind w:right="2330"/>
              <w:spacing w:after="0"/>
              <w:rPr>
                <w:sz w:val="20"/>
                <w:szCs w:val="20"/>
                <w:color w:val="auto"/>
              </w:rPr>
            </w:pPr>
            <w:r>
              <w:rPr>
                <w:rFonts w:ascii="Arial" w:cs="Arial" w:eastAsia="Arial" w:hAnsi="Arial"/>
                <w:sz w:val="18"/>
                <w:szCs w:val="18"/>
                <w:color w:val="auto"/>
                <w:w w:val="96"/>
              </w:rPr>
              <w:t>8/10</w:t>
            </w:r>
          </w:p>
        </w:tc>
        <w:tc>
          <w:tcPr>
            <w:tcW w:w="0" w:type="dxa"/>
            <w:vAlign w:val="bottom"/>
          </w:tcPr>
          <w:p>
            <w:pPr>
              <w:spacing w:after="0"/>
              <w:rPr>
                <w:sz w:val="1"/>
                <w:szCs w:val="1"/>
                <w:color w:val="auto"/>
              </w:rPr>
            </w:pPr>
          </w:p>
        </w:tc>
      </w:tr>
      <w:tr>
        <w:trPr>
          <w:trHeight w:val="253"/>
        </w:trPr>
        <w:tc>
          <w:tcPr>
            <w:tcW w:w="8280" w:type="dxa"/>
            <w:vAlign w:val="bottom"/>
            <w:tcBorders>
              <w:right w:val="single" w:sz="8" w:color="939598"/>
            </w:tcBorders>
          </w:tcPr>
          <w:p>
            <w:pPr>
              <w:ind w:left="760"/>
              <w:spacing w:after="0"/>
              <w:rPr>
                <w:sz w:val="20"/>
                <w:szCs w:val="20"/>
                <w:color w:val="auto"/>
              </w:rPr>
            </w:pPr>
            <w:r>
              <w:rPr>
                <w:rFonts w:ascii="Arial" w:cs="Arial" w:eastAsia="Arial" w:hAnsi="Arial"/>
                <w:sz w:val="18"/>
                <w:szCs w:val="18"/>
                <w:color w:val="auto"/>
              </w:rPr>
              <w:t>Experience with and understanding of large-scale operational processes or</w:t>
            </w:r>
          </w:p>
        </w:tc>
        <w:tc>
          <w:tcPr>
            <w:tcW w:w="296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8280" w:type="dxa"/>
            <w:vAlign w:val="bottom"/>
            <w:tcBorders>
              <w:right w:val="single" w:sz="8" w:color="939598"/>
            </w:tcBorders>
          </w:tcPr>
          <w:p>
            <w:pPr>
              <w:ind w:left="760"/>
              <w:spacing w:after="0"/>
              <w:rPr>
                <w:sz w:val="20"/>
                <w:szCs w:val="20"/>
                <w:color w:val="auto"/>
              </w:rPr>
            </w:pPr>
            <w:r>
              <w:rPr>
                <w:rFonts w:ascii="Arial" w:cs="Arial" w:eastAsia="Arial" w:hAnsi="Arial"/>
                <w:sz w:val="18"/>
                <w:szCs w:val="18"/>
                <w:color w:val="auto"/>
              </w:rPr>
              <w:t>manufacturing operations</w:t>
            </w:r>
          </w:p>
        </w:tc>
        <w:tc>
          <w:tcPr>
            <w:tcW w:w="29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90"/>
        </w:trPr>
        <w:tc>
          <w:tcPr>
            <w:tcW w:w="8280" w:type="dxa"/>
            <w:vAlign w:val="bottom"/>
            <w:tcBorders>
              <w:bottom w:val="single" w:sz="8" w:color="939598"/>
              <w:right w:val="single" w:sz="8" w:color="939598"/>
            </w:tcBorders>
          </w:tcPr>
          <w:p>
            <w:pPr>
              <w:spacing w:after="0"/>
              <w:rPr>
                <w:sz w:val="7"/>
                <w:szCs w:val="7"/>
                <w:color w:val="auto"/>
              </w:rPr>
            </w:pPr>
          </w:p>
        </w:tc>
        <w:tc>
          <w:tcPr>
            <w:tcW w:w="2960" w:type="dxa"/>
            <w:vAlign w:val="bottom"/>
            <w:tcBorders>
              <w:bottom w:val="single" w:sz="8" w:color="939598"/>
            </w:tcBorders>
          </w:tcPr>
          <w:p>
            <w:pPr>
              <w:spacing w:after="0"/>
              <w:rPr>
                <w:sz w:val="7"/>
                <w:szCs w:val="7"/>
                <w:color w:val="auto"/>
              </w:rPr>
            </w:pPr>
          </w:p>
        </w:tc>
        <w:tc>
          <w:tcPr>
            <w:tcW w:w="0" w:type="dxa"/>
            <w:vAlign w:val="bottom"/>
          </w:tcPr>
          <w:p>
            <w:pPr>
              <w:spacing w:after="0"/>
              <w:rPr>
                <w:sz w:val="1"/>
                <w:szCs w:val="1"/>
                <w:color w:val="auto"/>
              </w:rPr>
            </w:pPr>
          </w:p>
        </w:tc>
      </w:tr>
      <w:tr>
        <w:trPr>
          <w:trHeight w:val="383"/>
        </w:trPr>
        <w:tc>
          <w:tcPr>
            <w:tcW w:w="8280" w:type="dxa"/>
            <w:vAlign w:val="bottom"/>
            <w:tcBorders>
              <w:right w:val="single" w:sz="8" w:color="939598"/>
            </w:tcBorders>
          </w:tcPr>
          <w:p>
            <w:pPr>
              <w:ind w:left="760"/>
              <w:spacing w:after="0"/>
              <w:rPr>
                <w:sz w:val="20"/>
                <w:szCs w:val="20"/>
                <w:color w:val="auto"/>
              </w:rPr>
            </w:pPr>
            <w:r>
              <w:rPr>
                <w:rFonts w:ascii="Arial" w:cs="Arial" w:eastAsia="Arial" w:hAnsi="Arial"/>
                <w:sz w:val="18"/>
                <w:szCs w:val="18"/>
                <w:b w:val="1"/>
                <w:bCs w:val="1"/>
                <w:color w:val="0067B3"/>
              </w:rPr>
              <w:t>Government Affairs, Public Policy:</w:t>
            </w:r>
          </w:p>
        </w:tc>
        <w:tc>
          <w:tcPr>
            <w:tcW w:w="2960" w:type="dxa"/>
            <w:vAlign w:val="bottom"/>
            <w:vMerge w:val="restart"/>
          </w:tcPr>
          <w:p>
            <w:pPr>
              <w:jc w:val="center"/>
              <w:ind w:right="2330"/>
              <w:spacing w:after="0"/>
              <w:rPr>
                <w:sz w:val="20"/>
                <w:szCs w:val="20"/>
                <w:color w:val="auto"/>
              </w:rPr>
            </w:pPr>
            <w:r>
              <w:rPr>
                <w:rFonts w:ascii="Arial" w:cs="Arial" w:eastAsia="Arial" w:hAnsi="Arial"/>
                <w:sz w:val="18"/>
                <w:szCs w:val="18"/>
                <w:color w:val="auto"/>
                <w:w w:val="96"/>
              </w:rPr>
              <w:t>3/10</w:t>
            </w:r>
          </w:p>
        </w:tc>
        <w:tc>
          <w:tcPr>
            <w:tcW w:w="0" w:type="dxa"/>
            <w:vAlign w:val="bottom"/>
          </w:tcPr>
          <w:p>
            <w:pPr>
              <w:spacing w:after="0"/>
              <w:rPr>
                <w:sz w:val="1"/>
                <w:szCs w:val="1"/>
                <w:color w:val="auto"/>
              </w:rPr>
            </w:pPr>
          </w:p>
        </w:tc>
      </w:tr>
      <w:tr>
        <w:trPr>
          <w:trHeight w:val="127"/>
        </w:trPr>
        <w:tc>
          <w:tcPr>
            <w:tcW w:w="8280" w:type="dxa"/>
            <w:vAlign w:val="bottom"/>
            <w:tcBorders>
              <w:right w:val="single" w:sz="8" w:color="939598"/>
            </w:tcBorders>
            <w:vMerge w:val="restart"/>
          </w:tcPr>
          <w:p>
            <w:pPr>
              <w:ind w:left="760"/>
              <w:spacing w:after="0"/>
              <w:rPr>
                <w:sz w:val="20"/>
                <w:szCs w:val="20"/>
                <w:color w:val="auto"/>
              </w:rPr>
            </w:pPr>
            <w:r>
              <w:rPr>
                <w:rFonts w:ascii="Arial" w:cs="Arial" w:eastAsia="Arial" w:hAnsi="Arial"/>
                <w:sz w:val="18"/>
                <w:szCs w:val="18"/>
                <w:color w:val="auto"/>
              </w:rPr>
              <w:t>Expertise handling government affairs and public policy matters</w:t>
            </w:r>
          </w:p>
        </w:tc>
        <w:tc>
          <w:tcPr>
            <w:tcW w:w="29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8280" w:type="dxa"/>
            <w:vAlign w:val="bottom"/>
            <w:tcBorders>
              <w:right w:val="single" w:sz="8" w:color="939598"/>
            </w:tcBorders>
            <w:vMerge w:val="continue"/>
          </w:tcPr>
          <w:p>
            <w:pPr>
              <w:spacing w:after="0"/>
              <w:rPr>
                <w:sz w:val="12"/>
                <w:szCs w:val="12"/>
                <w:color w:val="auto"/>
              </w:rPr>
            </w:pPr>
          </w:p>
        </w:tc>
        <w:tc>
          <w:tcPr>
            <w:tcW w:w="29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8"/>
        </w:trPr>
        <w:tc>
          <w:tcPr>
            <w:tcW w:w="8280" w:type="dxa"/>
            <w:vAlign w:val="bottom"/>
            <w:tcBorders>
              <w:bottom w:val="single" w:sz="8" w:color="939598"/>
              <w:right w:val="single" w:sz="8" w:color="939598"/>
            </w:tcBorders>
          </w:tcPr>
          <w:p>
            <w:pPr>
              <w:spacing w:after="0"/>
              <w:rPr>
                <w:sz w:val="13"/>
                <w:szCs w:val="13"/>
                <w:color w:val="auto"/>
              </w:rPr>
            </w:pPr>
          </w:p>
        </w:tc>
        <w:tc>
          <w:tcPr>
            <w:tcW w:w="2960" w:type="dxa"/>
            <w:vAlign w:val="bottom"/>
            <w:tcBorders>
              <w:bottom w:val="single" w:sz="8" w:color="939598"/>
            </w:tcBorders>
          </w:tcPr>
          <w:p>
            <w:pPr>
              <w:spacing w:after="0"/>
              <w:rPr>
                <w:sz w:val="13"/>
                <w:szCs w:val="13"/>
                <w:color w:val="auto"/>
              </w:rPr>
            </w:pPr>
          </w:p>
        </w:tc>
        <w:tc>
          <w:tcPr>
            <w:tcW w:w="0" w:type="dxa"/>
            <w:vAlign w:val="bottom"/>
          </w:tcPr>
          <w:p>
            <w:pPr>
              <w:spacing w:after="0"/>
              <w:rPr>
                <w:sz w:val="1"/>
                <w:szCs w:val="1"/>
                <w:color w:val="auto"/>
              </w:rPr>
            </w:pPr>
          </w:p>
        </w:tc>
      </w:tr>
      <w:tr>
        <w:trPr>
          <w:trHeight w:val="329"/>
        </w:trPr>
        <w:tc>
          <w:tcPr>
            <w:tcW w:w="8280" w:type="dxa"/>
            <w:vAlign w:val="bottom"/>
            <w:tcBorders>
              <w:right w:val="single" w:sz="8" w:color="939598"/>
            </w:tcBorders>
          </w:tcPr>
          <w:p>
            <w:pPr>
              <w:ind w:left="760"/>
              <w:spacing w:after="0"/>
              <w:rPr>
                <w:sz w:val="20"/>
                <w:szCs w:val="20"/>
                <w:color w:val="auto"/>
              </w:rPr>
            </w:pPr>
            <w:r>
              <w:rPr>
                <w:rFonts w:ascii="Arial" w:cs="Arial" w:eastAsia="Arial" w:hAnsi="Arial"/>
                <w:sz w:val="18"/>
                <w:szCs w:val="18"/>
                <w:b w:val="1"/>
                <w:bCs w:val="1"/>
                <w:color w:val="0067B3"/>
              </w:rPr>
              <w:t>Strategy:</w:t>
            </w:r>
          </w:p>
        </w:tc>
        <w:tc>
          <w:tcPr>
            <w:tcW w:w="2960" w:type="dxa"/>
            <w:vAlign w:val="bottom"/>
            <w:vMerge w:val="restart"/>
          </w:tcPr>
          <w:p>
            <w:pPr>
              <w:jc w:val="center"/>
              <w:ind w:right="2330"/>
              <w:spacing w:after="0"/>
              <w:rPr>
                <w:sz w:val="20"/>
                <w:szCs w:val="20"/>
                <w:color w:val="auto"/>
              </w:rPr>
            </w:pPr>
            <w:r>
              <w:rPr>
                <w:rFonts w:ascii="Arial" w:cs="Arial" w:eastAsia="Arial" w:hAnsi="Arial"/>
                <w:sz w:val="18"/>
                <w:szCs w:val="18"/>
                <w:color w:val="auto"/>
              </w:rPr>
              <w:t>10/10</w:t>
            </w:r>
          </w:p>
        </w:tc>
        <w:tc>
          <w:tcPr>
            <w:tcW w:w="0" w:type="dxa"/>
            <w:vAlign w:val="bottom"/>
          </w:tcPr>
          <w:p>
            <w:pPr>
              <w:spacing w:after="0"/>
              <w:rPr>
                <w:sz w:val="1"/>
                <w:szCs w:val="1"/>
                <w:color w:val="auto"/>
              </w:rPr>
            </w:pPr>
          </w:p>
        </w:tc>
      </w:tr>
      <w:tr>
        <w:trPr>
          <w:trHeight w:val="127"/>
        </w:trPr>
        <w:tc>
          <w:tcPr>
            <w:tcW w:w="8280" w:type="dxa"/>
            <w:vAlign w:val="bottom"/>
            <w:tcBorders>
              <w:right w:val="single" w:sz="8" w:color="939598"/>
            </w:tcBorders>
            <w:vMerge w:val="restart"/>
          </w:tcPr>
          <w:p>
            <w:pPr>
              <w:ind w:left="760"/>
              <w:spacing w:after="0"/>
              <w:rPr>
                <w:sz w:val="20"/>
                <w:szCs w:val="20"/>
                <w:color w:val="auto"/>
              </w:rPr>
            </w:pPr>
            <w:r>
              <w:rPr>
                <w:rFonts w:ascii="Arial" w:cs="Arial" w:eastAsia="Arial" w:hAnsi="Arial"/>
                <w:sz w:val="18"/>
                <w:szCs w:val="18"/>
                <w:color w:val="auto"/>
              </w:rPr>
              <w:t>Experience in the development and implementation of strategic priorities</w:t>
            </w:r>
          </w:p>
        </w:tc>
        <w:tc>
          <w:tcPr>
            <w:tcW w:w="29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8280" w:type="dxa"/>
            <w:vAlign w:val="bottom"/>
            <w:tcBorders>
              <w:right w:val="single" w:sz="8" w:color="939598"/>
            </w:tcBorders>
            <w:vMerge w:val="continue"/>
          </w:tcPr>
          <w:p>
            <w:pPr>
              <w:spacing w:after="0"/>
              <w:rPr>
                <w:sz w:val="12"/>
                <w:szCs w:val="12"/>
                <w:color w:val="auto"/>
              </w:rPr>
            </w:pPr>
          </w:p>
        </w:tc>
        <w:tc>
          <w:tcPr>
            <w:tcW w:w="29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91"/>
        </w:trPr>
        <w:tc>
          <w:tcPr>
            <w:tcW w:w="8280" w:type="dxa"/>
            <w:vAlign w:val="bottom"/>
            <w:tcBorders>
              <w:bottom w:val="single" w:sz="8" w:color="939598"/>
              <w:right w:val="single" w:sz="8" w:color="939598"/>
            </w:tcBorders>
          </w:tcPr>
          <w:p>
            <w:pPr>
              <w:spacing w:after="0"/>
              <w:rPr>
                <w:sz w:val="7"/>
                <w:szCs w:val="7"/>
                <w:color w:val="auto"/>
              </w:rPr>
            </w:pPr>
          </w:p>
        </w:tc>
        <w:tc>
          <w:tcPr>
            <w:tcW w:w="2960" w:type="dxa"/>
            <w:vAlign w:val="bottom"/>
            <w:tcBorders>
              <w:bottom w:val="single" w:sz="8" w:color="939598"/>
            </w:tcBorders>
          </w:tcPr>
          <w:p>
            <w:pPr>
              <w:spacing w:after="0"/>
              <w:rPr>
                <w:sz w:val="7"/>
                <w:szCs w:val="7"/>
                <w:color w:val="auto"/>
              </w:rPr>
            </w:pPr>
          </w:p>
        </w:tc>
        <w:tc>
          <w:tcPr>
            <w:tcW w:w="0" w:type="dxa"/>
            <w:vAlign w:val="bottom"/>
          </w:tcPr>
          <w:p>
            <w:pPr>
              <w:spacing w:after="0"/>
              <w:rPr>
                <w:sz w:val="1"/>
                <w:szCs w:val="1"/>
                <w:color w:val="auto"/>
              </w:rPr>
            </w:pPr>
          </w:p>
        </w:tc>
      </w:tr>
      <w:tr>
        <w:trPr>
          <w:trHeight w:val="329"/>
        </w:trPr>
        <w:tc>
          <w:tcPr>
            <w:tcW w:w="8280" w:type="dxa"/>
            <w:vAlign w:val="bottom"/>
            <w:tcBorders>
              <w:right w:val="single" w:sz="8" w:color="939598"/>
            </w:tcBorders>
          </w:tcPr>
          <w:p>
            <w:pPr>
              <w:ind w:left="760"/>
              <w:spacing w:after="0"/>
              <w:rPr>
                <w:sz w:val="20"/>
                <w:szCs w:val="20"/>
                <w:color w:val="auto"/>
              </w:rPr>
            </w:pPr>
            <w:r>
              <w:rPr>
                <w:rFonts w:ascii="Arial" w:cs="Arial" w:eastAsia="Arial" w:hAnsi="Arial"/>
                <w:sz w:val="18"/>
                <w:szCs w:val="18"/>
                <w:b w:val="1"/>
                <w:bCs w:val="1"/>
                <w:color w:val="0067B3"/>
              </w:rPr>
              <w:t>Risk Management, Regulatory, Compliance:</w:t>
            </w:r>
          </w:p>
        </w:tc>
        <w:tc>
          <w:tcPr>
            <w:tcW w:w="2960" w:type="dxa"/>
            <w:vAlign w:val="bottom"/>
            <w:vMerge w:val="restart"/>
          </w:tcPr>
          <w:p>
            <w:pPr>
              <w:jc w:val="center"/>
              <w:ind w:right="2330"/>
              <w:spacing w:after="0"/>
              <w:rPr>
                <w:sz w:val="20"/>
                <w:szCs w:val="20"/>
                <w:color w:val="auto"/>
              </w:rPr>
            </w:pPr>
            <w:r>
              <w:rPr>
                <w:rFonts w:ascii="Arial" w:cs="Arial" w:eastAsia="Arial" w:hAnsi="Arial"/>
                <w:sz w:val="18"/>
                <w:szCs w:val="18"/>
                <w:color w:val="auto"/>
                <w:w w:val="96"/>
              </w:rPr>
              <w:t>2/10</w:t>
            </w:r>
          </w:p>
        </w:tc>
        <w:tc>
          <w:tcPr>
            <w:tcW w:w="0" w:type="dxa"/>
            <w:vAlign w:val="bottom"/>
          </w:tcPr>
          <w:p>
            <w:pPr>
              <w:spacing w:after="0"/>
              <w:rPr>
                <w:sz w:val="1"/>
                <w:szCs w:val="1"/>
                <w:color w:val="auto"/>
              </w:rPr>
            </w:pPr>
          </w:p>
        </w:tc>
      </w:tr>
      <w:tr>
        <w:trPr>
          <w:trHeight w:val="127"/>
        </w:trPr>
        <w:tc>
          <w:tcPr>
            <w:tcW w:w="8280" w:type="dxa"/>
            <w:vAlign w:val="bottom"/>
            <w:tcBorders>
              <w:right w:val="single" w:sz="8" w:color="939598"/>
            </w:tcBorders>
            <w:vMerge w:val="restart"/>
          </w:tcPr>
          <w:p>
            <w:pPr>
              <w:ind w:left="760"/>
              <w:spacing w:after="0"/>
              <w:rPr>
                <w:sz w:val="20"/>
                <w:szCs w:val="20"/>
                <w:color w:val="auto"/>
              </w:rPr>
            </w:pPr>
            <w:r>
              <w:rPr>
                <w:rFonts w:ascii="Arial" w:cs="Arial" w:eastAsia="Arial" w:hAnsi="Arial"/>
                <w:sz w:val="18"/>
                <w:szCs w:val="18"/>
                <w:color w:val="auto"/>
              </w:rPr>
              <w:t>Insight into risks facing ADI and a comprehensive approach to risk management</w:t>
            </w:r>
          </w:p>
        </w:tc>
        <w:tc>
          <w:tcPr>
            <w:tcW w:w="29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8280" w:type="dxa"/>
            <w:vAlign w:val="bottom"/>
            <w:tcBorders>
              <w:right w:val="single" w:sz="8" w:color="939598"/>
            </w:tcBorders>
            <w:vMerge w:val="continue"/>
          </w:tcPr>
          <w:p>
            <w:pPr>
              <w:spacing w:after="0"/>
              <w:rPr>
                <w:sz w:val="12"/>
                <w:szCs w:val="12"/>
                <w:color w:val="auto"/>
              </w:rPr>
            </w:pPr>
          </w:p>
        </w:tc>
        <w:tc>
          <w:tcPr>
            <w:tcW w:w="29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91"/>
        </w:trPr>
        <w:tc>
          <w:tcPr>
            <w:tcW w:w="8280" w:type="dxa"/>
            <w:vAlign w:val="bottom"/>
            <w:tcBorders>
              <w:bottom w:val="single" w:sz="8" w:color="939598"/>
              <w:right w:val="single" w:sz="8" w:color="939598"/>
            </w:tcBorders>
          </w:tcPr>
          <w:p>
            <w:pPr>
              <w:spacing w:after="0"/>
              <w:rPr>
                <w:sz w:val="7"/>
                <w:szCs w:val="7"/>
                <w:color w:val="auto"/>
              </w:rPr>
            </w:pPr>
          </w:p>
        </w:tc>
        <w:tc>
          <w:tcPr>
            <w:tcW w:w="2960" w:type="dxa"/>
            <w:vAlign w:val="bottom"/>
            <w:tcBorders>
              <w:bottom w:val="single" w:sz="8" w:color="939598"/>
            </w:tcBorders>
          </w:tcPr>
          <w:p>
            <w:pPr>
              <w:spacing w:after="0"/>
              <w:rPr>
                <w:sz w:val="7"/>
                <w:szCs w:val="7"/>
                <w:color w:val="auto"/>
              </w:rPr>
            </w:pPr>
          </w:p>
        </w:tc>
        <w:tc>
          <w:tcPr>
            <w:tcW w:w="0" w:type="dxa"/>
            <w:vAlign w:val="bottom"/>
          </w:tcPr>
          <w:p>
            <w:pPr>
              <w:spacing w:after="0"/>
              <w:rPr>
                <w:sz w:val="1"/>
                <w:szCs w:val="1"/>
                <w:color w:val="auto"/>
              </w:rPr>
            </w:pPr>
          </w:p>
        </w:tc>
      </w:tr>
      <w:tr>
        <w:trPr>
          <w:trHeight w:val="329"/>
        </w:trPr>
        <w:tc>
          <w:tcPr>
            <w:tcW w:w="8280" w:type="dxa"/>
            <w:vAlign w:val="bottom"/>
            <w:tcBorders>
              <w:right w:val="single" w:sz="8" w:color="939598"/>
            </w:tcBorders>
          </w:tcPr>
          <w:p>
            <w:pPr>
              <w:ind w:left="760"/>
              <w:spacing w:after="0"/>
              <w:rPr>
                <w:sz w:val="20"/>
                <w:szCs w:val="20"/>
                <w:color w:val="auto"/>
              </w:rPr>
            </w:pPr>
            <w:r>
              <w:rPr>
                <w:rFonts w:ascii="Arial" w:cs="Arial" w:eastAsia="Arial" w:hAnsi="Arial"/>
                <w:sz w:val="18"/>
                <w:szCs w:val="18"/>
                <w:b w:val="1"/>
                <w:bCs w:val="1"/>
                <w:color w:val="0067B3"/>
              </w:rPr>
              <w:t>Cybersecurity, Information Systems:</w:t>
            </w:r>
          </w:p>
        </w:tc>
        <w:tc>
          <w:tcPr>
            <w:tcW w:w="2960" w:type="dxa"/>
            <w:vAlign w:val="bottom"/>
            <w:vMerge w:val="restart"/>
          </w:tcPr>
          <w:p>
            <w:pPr>
              <w:jc w:val="center"/>
              <w:ind w:right="2330"/>
              <w:spacing w:after="0"/>
              <w:rPr>
                <w:sz w:val="20"/>
                <w:szCs w:val="20"/>
                <w:color w:val="auto"/>
              </w:rPr>
            </w:pPr>
            <w:r>
              <w:rPr>
                <w:rFonts w:ascii="Arial" w:cs="Arial" w:eastAsia="Arial" w:hAnsi="Arial"/>
                <w:sz w:val="18"/>
                <w:szCs w:val="18"/>
                <w:color w:val="auto"/>
                <w:w w:val="96"/>
              </w:rPr>
              <w:t>2/10</w:t>
            </w:r>
          </w:p>
        </w:tc>
        <w:tc>
          <w:tcPr>
            <w:tcW w:w="0" w:type="dxa"/>
            <w:vAlign w:val="bottom"/>
          </w:tcPr>
          <w:p>
            <w:pPr>
              <w:spacing w:after="0"/>
              <w:rPr>
                <w:sz w:val="1"/>
                <w:szCs w:val="1"/>
                <w:color w:val="auto"/>
              </w:rPr>
            </w:pPr>
          </w:p>
        </w:tc>
      </w:tr>
      <w:tr>
        <w:trPr>
          <w:trHeight w:val="253"/>
        </w:trPr>
        <w:tc>
          <w:tcPr>
            <w:tcW w:w="8280" w:type="dxa"/>
            <w:vAlign w:val="bottom"/>
            <w:tcBorders>
              <w:right w:val="single" w:sz="8" w:color="939598"/>
            </w:tcBorders>
          </w:tcPr>
          <w:p>
            <w:pPr>
              <w:ind w:left="760"/>
              <w:spacing w:after="0"/>
              <w:rPr>
                <w:sz w:val="20"/>
                <w:szCs w:val="20"/>
                <w:color w:val="auto"/>
              </w:rPr>
            </w:pPr>
            <w:r>
              <w:rPr>
                <w:rFonts w:ascii="Arial" w:cs="Arial" w:eastAsia="Arial" w:hAnsi="Arial"/>
                <w:sz w:val="18"/>
                <w:szCs w:val="18"/>
                <w:color w:val="auto"/>
              </w:rPr>
              <w:t>Experience overseeing cybersecurity programs or possessing a deep understanding of cyber</w:t>
            </w:r>
          </w:p>
        </w:tc>
        <w:tc>
          <w:tcPr>
            <w:tcW w:w="296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8280" w:type="dxa"/>
            <w:vAlign w:val="bottom"/>
            <w:tcBorders>
              <w:right w:val="single" w:sz="8" w:color="939598"/>
            </w:tcBorders>
          </w:tcPr>
          <w:p>
            <w:pPr>
              <w:ind w:left="760"/>
              <w:spacing w:after="0"/>
              <w:rPr>
                <w:sz w:val="20"/>
                <w:szCs w:val="20"/>
                <w:color w:val="auto"/>
              </w:rPr>
            </w:pPr>
            <w:r>
              <w:rPr>
                <w:rFonts w:ascii="Arial" w:cs="Arial" w:eastAsia="Arial" w:hAnsi="Arial"/>
                <w:sz w:val="18"/>
                <w:szCs w:val="18"/>
                <w:color w:val="auto"/>
              </w:rPr>
              <w:t>threats to organizations</w:t>
            </w:r>
          </w:p>
        </w:tc>
        <w:tc>
          <w:tcPr>
            <w:tcW w:w="29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90"/>
        </w:trPr>
        <w:tc>
          <w:tcPr>
            <w:tcW w:w="8280" w:type="dxa"/>
            <w:vAlign w:val="bottom"/>
            <w:tcBorders>
              <w:bottom w:val="single" w:sz="8" w:color="939598"/>
              <w:right w:val="single" w:sz="8" w:color="939598"/>
            </w:tcBorders>
          </w:tcPr>
          <w:p>
            <w:pPr>
              <w:spacing w:after="0"/>
              <w:rPr>
                <w:sz w:val="7"/>
                <w:szCs w:val="7"/>
                <w:color w:val="auto"/>
              </w:rPr>
            </w:pPr>
          </w:p>
        </w:tc>
        <w:tc>
          <w:tcPr>
            <w:tcW w:w="2960" w:type="dxa"/>
            <w:vAlign w:val="bottom"/>
            <w:tcBorders>
              <w:bottom w:val="single" w:sz="8" w:color="939598"/>
            </w:tcBorders>
          </w:tcPr>
          <w:p>
            <w:pPr>
              <w:spacing w:after="0"/>
              <w:rPr>
                <w:sz w:val="7"/>
                <w:szCs w:val="7"/>
                <w:color w:val="auto"/>
              </w:rPr>
            </w:pPr>
          </w:p>
        </w:tc>
        <w:tc>
          <w:tcPr>
            <w:tcW w:w="0" w:type="dxa"/>
            <w:vAlign w:val="bottom"/>
          </w:tcPr>
          <w:p>
            <w:pPr>
              <w:spacing w:after="0"/>
              <w:rPr>
                <w:sz w:val="1"/>
                <w:szCs w:val="1"/>
                <w:color w:val="auto"/>
              </w:rPr>
            </w:pPr>
          </w:p>
        </w:tc>
      </w:tr>
      <w:tr>
        <w:trPr>
          <w:trHeight w:val="383"/>
        </w:trPr>
        <w:tc>
          <w:tcPr>
            <w:tcW w:w="8280" w:type="dxa"/>
            <w:vAlign w:val="bottom"/>
            <w:tcBorders>
              <w:right w:val="single" w:sz="8" w:color="939598"/>
            </w:tcBorders>
          </w:tcPr>
          <w:p>
            <w:pPr>
              <w:ind w:left="760"/>
              <w:spacing w:after="0"/>
              <w:rPr>
                <w:sz w:val="20"/>
                <w:szCs w:val="20"/>
                <w:color w:val="auto"/>
              </w:rPr>
            </w:pPr>
            <w:r>
              <w:rPr>
                <w:rFonts w:ascii="Arial" w:cs="Arial" w:eastAsia="Arial" w:hAnsi="Arial"/>
                <w:sz w:val="18"/>
                <w:szCs w:val="18"/>
                <w:b w:val="1"/>
                <w:bCs w:val="1"/>
                <w:color w:val="0067B3"/>
              </w:rPr>
              <w:t>Mergers and Acquisitions:</w:t>
            </w:r>
          </w:p>
        </w:tc>
        <w:tc>
          <w:tcPr>
            <w:tcW w:w="2960" w:type="dxa"/>
            <w:vAlign w:val="bottom"/>
            <w:vMerge w:val="restart"/>
          </w:tcPr>
          <w:p>
            <w:pPr>
              <w:jc w:val="center"/>
              <w:ind w:right="2330"/>
              <w:spacing w:after="0"/>
              <w:rPr>
                <w:sz w:val="20"/>
                <w:szCs w:val="20"/>
                <w:color w:val="auto"/>
              </w:rPr>
            </w:pPr>
            <w:r>
              <w:rPr>
                <w:rFonts w:ascii="Arial" w:cs="Arial" w:eastAsia="Arial" w:hAnsi="Arial"/>
                <w:sz w:val="18"/>
                <w:szCs w:val="18"/>
                <w:color w:val="auto"/>
                <w:w w:val="96"/>
              </w:rPr>
              <w:t>5/10</w:t>
            </w:r>
          </w:p>
        </w:tc>
        <w:tc>
          <w:tcPr>
            <w:tcW w:w="0" w:type="dxa"/>
            <w:vAlign w:val="bottom"/>
          </w:tcPr>
          <w:p>
            <w:pPr>
              <w:spacing w:after="0"/>
              <w:rPr>
                <w:sz w:val="1"/>
                <w:szCs w:val="1"/>
                <w:color w:val="auto"/>
              </w:rPr>
            </w:pPr>
          </w:p>
        </w:tc>
      </w:tr>
      <w:tr>
        <w:trPr>
          <w:trHeight w:val="127"/>
        </w:trPr>
        <w:tc>
          <w:tcPr>
            <w:tcW w:w="8280" w:type="dxa"/>
            <w:vAlign w:val="bottom"/>
            <w:tcBorders>
              <w:right w:val="single" w:sz="8" w:color="939598"/>
            </w:tcBorders>
            <w:vMerge w:val="restart"/>
          </w:tcPr>
          <w:p>
            <w:pPr>
              <w:ind w:left="760"/>
              <w:spacing w:after="0"/>
              <w:rPr>
                <w:sz w:val="20"/>
                <w:szCs w:val="20"/>
                <w:color w:val="auto"/>
              </w:rPr>
            </w:pPr>
            <w:r>
              <w:rPr>
                <w:rFonts w:ascii="Arial" w:cs="Arial" w:eastAsia="Arial" w:hAnsi="Arial"/>
                <w:sz w:val="18"/>
                <w:szCs w:val="18"/>
                <w:color w:val="auto"/>
              </w:rPr>
              <w:t>Experience evaluating strategic transactions</w:t>
            </w:r>
          </w:p>
        </w:tc>
        <w:tc>
          <w:tcPr>
            <w:tcW w:w="29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8280" w:type="dxa"/>
            <w:vAlign w:val="bottom"/>
            <w:tcBorders>
              <w:right w:val="single" w:sz="8" w:color="939598"/>
            </w:tcBorders>
            <w:vMerge w:val="continue"/>
          </w:tcPr>
          <w:p>
            <w:pPr>
              <w:spacing w:after="0"/>
              <w:rPr>
                <w:sz w:val="12"/>
                <w:szCs w:val="12"/>
                <w:color w:val="auto"/>
              </w:rPr>
            </w:pPr>
          </w:p>
        </w:tc>
        <w:tc>
          <w:tcPr>
            <w:tcW w:w="29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8280" w:type="dxa"/>
            <w:vAlign w:val="bottom"/>
            <w:tcBorders>
              <w:bottom w:val="single" w:sz="8" w:color="939598"/>
              <w:right w:val="single" w:sz="8" w:color="939598"/>
            </w:tcBorders>
          </w:tcPr>
          <w:p>
            <w:pPr>
              <w:spacing w:after="0"/>
              <w:rPr>
                <w:sz w:val="12"/>
                <w:szCs w:val="12"/>
                <w:color w:val="auto"/>
              </w:rPr>
            </w:pPr>
          </w:p>
        </w:tc>
        <w:tc>
          <w:tcPr>
            <w:tcW w:w="2960" w:type="dxa"/>
            <w:vAlign w:val="bottom"/>
            <w:tcBorders>
              <w:bottom w:val="single" w:sz="8" w:color="939598"/>
            </w:tcBorders>
          </w:tcPr>
          <w:p>
            <w:pPr>
              <w:spacing w:after="0"/>
              <w:rPr>
                <w:sz w:val="12"/>
                <w:szCs w:val="12"/>
                <w:color w:val="auto"/>
              </w:rPr>
            </w:pPr>
          </w:p>
        </w:tc>
        <w:tc>
          <w:tcPr>
            <w:tcW w:w="0" w:type="dxa"/>
            <w:vAlign w:val="bottom"/>
          </w:tcPr>
          <w:p>
            <w:pPr>
              <w:spacing w:after="0"/>
              <w:rPr>
                <w:sz w:val="1"/>
                <w:szCs w:val="1"/>
                <w:color w:val="auto"/>
              </w:rPr>
            </w:pPr>
          </w:p>
        </w:tc>
      </w:tr>
      <w:tr>
        <w:trPr>
          <w:trHeight w:val="330"/>
        </w:trPr>
        <w:tc>
          <w:tcPr>
            <w:tcW w:w="8280" w:type="dxa"/>
            <w:vAlign w:val="bottom"/>
            <w:tcBorders>
              <w:right w:val="single" w:sz="8" w:color="939598"/>
            </w:tcBorders>
          </w:tcPr>
          <w:p>
            <w:pPr>
              <w:ind w:left="760"/>
              <w:spacing w:after="0"/>
              <w:rPr>
                <w:sz w:val="20"/>
                <w:szCs w:val="20"/>
                <w:color w:val="auto"/>
              </w:rPr>
            </w:pPr>
            <w:r>
              <w:rPr>
                <w:rFonts w:ascii="Arial" w:cs="Arial" w:eastAsia="Arial" w:hAnsi="Arial"/>
                <w:sz w:val="18"/>
                <w:szCs w:val="18"/>
                <w:b w:val="1"/>
                <w:bCs w:val="1"/>
                <w:color w:val="0067B3"/>
              </w:rPr>
              <w:t>Sustainability, Human Capital, Human Rights, and Diversity:</w:t>
            </w:r>
          </w:p>
        </w:tc>
        <w:tc>
          <w:tcPr>
            <w:tcW w:w="2960" w:type="dxa"/>
            <w:vAlign w:val="bottom"/>
            <w:vMerge w:val="restart"/>
          </w:tcPr>
          <w:p>
            <w:pPr>
              <w:jc w:val="center"/>
              <w:ind w:right="2330"/>
              <w:spacing w:after="0"/>
              <w:rPr>
                <w:sz w:val="20"/>
                <w:szCs w:val="20"/>
                <w:color w:val="auto"/>
              </w:rPr>
            </w:pPr>
            <w:r>
              <w:rPr>
                <w:rFonts w:ascii="Arial" w:cs="Arial" w:eastAsia="Arial" w:hAnsi="Arial"/>
                <w:sz w:val="18"/>
                <w:szCs w:val="18"/>
                <w:color w:val="auto"/>
                <w:w w:val="96"/>
              </w:rPr>
              <w:t>6/10</w:t>
            </w:r>
          </w:p>
        </w:tc>
        <w:tc>
          <w:tcPr>
            <w:tcW w:w="0" w:type="dxa"/>
            <w:vAlign w:val="bottom"/>
          </w:tcPr>
          <w:p>
            <w:pPr>
              <w:spacing w:after="0"/>
              <w:rPr>
                <w:sz w:val="1"/>
                <w:szCs w:val="1"/>
                <w:color w:val="auto"/>
              </w:rPr>
            </w:pPr>
          </w:p>
        </w:tc>
      </w:tr>
      <w:tr>
        <w:trPr>
          <w:trHeight w:val="127"/>
        </w:trPr>
        <w:tc>
          <w:tcPr>
            <w:tcW w:w="8280" w:type="dxa"/>
            <w:vAlign w:val="bottom"/>
            <w:tcBorders>
              <w:right w:val="single" w:sz="8" w:color="939598"/>
            </w:tcBorders>
            <w:vMerge w:val="restart"/>
          </w:tcPr>
          <w:p>
            <w:pPr>
              <w:ind w:left="760"/>
              <w:spacing w:after="0"/>
              <w:rPr>
                <w:sz w:val="20"/>
                <w:szCs w:val="20"/>
                <w:color w:val="auto"/>
              </w:rPr>
            </w:pPr>
            <w:r>
              <w:rPr>
                <w:rFonts w:ascii="Arial" w:cs="Arial" w:eastAsia="Arial" w:hAnsi="Arial"/>
                <w:sz w:val="18"/>
                <w:szCs w:val="18"/>
                <w:color w:val="auto"/>
              </w:rPr>
              <w:t>Knowledge of sustainability, human capital, human rights, and diversity topics impacting ADI</w:t>
            </w:r>
          </w:p>
        </w:tc>
        <w:tc>
          <w:tcPr>
            <w:tcW w:w="29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8280" w:type="dxa"/>
            <w:vAlign w:val="bottom"/>
            <w:tcBorders>
              <w:right w:val="single" w:sz="8" w:color="939598"/>
            </w:tcBorders>
            <w:vMerge w:val="continue"/>
          </w:tcPr>
          <w:p>
            <w:pPr>
              <w:spacing w:after="0"/>
              <w:rPr>
                <w:sz w:val="12"/>
                <w:szCs w:val="12"/>
                <w:color w:val="auto"/>
              </w:rPr>
            </w:pPr>
          </w:p>
        </w:tc>
        <w:tc>
          <w:tcPr>
            <w:tcW w:w="29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91"/>
        </w:trPr>
        <w:tc>
          <w:tcPr>
            <w:tcW w:w="8280" w:type="dxa"/>
            <w:vAlign w:val="bottom"/>
            <w:tcBorders>
              <w:bottom w:val="single" w:sz="8" w:color="0067B3"/>
              <w:right w:val="single" w:sz="8" w:color="939598"/>
            </w:tcBorders>
          </w:tcPr>
          <w:p>
            <w:pPr>
              <w:spacing w:after="0"/>
              <w:rPr>
                <w:sz w:val="7"/>
                <w:szCs w:val="7"/>
                <w:color w:val="auto"/>
              </w:rPr>
            </w:pPr>
          </w:p>
        </w:tc>
        <w:tc>
          <w:tcPr>
            <w:tcW w:w="2960" w:type="dxa"/>
            <w:vAlign w:val="bottom"/>
            <w:tcBorders>
              <w:bottom w:val="single" w:sz="8" w:color="0067B3"/>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116205</wp:posOffset>
            </wp:positionH>
            <wp:positionV relativeFrom="paragraph">
              <wp:posOffset>-6402705</wp:posOffset>
            </wp:positionV>
            <wp:extent cx="257175" cy="24892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257175" cy="248920"/>
                    </a:xfrm>
                    <a:prstGeom prst="rect">
                      <a:avLst/>
                    </a:prstGeom>
                    <a:noFill/>
                  </pic:spPr>
                </pic:pic>
              </a:graphicData>
            </a:graphic>
          </wp:anchor>
        </w:drawing>
        <w:drawing>
          <wp:anchor simplePos="0" relativeHeight="251657728" behindDoc="1" locked="0" layoutInCell="0" allowOverlap="1">
            <wp:simplePos x="0" y="0"/>
            <wp:positionH relativeFrom="column">
              <wp:posOffset>5611495</wp:posOffset>
            </wp:positionH>
            <wp:positionV relativeFrom="paragraph">
              <wp:posOffset>-6325870</wp:posOffset>
            </wp:positionV>
            <wp:extent cx="1183005" cy="9398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1183005" cy="93980"/>
                    </a:xfrm>
                    <a:prstGeom prst="rect">
                      <a:avLst/>
                    </a:prstGeom>
                    <a:noFill/>
                  </pic:spPr>
                </pic:pic>
              </a:graphicData>
            </a:graphic>
          </wp:anchor>
        </w:drawing>
        <w:drawing>
          <wp:anchor simplePos="0" relativeHeight="251657728" behindDoc="1" locked="0" layoutInCell="0" allowOverlap="1">
            <wp:simplePos x="0" y="0"/>
            <wp:positionH relativeFrom="column">
              <wp:posOffset>116205</wp:posOffset>
            </wp:positionH>
            <wp:positionV relativeFrom="paragraph">
              <wp:posOffset>-5948680</wp:posOffset>
            </wp:positionV>
            <wp:extent cx="257175" cy="24892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257175" cy="248920"/>
                    </a:xfrm>
                    <a:prstGeom prst="rect">
                      <a:avLst/>
                    </a:prstGeom>
                    <a:noFill/>
                  </pic:spPr>
                </pic:pic>
              </a:graphicData>
            </a:graphic>
          </wp:anchor>
        </w:drawing>
        <w:drawing>
          <wp:anchor simplePos="0" relativeHeight="251657728" behindDoc="1" locked="0" layoutInCell="0" allowOverlap="1">
            <wp:simplePos x="0" y="0"/>
            <wp:positionH relativeFrom="column">
              <wp:posOffset>5611495</wp:posOffset>
            </wp:positionH>
            <wp:positionV relativeFrom="paragraph">
              <wp:posOffset>-5871210</wp:posOffset>
            </wp:positionV>
            <wp:extent cx="1183005" cy="9398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1183005" cy="93980"/>
                    </a:xfrm>
                    <a:prstGeom prst="rect">
                      <a:avLst/>
                    </a:prstGeom>
                    <a:noFill/>
                  </pic:spPr>
                </pic:pic>
              </a:graphicData>
            </a:graphic>
          </wp:anchor>
        </w:drawing>
        <w:drawing>
          <wp:anchor simplePos="0" relativeHeight="251657728" behindDoc="1" locked="0" layoutInCell="0" allowOverlap="1">
            <wp:simplePos x="0" y="0"/>
            <wp:positionH relativeFrom="column">
              <wp:posOffset>116205</wp:posOffset>
            </wp:positionH>
            <wp:positionV relativeFrom="paragraph">
              <wp:posOffset>-5434330</wp:posOffset>
            </wp:positionV>
            <wp:extent cx="257175" cy="25717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257175" cy="257175"/>
                    </a:xfrm>
                    <a:prstGeom prst="rect">
                      <a:avLst/>
                    </a:prstGeom>
                    <a:noFill/>
                  </pic:spPr>
                </pic:pic>
              </a:graphicData>
            </a:graphic>
          </wp:anchor>
        </w:drawing>
        <w:drawing>
          <wp:anchor simplePos="0" relativeHeight="251657728" behindDoc="1" locked="0" layoutInCell="0" allowOverlap="1">
            <wp:simplePos x="0" y="0"/>
            <wp:positionH relativeFrom="column">
              <wp:posOffset>5611495</wp:posOffset>
            </wp:positionH>
            <wp:positionV relativeFrom="paragraph">
              <wp:posOffset>-5348605</wp:posOffset>
            </wp:positionV>
            <wp:extent cx="1183005" cy="9398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1183005" cy="93980"/>
                    </a:xfrm>
                    <a:prstGeom prst="rect">
                      <a:avLst/>
                    </a:prstGeom>
                    <a:noFill/>
                  </pic:spPr>
                </pic:pic>
              </a:graphicData>
            </a:graphic>
          </wp:anchor>
        </w:drawing>
        <w:drawing>
          <wp:anchor simplePos="0" relativeHeight="251657728" behindDoc="1" locked="0" layoutInCell="0" allowOverlap="1">
            <wp:simplePos x="0" y="0"/>
            <wp:positionH relativeFrom="column">
              <wp:posOffset>116205</wp:posOffset>
            </wp:positionH>
            <wp:positionV relativeFrom="paragraph">
              <wp:posOffset>-4902835</wp:posOffset>
            </wp:positionV>
            <wp:extent cx="257175" cy="25717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257175" cy="257175"/>
                    </a:xfrm>
                    <a:prstGeom prst="rect">
                      <a:avLst/>
                    </a:prstGeom>
                    <a:noFill/>
                  </pic:spPr>
                </pic:pic>
              </a:graphicData>
            </a:graphic>
          </wp:anchor>
        </w:drawing>
        <w:drawing>
          <wp:anchor simplePos="0" relativeHeight="251657728" behindDoc="1" locked="0" layoutInCell="0" allowOverlap="1">
            <wp:simplePos x="0" y="0"/>
            <wp:positionH relativeFrom="column">
              <wp:posOffset>5611495</wp:posOffset>
            </wp:positionH>
            <wp:positionV relativeFrom="paragraph">
              <wp:posOffset>-4825365</wp:posOffset>
            </wp:positionV>
            <wp:extent cx="1183005" cy="9398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1183005" cy="93980"/>
                    </a:xfrm>
                    <a:prstGeom prst="rect">
                      <a:avLst/>
                    </a:prstGeom>
                    <a:noFill/>
                  </pic:spPr>
                </pic:pic>
              </a:graphicData>
            </a:graphic>
          </wp:anchor>
        </w:drawing>
        <w:drawing>
          <wp:anchor simplePos="0" relativeHeight="251657728" behindDoc="1" locked="0" layoutInCell="0" allowOverlap="1">
            <wp:simplePos x="0" y="0"/>
            <wp:positionH relativeFrom="column">
              <wp:posOffset>116205</wp:posOffset>
            </wp:positionH>
            <wp:positionV relativeFrom="paragraph">
              <wp:posOffset>-4439920</wp:posOffset>
            </wp:positionV>
            <wp:extent cx="248285" cy="24892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248285" cy="248920"/>
                    </a:xfrm>
                    <a:prstGeom prst="rect">
                      <a:avLst/>
                    </a:prstGeom>
                    <a:noFill/>
                  </pic:spPr>
                </pic:pic>
              </a:graphicData>
            </a:graphic>
          </wp:anchor>
        </w:drawing>
        <w:drawing>
          <wp:anchor simplePos="0" relativeHeight="251657728" behindDoc="1" locked="0" layoutInCell="0" allowOverlap="1">
            <wp:simplePos x="0" y="0"/>
            <wp:positionH relativeFrom="column">
              <wp:posOffset>5611495</wp:posOffset>
            </wp:positionH>
            <wp:positionV relativeFrom="paragraph">
              <wp:posOffset>-4362450</wp:posOffset>
            </wp:positionV>
            <wp:extent cx="1191260" cy="9398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1191260" cy="93980"/>
                    </a:xfrm>
                    <a:prstGeom prst="rect">
                      <a:avLst/>
                    </a:prstGeom>
                    <a:noFill/>
                  </pic:spPr>
                </pic:pic>
              </a:graphicData>
            </a:graphic>
          </wp:anchor>
        </w:drawing>
        <w:drawing>
          <wp:anchor simplePos="0" relativeHeight="251657728" behindDoc="1" locked="0" layoutInCell="0" allowOverlap="1">
            <wp:simplePos x="0" y="0"/>
            <wp:positionH relativeFrom="column">
              <wp:posOffset>116205</wp:posOffset>
            </wp:positionH>
            <wp:positionV relativeFrom="paragraph">
              <wp:posOffset>-3985260</wp:posOffset>
            </wp:positionV>
            <wp:extent cx="248285" cy="24828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248285" cy="248285"/>
                    </a:xfrm>
                    <a:prstGeom prst="rect">
                      <a:avLst/>
                    </a:prstGeom>
                    <a:noFill/>
                  </pic:spPr>
                </pic:pic>
              </a:graphicData>
            </a:graphic>
          </wp:anchor>
        </w:drawing>
        <w:drawing>
          <wp:anchor simplePos="0" relativeHeight="251657728" behindDoc="1" locked="0" layoutInCell="0" allowOverlap="1">
            <wp:simplePos x="0" y="0"/>
            <wp:positionH relativeFrom="column">
              <wp:posOffset>5611495</wp:posOffset>
            </wp:positionH>
            <wp:positionV relativeFrom="paragraph">
              <wp:posOffset>-3908425</wp:posOffset>
            </wp:positionV>
            <wp:extent cx="1183005" cy="9461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1183005" cy="94615"/>
                    </a:xfrm>
                    <a:prstGeom prst="rect">
                      <a:avLst/>
                    </a:prstGeom>
                    <a:noFill/>
                  </pic:spPr>
                </pic:pic>
              </a:graphicData>
            </a:graphic>
          </wp:anchor>
        </w:drawing>
        <w:drawing>
          <wp:anchor simplePos="0" relativeHeight="251657728" behindDoc="1" locked="0" layoutInCell="0" allowOverlap="1">
            <wp:simplePos x="0" y="0"/>
            <wp:positionH relativeFrom="column">
              <wp:posOffset>99060</wp:posOffset>
            </wp:positionH>
            <wp:positionV relativeFrom="paragraph">
              <wp:posOffset>-3479800</wp:posOffset>
            </wp:positionV>
            <wp:extent cx="282575" cy="28257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282575" cy="282575"/>
                    </a:xfrm>
                    <a:prstGeom prst="rect">
                      <a:avLst/>
                    </a:prstGeom>
                    <a:noFill/>
                  </pic:spPr>
                </pic:pic>
              </a:graphicData>
            </a:graphic>
          </wp:anchor>
        </w:drawing>
        <w:drawing>
          <wp:anchor simplePos="0" relativeHeight="251657728" behindDoc="1" locked="0" layoutInCell="0" allowOverlap="1">
            <wp:simplePos x="0" y="0"/>
            <wp:positionH relativeFrom="column">
              <wp:posOffset>5611495</wp:posOffset>
            </wp:positionH>
            <wp:positionV relativeFrom="paragraph">
              <wp:posOffset>-3385185</wp:posOffset>
            </wp:positionV>
            <wp:extent cx="1183005" cy="9398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1183005" cy="93980"/>
                    </a:xfrm>
                    <a:prstGeom prst="rect">
                      <a:avLst/>
                    </a:prstGeom>
                    <a:noFill/>
                  </pic:spPr>
                </pic:pic>
              </a:graphicData>
            </a:graphic>
          </wp:anchor>
        </w:drawing>
        <w:drawing>
          <wp:anchor simplePos="0" relativeHeight="251657728" behindDoc="1" locked="0" layoutInCell="0" allowOverlap="1">
            <wp:simplePos x="0" y="0"/>
            <wp:positionH relativeFrom="column">
              <wp:posOffset>116205</wp:posOffset>
            </wp:positionH>
            <wp:positionV relativeFrom="paragraph">
              <wp:posOffset>-2939415</wp:posOffset>
            </wp:positionV>
            <wp:extent cx="257175" cy="3257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257175" cy="325755"/>
                    </a:xfrm>
                    <a:prstGeom prst="rect">
                      <a:avLst/>
                    </a:prstGeom>
                    <a:noFill/>
                  </pic:spPr>
                </pic:pic>
              </a:graphicData>
            </a:graphic>
          </wp:anchor>
        </w:drawing>
        <w:drawing>
          <wp:anchor simplePos="0" relativeHeight="251657728" behindDoc="1" locked="0" layoutInCell="0" allowOverlap="1">
            <wp:simplePos x="0" y="0"/>
            <wp:positionH relativeFrom="column">
              <wp:posOffset>5611495</wp:posOffset>
            </wp:positionH>
            <wp:positionV relativeFrom="paragraph">
              <wp:posOffset>-2845435</wp:posOffset>
            </wp:positionV>
            <wp:extent cx="1183005" cy="9461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1183005" cy="94615"/>
                    </a:xfrm>
                    <a:prstGeom prst="rect">
                      <a:avLst/>
                    </a:prstGeom>
                    <a:noFill/>
                  </pic:spPr>
                </pic:pic>
              </a:graphicData>
            </a:graphic>
          </wp:anchor>
        </w:drawing>
        <w:drawing>
          <wp:anchor simplePos="0" relativeHeight="251657728" behindDoc="1" locked="0" layoutInCell="0" allowOverlap="1">
            <wp:simplePos x="0" y="0"/>
            <wp:positionH relativeFrom="column">
              <wp:posOffset>150495</wp:posOffset>
            </wp:positionH>
            <wp:positionV relativeFrom="paragraph">
              <wp:posOffset>-2407920</wp:posOffset>
            </wp:positionV>
            <wp:extent cx="188595" cy="24003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188595" cy="240030"/>
                    </a:xfrm>
                    <a:prstGeom prst="rect">
                      <a:avLst/>
                    </a:prstGeom>
                    <a:noFill/>
                  </pic:spPr>
                </pic:pic>
              </a:graphicData>
            </a:graphic>
          </wp:anchor>
        </w:drawing>
        <w:drawing>
          <wp:anchor simplePos="0" relativeHeight="251657728" behindDoc="1" locked="0" layoutInCell="0" allowOverlap="1">
            <wp:simplePos x="0" y="0"/>
            <wp:positionH relativeFrom="column">
              <wp:posOffset>5611495</wp:posOffset>
            </wp:positionH>
            <wp:positionV relativeFrom="paragraph">
              <wp:posOffset>-2331085</wp:posOffset>
            </wp:positionV>
            <wp:extent cx="1183005" cy="9461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1183005" cy="94615"/>
                    </a:xfrm>
                    <a:prstGeom prst="rect">
                      <a:avLst/>
                    </a:prstGeom>
                    <a:noFill/>
                  </pic:spPr>
                </pic:pic>
              </a:graphicData>
            </a:graphic>
          </wp:anchor>
        </w:drawing>
        <w:drawing>
          <wp:anchor simplePos="0" relativeHeight="251657728" behindDoc="1" locked="0" layoutInCell="0" allowOverlap="1">
            <wp:simplePos x="0" y="0"/>
            <wp:positionH relativeFrom="column">
              <wp:posOffset>116205</wp:posOffset>
            </wp:positionH>
            <wp:positionV relativeFrom="paragraph">
              <wp:posOffset>-1953895</wp:posOffset>
            </wp:positionV>
            <wp:extent cx="257175" cy="24003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257175" cy="240030"/>
                    </a:xfrm>
                    <a:prstGeom prst="rect">
                      <a:avLst/>
                    </a:prstGeom>
                    <a:noFill/>
                  </pic:spPr>
                </pic:pic>
              </a:graphicData>
            </a:graphic>
          </wp:anchor>
        </w:drawing>
        <w:drawing>
          <wp:anchor simplePos="0" relativeHeight="251657728" behindDoc="1" locked="0" layoutInCell="0" allowOverlap="1">
            <wp:simplePos x="0" y="0"/>
            <wp:positionH relativeFrom="column">
              <wp:posOffset>5611495</wp:posOffset>
            </wp:positionH>
            <wp:positionV relativeFrom="paragraph">
              <wp:posOffset>-1893570</wp:posOffset>
            </wp:positionV>
            <wp:extent cx="1183005" cy="9398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1183005" cy="93980"/>
                    </a:xfrm>
                    <a:prstGeom prst="rect">
                      <a:avLst/>
                    </a:prstGeom>
                    <a:noFill/>
                  </pic:spPr>
                </pic:pic>
              </a:graphicData>
            </a:graphic>
          </wp:anchor>
        </w:drawing>
        <w:drawing>
          <wp:anchor simplePos="0" relativeHeight="251657728" behindDoc="1" locked="0" layoutInCell="0" allowOverlap="1">
            <wp:simplePos x="0" y="0"/>
            <wp:positionH relativeFrom="column">
              <wp:posOffset>107950</wp:posOffset>
            </wp:positionH>
            <wp:positionV relativeFrom="paragraph">
              <wp:posOffset>-1473835</wp:posOffset>
            </wp:positionV>
            <wp:extent cx="265430" cy="3257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265430" cy="325755"/>
                    </a:xfrm>
                    <a:prstGeom prst="rect">
                      <a:avLst/>
                    </a:prstGeom>
                    <a:noFill/>
                  </pic:spPr>
                </pic:pic>
              </a:graphicData>
            </a:graphic>
          </wp:anchor>
        </w:drawing>
        <w:drawing>
          <wp:anchor simplePos="0" relativeHeight="251657728" behindDoc="1" locked="0" layoutInCell="0" allowOverlap="1">
            <wp:simplePos x="0" y="0"/>
            <wp:positionH relativeFrom="column">
              <wp:posOffset>5611495</wp:posOffset>
            </wp:positionH>
            <wp:positionV relativeFrom="paragraph">
              <wp:posOffset>-1370965</wp:posOffset>
            </wp:positionV>
            <wp:extent cx="1183005" cy="9398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1183005" cy="93980"/>
                    </a:xfrm>
                    <a:prstGeom prst="rect">
                      <a:avLst/>
                    </a:prstGeom>
                    <a:noFill/>
                  </pic:spPr>
                </pic:pic>
              </a:graphicData>
            </a:graphic>
          </wp:anchor>
        </w:drawing>
        <w:drawing>
          <wp:anchor simplePos="0" relativeHeight="251657728" behindDoc="1" locked="0" layoutInCell="0" allowOverlap="1">
            <wp:simplePos x="0" y="0"/>
            <wp:positionH relativeFrom="column">
              <wp:posOffset>116205</wp:posOffset>
            </wp:positionH>
            <wp:positionV relativeFrom="paragraph">
              <wp:posOffset>-908050</wp:posOffset>
            </wp:positionV>
            <wp:extent cx="257175" cy="31686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257175" cy="316865"/>
                    </a:xfrm>
                    <a:prstGeom prst="rect">
                      <a:avLst/>
                    </a:prstGeom>
                    <a:noFill/>
                  </pic:spPr>
                </pic:pic>
              </a:graphicData>
            </a:graphic>
          </wp:anchor>
        </w:drawing>
        <w:drawing>
          <wp:anchor simplePos="0" relativeHeight="251657728" behindDoc="1" locked="0" layoutInCell="0" allowOverlap="1">
            <wp:simplePos x="0" y="0"/>
            <wp:positionH relativeFrom="column">
              <wp:posOffset>5611495</wp:posOffset>
            </wp:positionH>
            <wp:positionV relativeFrom="paragraph">
              <wp:posOffset>-813435</wp:posOffset>
            </wp:positionV>
            <wp:extent cx="1183005" cy="9398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1183005" cy="93980"/>
                    </a:xfrm>
                    <a:prstGeom prst="rect">
                      <a:avLst/>
                    </a:prstGeom>
                    <a:noFill/>
                  </pic:spPr>
                </pic:pic>
              </a:graphicData>
            </a:graphic>
          </wp:anchor>
        </w:drawing>
        <w:drawing>
          <wp:anchor simplePos="0" relativeHeight="251657728" behindDoc="1" locked="0" layoutInCell="0" allowOverlap="1">
            <wp:simplePos x="0" y="0"/>
            <wp:positionH relativeFrom="column">
              <wp:posOffset>90805</wp:posOffset>
            </wp:positionH>
            <wp:positionV relativeFrom="paragraph">
              <wp:posOffset>-359410</wp:posOffset>
            </wp:positionV>
            <wp:extent cx="308610" cy="18859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308610" cy="188595"/>
                    </a:xfrm>
                    <a:prstGeom prst="rect">
                      <a:avLst/>
                    </a:prstGeom>
                    <a:noFill/>
                  </pic:spPr>
                </pic:pic>
              </a:graphicData>
            </a:graphic>
          </wp:anchor>
        </w:drawing>
        <w:drawing>
          <wp:anchor simplePos="0" relativeHeight="251657728" behindDoc="1" locked="0" layoutInCell="0" allowOverlap="1">
            <wp:simplePos x="0" y="0"/>
            <wp:positionH relativeFrom="column">
              <wp:posOffset>5611495</wp:posOffset>
            </wp:positionH>
            <wp:positionV relativeFrom="paragraph">
              <wp:posOffset>-325120</wp:posOffset>
            </wp:positionV>
            <wp:extent cx="1183005" cy="9398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1183005" cy="93980"/>
                    </a:xfrm>
                    <a:prstGeom prst="rect">
                      <a:avLst/>
                    </a:prstGeom>
                    <a:noFill/>
                  </pic:spPr>
                </pic:pic>
              </a:graphicData>
            </a:graphic>
          </wp:anchor>
        </w:drawing>
      </w:r>
    </w:p>
    <w:p>
      <w:pPr>
        <w:spacing w:after="0" w:line="200" w:lineRule="exact"/>
        <w:rPr>
          <w:sz w:val="20"/>
          <w:szCs w:val="20"/>
          <w:color w:val="auto"/>
        </w:rPr>
      </w:pPr>
    </w:p>
    <w:p>
      <w:pPr>
        <w:spacing w:after="0" w:line="277" w:lineRule="exact"/>
        <w:rPr>
          <w:sz w:val="20"/>
          <w:szCs w:val="20"/>
          <w:color w:val="auto"/>
        </w:rPr>
      </w:pPr>
    </w:p>
    <w:p>
      <w:pPr>
        <w:ind w:left="640" w:hanging="614"/>
        <w:spacing w:after="0"/>
        <w:tabs>
          <w:tab w:leader="none" w:pos="640" w:val="left"/>
        </w:tabs>
        <w:numPr>
          <w:ilvl w:val="0"/>
          <w:numId w:val="23"/>
        </w:numPr>
        <w:rPr>
          <w:rFonts w:ascii="Arial" w:cs="Arial" w:eastAsia="Arial" w:hAnsi="Arial"/>
          <w:sz w:val="20"/>
          <w:szCs w:val="20"/>
          <w:b w:val="1"/>
          <w:bCs w:val="1"/>
          <w:color w:val="auto"/>
        </w:rPr>
      </w:pPr>
      <w:r>
        <w:rPr>
          <w:rFonts w:ascii="Arial" w:cs="Arial" w:eastAsia="Arial" w:hAnsi="Arial"/>
          <w:sz w:val="16"/>
          <w:szCs w:val="16"/>
          <w:color w:val="6D6E71"/>
        </w:rPr>
        <w:t>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185420</wp:posOffset>
            </wp:positionV>
            <wp:extent cx="7157720"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11" w:right="339" w:bottom="1440" w:gutter="0" w:footer="0" w:header="0"/>
        </w:sectPr>
      </w:pPr>
    </w:p>
    <w:bookmarkStart w:id="17" w:name="page18"/>
    <w:bookmarkEnd w:id="17"/>
    <w:p>
      <w:pPr>
        <w:spacing w:after="0"/>
        <w:rPr>
          <w:sz w:val="20"/>
          <w:szCs w:val="20"/>
          <w:color w:val="auto"/>
        </w:rPr>
      </w:pPr>
      <w:r>
        <w:rPr>
          <w:rFonts w:ascii="Arial" w:cs="Arial" w:eastAsia="Arial" w:hAnsi="Arial"/>
          <w:sz w:val="32"/>
          <w:szCs w:val="32"/>
          <w:b w:val="1"/>
          <w:bCs w:val="1"/>
          <w:color w:val="auto"/>
        </w:rPr>
        <w:t>Experience of our Director Nominees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840105</wp:posOffset>
            </wp:positionV>
            <wp:extent cx="7132320"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3451225</wp:posOffset>
            </wp:positionH>
            <wp:positionV relativeFrom="paragraph">
              <wp:posOffset>385445</wp:posOffset>
            </wp:positionV>
            <wp:extent cx="214630" cy="3257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214630" cy="325755"/>
                    </a:xfrm>
                    <a:prstGeom prst="rect">
                      <a:avLst/>
                    </a:prstGeom>
                    <a:noFill/>
                  </pic:spPr>
                </pic:pic>
              </a:graphicData>
            </a:graphic>
          </wp:anchor>
        </w:drawing>
        <w:drawing>
          <wp:anchor simplePos="0" relativeHeight="251657728" behindDoc="1" locked="0" layoutInCell="0" allowOverlap="1">
            <wp:simplePos x="0" y="0"/>
            <wp:positionH relativeFrom="column">
              <wp:posOffset>3828415</wp:posOffset>
            </wp:positionH>
            <wp:positionV relativeFrom="paragraph">
              <wp:posOffset>282575</wp:posOffset>
            </wp:positionV>
            <wp:extent cx="3223260" cy="42862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3223260" cy="428625"/>
                    </a:xfrm>
                    <a:prstGeom prst="rect">
                      <a:avLst/>
                    </a:prstGeom>
                    <a:noFill/>
                  </pic:spPr>
                </pic:pic>
              </a:graphicData>
            </a:graphic>
          </wp:anchor>
        </w:drawing>
        <w:drawing>
          <wp:anchor simplePos="0" relativeHeight="251657728" behindDoc="1" locked="0" layoutInCell="0" allowOverlap="1">
            <wp:simplePos x="0" y="0"/>
            <wp:positionH relativeFrom="column">
              <wp:posOffset>116205</wp:posOffset>
            </wp:positionH>
            <wp:positionV relativeFrom="paragraph">
              <wp:posOffset>916940</wp:posOffset>
            </wp:positionV>
            <wp:extent cx="257175" cy="24892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257175" cy="2489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5060" w:type="dxa"/>
            <w:vAlign w:val="bottom"/>
          </w:tcPr>
          <w:p>
            <w:pPr>
              <w:ind w:left="760"/>
              <w:spacing w:after="0"/>
              <w:rPr>
                <w:sz w:val="20"/>
                <w:szCs w:val="20"/>
                <w:color w:val="auto"/>
              </w:rPr>
            </w:pPr>
            <w:r>
              <w:rPr>
                <w:rFonts w:ascii="Arial" w:cs="Arial" w:eastAsia="Arial" w:hAnsi="Arial"/>
                <w:sz w:val="16"/>
                <w:szCs w:val="16"/>
                <w:b w:val="1"/>
                <w:bCs w:val="1"/>
                <w:color w:val="auto"/>
              </w:rPr>
              <w:t>Executive Leadership</w:t>
            </w:r>
          </w:p>
        </w:tc>
        <w:tc>
          <w:tcPr>
            <w:tcW w:w="840" w:type="dxa"/>
            <w:vAlign w:val="bottom"/>
          </w:tcPr>
          <w:p>
            <w:pPr>
              <w:ind w:left="480"/>
              <w:spacing w:after="0"/>
              <w:rPr>
                <w:sz w:val="20"/>
                <w:szCs w:val="20"/>
                <w:color w:val="auto"/>
              </w:rPr>
            </w:pPr>
            <w:r>
              <w:rPr>
                <w:rFonts w:ascii="Wingdings" w:cs="Wingdings" w:eastAsia="Wingdings" w:hAnsi="Wingdings"/>
                <w:sz w:val="16"/>
                <w:szCs w:val="16"/>
                <w:b w:val="1"/>
                <w:bCs w:val="1"/>
                <w:color w:val="0067B3"/>
              </w:rPr>
              <w:t>l</w:t>
            </w:r>
          </w:p>
        </w:tc>
        <w:tc>
          <w:tcPr>
            <w:tcW w:w="5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00" w:type="dxa"/>
            <w:vAlign w:val="bottom"/>
          </w:tcPr>
          <w:p>
            <w:pPr>
              <w:ind w:left="240"/>
              <w:spacing w:after="0"/>
              <w:rPr>
                <w:sz w:val="20"/>
                <w:szCs w:val="20"/>
                <w:color w:val="auto"/>
              </w:rPr>
            </w:pPr>
            <w:r>
              <w:rPr>
                <w:rFonts w:ascii="Wingdings" w:cs="Wingdings" w:eastAsia="Wingdings" w:hAnsi="Wingdings"/>
                <w:sz w:val="16"/>
                <w:szCs w:val="16"/>
                <w:b w:val="1"/>
                <w:bCs w:val="1"/>
                <w:color w:val="0067B3"/>
              </w:rPr>
              <w:t>l</w:t>
            </w:r>
          </w:p>
        </w:tc>
        <w:tc>
          <w:tcPr>
            <w:tcW w:w="5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60" w:type="dxa"/>
            <w:vAlign w:val="bottom"/>
          </w:tcPr>
          <w:p>
            <w:pPr>
              <w:ind w:left="300"/>
              <w:spacing w:after="0"/>
              <w:rPr>
                <w:sz w:val="20"/>
                <w:szCs w:val="20"/>
                <w:color w:val="auto"/>
              </w:rPr>
            </w:pPr>
            <w:r>
              <w:rPr>
                <w:rFonts w:ascii="Wingdings" w:cs="Wingdings" w:eastAsia="Wingdings" w:hAnsi="Wingdings"/>
                <w:sz w:val="16"/>
                <w:szCs w:val="16"/>
                <w:b w:val="1"/>
                <w:bCs w:val="1"/>
                <w:color w:val="0067B3"/>
              </w:rPr>
              <w:t>l</w:t>
            </w:r>
          </w:p>
        </w:tc>
        <w:tc>
          <w:tcPr>
            <w:tcW w:w="600" w:type="dxa"/>
            <w:vAlign w:val="bottom"/>
          </w:tcPr>
          <w:p>
            <w:pPr>
              <w:ind w:left="240"/>
              <w:spacing w:after="0"/>
              <w:rPr>
                <w:sz w:val="20"/>
                <w:szCs w:val="20"/>
                <w:color w:val="auto"/>
              </w:rPr>
            </w:pPr>
            <w:r>
              <w:rPr>
                <w:rFonts w:ascii="Wingdings" w:cs="Wingdings" w:eastAsia="Wingdings" w:hAnsi="Wingdings"/>
                <w:sz w:val="16"/>
                <w:szCs w:val="16"/>
                <w:b w:val="1"/>
                <w:bCs w:val="1"/>
                <w:color w:val="0067B3"/>
              </w:rPr>
              <w:t>l</w:t>
            </w:r>
          </w:p>
        </w:tc>
        <w:tc>
          <w:tcPr>
            <w:tcW w:w="680" w:type="dxa"/>
            <w:vAlign w:val="bottom"/>
          </w:tcPr>
          <w:p>
            <w:pPr>
              <w:ind w:left="220"/>
              <w:spacing w:after="0"/>
              <w:rPr>
                <w:sz w:val="20"/>
                <w:szCs w:val="20"/>
                <w:color w:val="auto"/>
              </w:rPr>
            </w:pPr>
            <w:r>
              <w:rPr>
                <w:rFonts w:ascii="Wingdings" w:cs="Wingdings" w:eastAsia="Wingdings" w:hAnsi="Wingdings"/>
                <w:sz w:val="16"/>
                <w:szCs w:val="16"/>
                <w:b w:val="1"/>
                <w:bCs w:val="1"/>
                <w:color w:val="0067B3"/>
              </w:rPr>
              <w:t>l</w:t>
            </w:r>
          </w:p>
        </w:tc>
        <w:tc>
          <w:tcPr>
            <w:tcW w:w="500" w:type="dxa"/>
            <w:vAlign w:val="bottom"/>
          </w:tcPr>
          <w:p>
            <w:pPr>
              <w:ind w:left="140"/>
              <w:spacing w:after="0"/>
              <w:rPr>
                <w:sz w:val="20"/>
                <w:szCs w:val="20"/>
                <w:color w:val="auto"/>
              </w:rPr>
            </w:pPr>
            <w:r>
              <w:rPr>
                <w:rFonts w:ascii="Wingdings" w:cs="Wingdings" w:eastAsia="Wingdings" w:hAnsi="Wingdings"/>
                <w:sz w:val="16"/>
                <w:szCs w:val="16"/>
                <w:b w:val="1"/>
                <w:bCs w:val="1"/>
                <w:color w:val="0067B3"/>
              </w:rPr>
              <w:t>l</w:t>
            </w:r>
          </w:p>
        </w:tc>
        <w:tc>
          <w:tcPr>
            <w:tcW w:w="0" w:type="dxa"/>
            <w:vAlign w:val="bottom"/>
          </w:tcPr>
          <w:p>
            <w:pPr>
              <w:spacing w:after="0"/>
              <w:rPr>
                <w:sz w:val="1"/>
                <w:szCs w:val="1"/>
                <w:color w:val="auto"/>
              </w:rPr>
            </w:pPr>
          </w:p>
        </w:tc>
      </w:tr>
      <w:tr>
        <w:trPr>
          <w:trHeight w:val="237"/>
        </w:trPr>
        <w:tc>
          <w:tcPr>
            <w:tcW w:w="5060" w:type="dxa"/>
            <w:vAlign w:val="bottom"/>
            <w:tcBorders>
              <w:bottom w:val="single" w:sz="8" w:color="939598"/>
            </w:tcBorders>
          </w:tcPr>
          <w:p>
            <w:pPr>
              <w:spacing w:after="0"/>
              <w:rPr>
                <w:sz w:val="20"/>
                <w:szCs w:val="20"/>
                <w:color w:val="auto"/>
              </w:rPr>
            </w:pPr>
          </w:p>
        </w:tc>
        <w:tc>
          <w:tcPr>
            <w:tcW w:w="840" w:type="dxa"/>
            <w:vAlign w:val="bottom"/>
            <w:tcBorders>
              <w:bottom w:val="single" w:sz="8" w:color="939598"/>
            </w:tcBorders>
          </w:tcPr>
          <w:p>
            <w:pPr>
              <w:spacing w:after="0"/>
              <w:rPr>
                <w:sz w:val="20"/>
                <w:szCs w:val="20"/>
                <w:color w:val="auto"/>
              </w:rPr>
            </w:pPr>
          </w:p>
        </w:tc>
        <w:tc>
          <w:tcPr>
            <w:tcW w:w="580" w:type="dxa"/>
            <w:vAlign w:val="bottom"/>
            <w:tcBorders>
              <w:bottom w:val="single" w:sz="8" w:color="939598"/>
            </w:tcBorders>
          </w:tcPr>
          <w:p>
            <w:pPr>
              <w:spacing w:after="0"/>
              <w:rPr>
                <w:sz w:val="20"/>
                <w:szCs w:val="20"/>
                <w:color w:val="auto"/>
              </w:rPr>
            </w:pPr>
          </w:p>
        </w:tc>
        <w:tc>
          <w:tcPr>
            <w:tcW w:w="600" w:type="dxa"/>
            <w:vAlign w:val="bottom"/>
            <w:tcBorders>
              <w:bottom w:val="single" w:sz="8" w:color="939598"/>
            </w:tcBorders>
          </w:tcPr>
          <w:p>
            <w:pPr>
              <w:spacing w:after="0"/>
              <w:rPr>
                <w:sz w:val="20"/>
                <w:szCs w:val="20"/>
                <w:color w:val="auto"/>
              </w:rPr>
            </w:pPr>
          </w:p>
        </w:tc>
        <w:tc>
          <w:tcPr>
            <w:tcW w:w="600" w:type="dxa"/>
            <w:vAlign w:val="bottom"/>
            <w:tcBorders>
              <w:bottom w:val="single" w:sz="8" w:color="939598"/>
            </w:tcBorders>
          </w:tcPr>
          <w:p>
            <w:pPr>
              <w:spacing w:after="0"/>
              <w:rPr>
                <w:sz w:val="20"/>
                <w:szCs w:val="20"/>
                <w:color w:val="auto"/>
              </w:rPr>
            </w:pPr>
          </w:p>
        </w:tc>
        <w:tc>
          <w:tcPr>
            <w:tcW w:w="580" w:type="dxa"/>
            <w:vAlign w:val="bottom"/>
            <w:tcBorders>
              <w:bottom w:val="single" w:sz="8" w:color="939598"/>
            </w:tcBorders>
          </w:tcPr>
          <w:p>
            <w:pPr>
              <w:spacing w:after="0"/>
              <w:rPr>
                <w:sz w:val="20"/>
                <w:szCs w:val="20"/>
                <w:color w:val="auto"/>
              </w:rPr>
            </w:pPr>
          </w:p>
        </w:tc>
        <w:tc>
          <w:tcPr>
            <w:tcW w:w="540" w:type="dxa"/>
            <w:vAlign w:val="bottom"/>
            <w:tcBorders>
              <w:bottom w:val="single" w:sz="8" w:color="939598"/>
            </w:tcBorders>
          </w:tcPr>
          <w:p>
            <w:pPr>
              <w:spacing w:after="0"/>
              <w:rPr>
                <w:sz w:val="20"/>
                <w:szCs w:val="20"/>
                <w:color w:val="auto"/>
              </w:rPr>
            </w:pPr>
          </w:p>
        </w:tc>
        <w:tc>
          <w:tcPr>
            <w:tcW w:w="660" w:type="dxa"/>
            <w:vAlign w:val="bottom"/>
            <w:tcBorders>
              <w:bottom w:val="single" w:sz="8" w:color="939598"/>
            </w:tcBorders>
          </w:tcPr>
          <w:p>
            <w:pPr>
              <w:spacing w:after="0"/>
              <w:rPr>
                <w:sz w:val="20"/>
                <w:szCs w:val="20"/>
                <w:color w:val="auto"/>
              </w:rPr>
            </w:pPr>
          </w:p>
        </w:tc>
        <w:tc>
          <w:tcPr>
            <w:tcW w:w="600" w:type="dxa"/>
            <w:vAlign w:val="bottom"/>
            <w:tcBorders>
              <w:bottom w:val="single" w:sz="8" w:color="939598"/>
            </w:tcBorders>
          </w:tcPr>
          <w:p>
            <w:pPr>
              <w:spacing w:after="0"/>
              <w:rPr>
                <w:sz w:val="20"/>
                <w:szCs w:val="20"/>
                <w:color w:val="auto"/>
              </w:rPr>
            </w:pPr>
          </w:p>
        </w:tc>
        <w:tc>
          <w:tcPr>
            <w:tcW w:w="680" w:type="dxa"/>
            <w:vAlign w:val="bottom"/>
            <w:tcBorders>
              <w:bottom w:val="single" w:sz="8" w:color="939598"/>
            </w:tcBorders>
          </w:tcPr>
          <w:p>
            <w:pPr>
              <w:spacing w:after="0"/>
              <w:rPr>
                <w:sz w:val="20"/>
                <w:szCs w:val="20"/>
                <w:color w:val="auto"/>
              </w:rPr>
            </w:pPr>
          </w:p>
        </w:tc>
        <w:tc>
          <w:tcPr>
            <w:tcW w:w="500" w:type="dxa"/>
            <w:vAlign w:val="bottom"/>
            <w:tcBorders>
              <w:bottom w:val="single" w:sz="8" w:color="939598"/>
            </w:tcBorders>
          </w:tcPr>
          <w:p>
            <w:pPr>
              <w:spacing w:after="0"/>
              <w:rPr>
                <w:sz w:val="20"/>
                <w:szCs w:val="20"/>
                <w:color w:val="auto"/>
              </w:rPr>
            </w:pPr>
          </w:p>
        </w:tc>
        <w:tc>
          <w:tcPr>
            <w:tcW w:w="0" w:type="dxa"/>
            <w:vAlign w:val="bottom"/>
          </w:tcPr>
          <w:p>
            <w:pPr>
              <w:spacing w:after="0"/>
              <w:rPr>
                <w:sz w:val="1"/>
                <w:szCs w:val="1"/>
                <w:color w:val="auto"/>
              </w:rPr>
            </w:pPr>
          </w:p>
        </w:tc>
      </w:tr>
      <w:tr>
        <w:trPr>
          <w:trHeight w:val="458"/>
        </w:trPr>
        <w:tc>
          <w:tcPr>
            <w:tcW w:w="5060" w:type="dxa"/>
            <w:vAlign w:val="bottom"/>
          </w:tcPr>
          <w:p>
            <w:pPr>
              <w:ind w:left="760"/>
              <w:spacing w:after="0"/>
              <w:rPr>
                <w:sz w:val="20"/>
                <w:szCs w:val="20"/>
                <w:color w:val="auto"/>
              </w:rPr>
            </w:pPr>
            <w:r>
              <w:rPr>
                <w:rFonts w:ascii="Arial" w:cs="Arial" w:eastAsia="Arial" w:hAnsi="Arial"/>
                <w:sz w:val="16"/>
                <w:szCs w:val="16"/>
                <w:b w:val="1"/>
                <w:bCs w:val="1"/>
                <w:color w:val="auto"/>
              </w:rPr>
              <w:t>Industry</w:t>
            </w:r>
          </w:p>
        </w:tc>
        <w:tc>
          <w:tcPr>
            <w:tcW w:w="840" w:type="dxa"/>
            <w:vAlign w:val="bottom"/>
          </w:tcPr>
          <w:p>
            <w:pPr>
              <w:ind w:left="480"/>
              <w:spacing w:after="0"/>
              <w:rPr>
                <w:sz w:val="20"/>
                <w:szCs w:val="20"/>
                <w:color w:val="auto"/>
              </w:rPr>
            </w:pPr>
            <w:r>
              <w:rPr>
                <w:rFonts w:ascii="Wingdings" w:cs="Wingdings" w:eastAsia="Wingdings" w:hAnsi="Wingdings"/>
                <w:sz w:val="16"/>
                <w:szCs w:val="16"/>
                <w:b w:val="1"/>
                <w:bCs w:val="1"/>
                <w:color w:val="0067B3"/>
              </w:rPr>
              <w:t>l</w:t>
            </w:r>
          </w:p>
        </w:tc>
        <w:tc>
          <w:tcPr>
            <w:tcW w:w="580" w:type="dxa"/>
            <w:vAlign w:val="bottom"/>
          </w:tcPr>
          <w:p>
            <w:pPr>
              <w:ind w:left="240"/>
              <w:spacing w:after="0"/>
              <w:rPr>
                <w:sz w:val="20"/>
                <w:szCs w:val="20"/>
                <w:color w:val="auto"/>
              </w:rPr>
            </w:pPr>
            <w:r>
              <w:rPr>
                <w:rFonts w:ascii="Wingdings" w:cs="Wingdings" w:eastAsia="Wingdings" w:hAnsi="Wingdings"/>
                <w:sz w:val="16"/>
                <w:szCs w:val="16"/>
                <w:b w:val="1"/>
                <w:bCs w:val="1"/>
                <w:color w:val="0067B3"/>
              </w:rPr>
              <w:t>l</w:t>
            </w:r>
          </w:p>
        </w:tc>
        <w:tc>
          <w:tcPr>
            <w:tcW w:w="600" w:type="dxa"/>
            <w:vAlign w:val="bottom"/>
          </w:tcPr>
          <w:p>
            <w:pPr>
              <w:ind w:left="240"/>
              <w:spacing w:after="0"/>
              <w:rPr>
                <w:sz w:val="20"/>
                <w:szCs w:val="20"/>
                <w:color w:val="auto"/>
              </w:rPr>
            </w:pPr>
            <w:r>
              <w:rPr>
                <w:rFonts w:ascii="Wingdings" w:cs="Wingdings" w:eastAsia="Wingdings" w:hAnsi="Wingdings"/>
                <w:sz w:val="16"/>
                <w:szCs w:val="16"/>
                <w:b w:val="1"/>
                <w:bCs w:val="1"/>
                <w:color w:val="0067B3"/>
              </w:rPr>
              <w:t>l</w:t>
            </w:r>
          </w:p>
        </w:tc>
        <w:tc>
          <w:tcPr>
            <w:tcW w:w="600" w:type="dxa"/>
            <w:vAlign w:val="bottom"/>
          </w:tcPr>
          <w:p>
            <w:pPr>
              <w:ind w:left="240"/>
              <w:spacing w:after="0"/>
              <w:rPr>
                <w:sz w:val="20"/>
                <w:szCs w:val="20"/>
                <w:color w:val="auto"/>
              </w:rPr>
            </w:pPr>
            <w:r>
              <w:rPr>
                <w:rFonts w:ascii="Wingdings" w:cs="Wingdings" w:eastAsia="Wingdings" w:hAnsi="Wingdings"/>
                <w:sz w:val="16"/>
                <w:szCs w:val="16"/>
                <w:b w:val="1"/>
                <w:bCs w:val="1"/>
                <w:color w:val="0067B3"/>
              </w:rPr>
              <w:t>l</w:t>
            </w:r>
          </w:p>
        </w:tc>
        <w:tc>
          <w:tcPr>
            <w:tcW w:w="5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60" w:type="dxa"/>
            <w:vAlign w:val="bottom"/>
          </w:tcPr>
          <w:p>
            <w:pPr>
              <w:ind w:left="300"/>
              <w:spacing w:after="0"/>
              <w:rPr>
                <w:sz w:val="20"/>
                <w:szCs w:val="20"/>
                <w:color w:val="auto"/>
              </w:rPr>
            </w:pPr>
            <w:r>
              <w:rPr>
                <w:rFonts w:ascii="Wingdings" w:cs="Wingdings" w:eastAsia="Wingdings" w:hAnsi="Wingdings"/>
                <w:sz w:val="16"/>
                <w:szCs w:val="16"/>
                <w:b w:val="1"/>
                <w:bCs w:val="1"/>
                <w:color w:val="0067B3"/>
              </w:rPr>
              <w:t>l</w:t>
            </w:r>
          </w:p>
        </w:tc>
        <w:tc>
          <w:tcPr>
            <w:tcW w:w="600" w:type="dxa"/>
            <w:vAlign w:val="bottom"/>
          </w:tcPr>
          <w:p>
            <w:pPr>
              <w:ind w:left="240"/>
              <w:spacing w:after="0"/>
              <w:rPr>
                <w:sz w:val="20"/>
                <w:szCs w:val="20"/>
                <w:color w:val="auto"/>
              </w:rPr>
            </w:pPr>
            <w:r>
              <w:rPr>
                <w:rFonts w:ascii="Wingdings" w:cs="Wingdings" w:eastAsia="Wingdings" w:hAnsi="Wingdings"/>
                <w:sz w:val="16"/>
                <w:szCs w:val="16"/>
                <w:b w:val="1"/>
                <w:bCs w:val="1"/>
                <w:color w:val="0067B3"/>
              </w:rPr>
              <w:t>l</w:t>
            </w:r>
          </w:p>
        </w:tc>
        <w:tc>
          <w:tcPr>
            <w:tcW w:w="680" w:type="dxa"/>
            <w:vAlign w:val="bottom"/>
          </w:tcPr>
          <w:p>
            <w:pPr>
              <w:ind w:left="220"/>
              <w:spacing w:after="0"/>
              <w:rPr>
                <w:sz w:val="20"/>
                <w:szCs w:val="20"/>
                <w:color w:val="auto"/>
              </w:rPr>
            </w:pPr>
            <w:r>
              <w:rPr>
                <w:rFonts w:ascii="Wingdings" w:cs="Wingdings" w:eastAsia="Wingdings" w:hAnsi="Wingdings"/>
                <w:sz w:val="16"/>
                <w:szCs w:val="16"/>
                <w:b w:val="1"/>
                <w:bCs w:val="1"/>
                <w:color w:val="0067B3"/>
              </w:rPr>
              <w:t>l</w:t>
            </w:r>
          </w:p>
        </w:tc>
        <w:tc>
          <w:tcPr>
            <w:tcW w:w="500" w:type="dxa"/>
            <w:vAlign w:val="bottom"/>
          </w:tcPr>
          <w:p>
            <w:pPr>
              <w:ind w:left="140"/>
              <w:spacing w:after="0"/>
              <w:rPr>
                <w:sz w:val="20"/>
                <w:szCs w:val="20"/>
                <w:color w:val="auto"/>
              </w:rPr>
            </w:pPr>
            <w:r>
              <w:rPr>
                <w:rFonts w:ascii="Wingdings" w:cs="Wingdings" w:eastAsia="Wingdings" w:hAnsi="Wingdings"/>
                <w:sz w:val="16"/>
                <w:szCs w:val="16"/>
                <w:b w:val="1"/>
                <w:bCs w:val="1"/>
                <w:color w:val="0067B3"/>
              </w:rPr>
              <w:t>l</w:t>
            </w:r>
          </w:p>
        </w:tc>
        <w:tc>
          <w:tcPr>
            <w:tcW w:w="0" w:type="dxa"/>
            <w:vAlign w:val="bottom"/>
          </w:tcPr>
          <w:p>
            <w:pPr>
              <w:spacing w:after="0"/>
              <w:rPr>
                <w:sz w:val="1"/>
                <w:szCs w:val="1"/>
                <w:color w:val="auto"/>
              </w:rPr>
            </w:pPr>
          </w:p>
        </w:tc>
      </w:tr>
      <w:tr>
        <w:trPr>
          <w:trHeight w:val="237"/>
        </w:trPr>
        <w:tc>
          <w:tcPr>
            <w:tcW w:w="5060" w:type="dxa"/>
            <w:vAlign w:val="bottom"/>
            <w:tcBorders>
              <w:bottom w:val="single" w:sz="8" w:color="939598"/>
            </w:tcBorders>
          </w:tcPr>
          <w:p>
            <w:pPr>
              <w:spacing w:after="0"/>
              <w:rPr>
                <w:sz w:val="20"/>
                <w:szCs w:val="20"/>
                <w:color w:val="auto"/>
              </w:rPr>
            </w:pPr>
          </w:p>
        </w:tc>
        <w:tc>
          <w:tcPr>
            <w:tcW w:w="840" w:type="dxa"/>
            <w:vAlign w:val="bottom"/>
            <w:tcBorders>
              <w:bottom w:val="single" w:sz="8" w:color="939598"/>
            </w:tcBorders>
          </w:tcPr>
          <w:p>
            <w:pPr>
              <w:spacing w:after="0"/>
              <w:rPr>
                <w:sz w:val="20"/>
                <w:szCs w:val="20"/>
                <w:color w:val="auto"/>
              </w:rPr>
            </w:pPr>
          </w:p>
        </w:tc>
        <w:tc>
          <w:tcPr>
            <w:tcW w:w="580" w:type="dxa"/>
            <w:vAlign w:val="bottom"/>
            <w:tcBorders>
              <w:bottom w:val="single" w:sz="8" w:color="939598"/>
            </w:tcBorders>
          </w:tcPr>
          <w:p>
            <w:pPr>
              <w:spacing w:after="0"/>
              <w:rPr>
                <w:sz w:val="20"/>
                <w:szCs w:val="20"/>
                <w:color w:val="auto"/>
              </w:rPr>
            </w:pPr>
          </w:p>
        </w:tc>
        <w:tc>
          <w:tcPr>
            <w:tcW w:w="600" w:type="dxa"/>
            <w:vAlign w:val="bottom"/>
            <w:tcBorders>
              <w:bottom w:val="single" w:sz="8" w:color="939598"/>
            </w:tcBorders>
          </w:tcPr>
          <w:p>
            <w:pPr>
              <w:spacing w:after="0"/>
              <w:rPr>
                <w:sz w:val="20"/>
                <w:szCs w:val="20"/>
                <w:color w:val="auto"/>
              </w:rPr>
            </w:pPr>
          </w:p>
        </w:tc>
        <w:tc>
          <w:tcPr>
            <w:tcW w:w="600" w:type="dxa"/>
            <w:vAlign w:val="bottom"/>
            <w:tcBorders>
              <w:bottom w:val="single" w:sz="8" w:color="939598"/>
            </w:tcBorders>
          </w:tcPr>
          <w:p>
            <w:pPr>
              <w:spacing w:after="0"/>
              <w:rPr>
                <w:sz w:val="20"/>
                <w:szCs w:val="20"/>
                <w:color w:val="auto"/>
              </w:rPr>
            </w:pPr>
          </w:p>
        </w:tc>
        <w:tc>
          <w:tcPr>
            <w:tcW w:w="580" w:type="dxa"/>
            <w:vAlign w:val="bottom"/>
            <w:tcBorders>
              <w:bottom w:val="single" w:sz="8" w:color="939598"/>
            </w:tcBorders>
          </w:tcPr>
          <w:p>
            <w:pPr>
              <w:spacing w:after="0"/>
              <w:rPr>
                <w:sz w:val="20"/>
                <w:szCs w:val="20"/>
                <w:color w:val="auto"/>
              </w:rPr>
            </w:pPr>
          </w:p>
        </w:tc>
        <w:tc>
          <w:tcPr>
            <w:tcW w:w="540" w:type="dxa"/>
            <w:vAlign w:val="bottom"/>
            <w:tcBorders>
              <w:bottom w:val="single" w:sz="8" w:color="939598"/>
            </w:tcBorders>
          </w:tcPr>
          <w:p>
            <w:pPr>
              <w:spacing w:after="0"/>
              <w:rPr>
                <w:sz w:val="20"/>
                <w:szCs w:val="20"/>
                <w:color w:val="auto"/>
              </w:rPr>
            </w:pPr>
          </w:p>
        </w:tc>
        <w:tc>
          <w:tcPr>
            <w:tcW w:w="660" w:type="dxa"/>
            <w:vAlign w:val="bottom"/>
            <w:tcBorders>
              <w:bottom w:val="single" w:sz="8" w:color="939598"/>
            </w:tcBorders>
          </w:tcPr>
          <w:p>
            <w:pPr>
              <w:spacing w:after="0"/>
              <w:rPr>
                <w:sz w:val="20"/>
                <w:szCs w:val="20"/>
                <w:color w:val="auto"/>
              </w:rPr>
            </w:pPr>
          </w:p>
        </w:tc>
        <w:tc>
          <w:tcPr>
            <w:tcW w:w="600" w:type="dxa"/>
            <w:vAlign w:val="bottom"/>
            <w:tcBorders>
              <w:bottom w:val="single" w:sz="8" w:color="939598"/>
            </w:tcBorders>
          </w:tcPr>
          <w:p>
            <w:pPr>
              <w:spacing w:after="0"/>
              <w:rPr>
                <w:sz w:val="20"/>
                <w:szCs w:val="20"/>
                <w:color w:val="auto"/>
              </w:rPr>
            </w:pPr>
          </w:p>
        </w:tc>
        <w:tc>
          <w:tcPr>
            <w:tcW w:w="680" w:type="dxa"/>
            <w:vAlign w:val="bottom"/>
            <w:tcBorders>
              <w:bottom w:val="single" w:sz="8" w:color="939598"/>
            </w:tcBorders>
          </w:tcPr>
          <w:p>
            <w:pPr>
              <w:spacing w:after="0"/>
              <w:rPr>
                <w:sz w:val="20"/>
                <w:szCs w:val="20"/>
                <w:color w:val="auto"/>
              </w:rPr>
            </w:pPr>
          </w:p>
        </w:tc>
        <w:tc>
          <w:tcPr>
            <w:tcW w:w="500" w:type="dxa"/>
            <w:vAlign w:val="bottom"/>
            <w:tcBorders>
              <w:bottom w:val="single" w:sz="8" w:color="939598"/>
            </w:tcBorders>
          </w:tcPr>
          <w:p>
            <w:pPr>
              <w:spacing w:after="0"/>
              <w:rPr>
                <w:sz w:val="20"/>
                <w:szCs w:val="20"/>
                <w:color w:val="auto"/>
              </w:rPr>
            </w:pPr>
          </w:p>
        </w:tc>
        <w:tc>
          <w:tcPr>
            <w:tcW w:w="0" w:type="dxa"/>
            <w:vAlign w:val="bottom"/>
          </w:tcPr>
          <w:p>
            <w:pPr>
              <w:spacing w:after="0"/>
              <w:rPr>
                <w:sz w:val="1"/>
                <w:szCs w:val="1"/>
                <w:color w:val="auto"/>
              </w:rPr>
            </w:pPr>
          </w:p>
        </w:tc>
      </w:tr>
      <w:tr>
        <w:trPr>
          <w:trHeight w:val="458"/>
        </w:trPr>
        <w:tc>
          <w:tcPr>
            <w:tcW w:w="5060" w:type="dxa"/>
            <w:vAlign w:val="bottom"/>
          </w:tcPr>
          <w:p>
            <w:pPr>
              <w:ind w:left="760"/>
              <w:spacing w:after="0"/>
              <w:rPr>
                <w:sz w:val="20"/>
                <w:szCs w:val="20"/>
                <w:color w:val="auto"/>
              </w:rPr>
            </w:pPr>
            <w:r>
              <w:rPr>
                <w:rFonts w:ascii="Arial" w:cs="Arial" w:eastAsia="Arial" w:hAnsi="Arial"/>
                <w:sz w:val="16"/>
                <w:szCs w:val="16"/>
                <w:b w:val="1"/>
                <w:bCs w:val="1"/>
                <w:color w:val="auto"/>
              </w:rPr>
              <w:t>Innovation and Emerging Technologies</w:t>
            </w:r>
          </w:p>
        </w:tc>
        <w:tc>
          <w:tcPr>
            <w:tcW w:w="840" w:type="dxa"/>
            <w:vAlign w:val="bottom"/>
          </w:tcPr>
          <w:p>
            <w:pPr>
              <w:ind w:left="480"/>
              <w:spacing w:after="0"/>
              <w:rPr>
                <w:sz w:val="20"/>
                <w:szCs w:val="20"/>
                <w:color w:val="auto"/>
              </w:rPr>
            </w:pPr>
            <w:r>
              <w:rPr>
                <w:rFonts w:ascii="Wingdings" w:cs="Wingdings" w:eastAsia="Wingdings" w:hAnsi="Wingdings"/>
                <w:sz w:val="16"/>
                <w:szCs w:val="16"/>
                <w:b w:val="1"/>
                <w:bCs w:val="1"/>
                <w:color w:val="0067B3"/>
              </w:rPr>
              <w:t>l</w:t>
            </w:r>
          </w:p>
        </w:tc>
        <w:tc>
          <w:tcPr>
            <w:tcW w:w="580" w:type="dxa"/>
            <w:vAlign w:val="bottom"/>
          </w:tcPr>
          <w:p>
            <w:pPr>
              <w:ind w:left="240"/>
              <w:spacing w:after="0"/>
              <w:rPr>
                <w:sz w:val="20"/>
                <w:szCs w:val="20"/>
                <w:color w:val="auto"/>
              </w:rPr>
            </w:pPr>
            <w:r>
              <w:rPr>
                <w:rFonts w:ascii="Wingdings" w:cs="Wingdings" w:eastAsia="Wingdings" w:hAnsi="Wingdings"/>
                <w:sz w:val="16"/>
                <w:szCs w:val="16"/>
                <w:b w:val="1"/>
                <w:bCs w:val="1"/>
                <w:color w:val="0067B3"/>
              </w:rPr>
              <w:t>l</w:t>
            </w:r>
          </w:p>
        </w:tc>
        <w:tc>
          <w:tcPr>
            <w:tcW w:w="600" w:type="dxa"/>
            <w:vAlign w:val="bottom"/>
          </w:tcPr>
          <w:p>
            <w:pPr>
              <w:ind w:left="240"/>
              <w:spacing w:after="0"/>
              <w:rPr>
                <w:sz w:val="20"/>
                <w:szCs w:val="20"/>
                <w:color w:val="auto"/>
              </w:rPr>
            </w:pPr>
            <w:r>
              <w:rPr>
                <w:rFonts w:ascii="Wingdings" w:cs="Wingdings" w:eastAsia="Wingdings" w:hAnsi="Wingdings"/>
                <w:sz w:val="16"/>
                <w:szCs w:val="16"/>
                <w:b w:val="1"/>
                <w:bCs w:val="1"/>
                <w:color w:val="0067B3"/>
              </w:rPr>
              <w:t>l</w:t>
            </w:r>
          </w:p>
        </w:tc>
        <w:tc>
          <w:tcPr>
            <w:tcW w:w="600" w:type="dxa"/>
            <w:vAlign w:val="bottom"/>
          </w:tcPr>
          <w:p>
            <w:pPr>
              <w:ind w:left="240"/>
              <w:spacing w:after="0"/>
              <w:rPr>
                <w:sz w:val="20"/>
                <w:szCs w:val="20"/>
                <w:color w:val="auto"/>
              </w:rPr>
            </w:pPr>
            <w:r>
              <w:rPr>
                <w:rFonts w:ascii="Wingdings" w:cs="Wingdings" w:eastAsia="Wingdings" w:hAnsi="Wingdings"/>
                <w:sz w:val="16"/>
                <w:szCs w:val="16"/>
                <w:b w:val="1"/>
                <w:bCs w:val="1"/>
                <w:color w:val="0067B3"/>
              </w:rPr>
              <w:t>l</w:t>
            </w:r>
          </w:p>
        </w:tc>
        <w:tc>
          <w:tcPr>
            <w:tcW w:w="580" w:type="dxa"/>
            <w:vAlign w:val="bottom"/>
          </w:tcPr>
          <w:p>
            <w:pPr>
              <w:spacing w:after="0"/>
              <w:rPr>
                <w:sz w:val="24"/>
                <w:szCs w:val="24"/>
                <w:color w:val="auto"/>
              </w:rPr>
            </w:pPr>
          </w:p>
        </w:tc>
        <w:tc>
          <w:tcPr>
            <w:tcW w:w="540" w:type="dxa"/>
            <w:vAlign w:val="bottom"/>
          </w:tcPr>
          <w:p>
            <w:pPr>
              <w:ind w:left="240"/>
              <w:spacing w:after="0"/>
              <w:rPr>
                <w:sz w:val="20"/>
                <w:szCs w:val="20"/>
                <w:color w:val="auto"/>
              </w:rPr>
            </w:pPr>
            <w:r>
              <w:rPr>
                <w:rFonts w:ascii="Wingdings" w:cs="Wingdings" w:eastAsia="Wingdings" w:hAnsi="Wingdings"/>
                <w:sz w:val="16"/>
                <w:szCs w:val="16"/>
                <w:b w:val="1"/>
                <w:bCs w:val="1"/>
                <w:color w:val="0067B3"/>
              </w:rPr>
              <w:t>l</w:t>
            </w:r>
          </w:p>
        </w:tc>
        <w:tc>
          <w:tcPr>
            <w:tcW w:w="660" w:type="dxa"/>
            <w:vAlign w:val="bottom"/>
          </w:tcPr>
          <w:p>
            <w:pPr>
              <w:ind w:left="300"/>
              <w:spacing w:after="0"/>
              <w:rPr>
                <w:sz w:val="20"/>
                <w:szCs w:val="20"/>
                <w:color w:val="auto"/>
              </w:rPr>
            </w:pPr>
            <w:r>
              <w:rPr>
                <w:rFonts w:ascii="Wingdings" w:cs="Wingdings" w:eastAsia="Wingdings" w:hAnsi="Wingdings"/>
                <w:sz w:val="16"/>
                <w:szCs w:val="16"/>
                <w:b w:val="1"/>
                <w:bCs w:val="1"/>
                <w:color w:val="0067B3"/>
              </w:rPr>
              <w:t>l</w:t>
            </w:r>
          </w:p>
        </w:tc>
        <w:tc>
          <w:tcPr>
            <w:tcW w:w="600" w:type="dxa"/>
            <w:vAlign w:val="bottom"/>
          </w:tcPr>
          <w:p>
            <w:pPr>
              <w:ind w:left="240"/>
              <w:spacing w:after="0"/>
              <w:rPr>
                <w:sz w:val="20"/>
                <w:szCs w:val="20"/>
                <w:color w:val="auto"/>
              </w:rPr>
            </w:pPr>
            <w:r>
              <w:rPr>
                <w:rFonts w:ascii="Wingdings" w:cs="Wingdings" w:eastAsia="Wingdings" w:hAnsi="Wingdings"/>
                <w:sz w:val="16"/>
                <w:szCs w:val="16"/>
                <w:b w:val="1"/>
                <w:bCs w:val="1"/>
                <w:color w:val="0067B3"/>
              </w:rPr>
              <w:t>l</w:t>
            </w:r>
          </w:p>
        </w:tc>
        <w:tc>
          <w:tcPr>
            <w:tcW w:w="680" w:type="dxa"/>
            <w:vAlign w:val="bottom"/>
          </w:tcPr>
          <w:p>
            <w:pPr>
              <w:ind w:left="220"/>
              <w:spacing w:after="0"/>
              <w:rPr>
                <w:sz w:val="20"/>
                <w:szCs w:val="20"/>
                <w:color w:val="auto"/>
              </w:rPr>
            </w:pPr>
            <w:r>
              <w:rPr>
                <w:rFonts w:ascii="Wingdings" w:cs="Wingdings" w:eastAsia="Wingdings" w:hAnsi="Wingdings"/>
                <w:sz w:val="16"/>
                <w:szCs w:val="16"/>
                <w:b w:val="1"/>
                <w:bCs w:val="1"/>
                <w:color w:val="0067B3"/>
              </w:rPr>
              <w:t>l</w:t>
            </w:r>
          </w:p>
        </w:tc>
        <w:tc>
          <w:tcPr>
            <w:tcW w:w="500" w:type="dxa"/>
            <w:vAlign w:val="bottom"/>
          </w:tcPr>
          <w:p>
            <w:pPr>
              <w:ind w:left="140"/>
              <w:spacing w:after="0"/>
              <w:rPr>
                <w:sz w:val="20"/>
                <w:szCs w:val="20"/>
                <w:color w:val="auto"/>
              </w:rPr>
            </w:pPr>
            <w:r>
              <w:rPr>
                <w:rFonts w:ascii="Wingdings" w:cs="Wingdings" w:eastAsia="Wingdings" w:hAnsi="Wingdings"/>
                <w:sz w:val="16"/>
                <w:szCs w:val="16"/>
                <w:b w:val="1"/>
                <w:bCs w:val="1"/>
                <w:color w:val="0067B3"/>
              </w:rPr>
              <w:t>l</w:t>
            </w:r>
          </w:p>
        </w:tc>
        <w:tc>
          <w:tcPr>
            <w:tcW w:w="0" w:type="dxa"/>
            <w:vAlign w:val="bottom"/>
          </w:tcPr>
          <w:p>
            <w:pPr>
              <w:spacing w:after="0"/>
              <w:rPr>
                <w:sz w:val="1"/>
                <w:szCs w:val="1"/>
                <w:color w:val="auto"/>
              </w:rPr>
            </w:pPr>
          </w:p>
        </w:tc>
      </w:tr>
      <w:tr>
        <w:trPr>
          <w:trHeight w:val="251"/>
        </w:trPr>
        <w:tc>
          <w:tcPr>
            <w:tcW w:w="5060" w:type="dxa"/>
            <w:vAlign w:val="bottom"/>
            <w:tcBorders>
              <w:bottom w:val="single" w:sz="8" w:color="939598"/>
            </w:tcBorders>
          </w:tcPr>
          <w:p>
            <w:pPr>
              <w:spacing w:after="0"/>
              <w:rPr>
                <w:sz w:val="21"/>
                <w:szCs w:val="21"/>
                <w:color w:val="auto"/>
              </w:rPr>
            </w:pPr>
          </w:p>
        </w:tc>
        <w:tc>
          <w:tcPr>
            <w:tcW w:w="840" w:type="dxa"/>
            <w:vAlign w:val="bottom"/>
            <w:tcBorders>
              <w:bottom w:val="single" w:sz="8" w:color="939598"/>
            </w:tcBorders>
          </w:tcPr>
          <w:p>
            <w:pPr>
              <w:spacing w:after="0"/>
              <w:rPr>
                <w:sz w:val="21"/>
                <w:szCs w:val="21"/>
                <w:color w:val="auto"/>
              </w:rPr>
            </w:pPr>
          </w:p>
        </w:tc>
        <w:tc>
          <w:tcPr>
            <w:tcW w:w="580" w:type="dxa"/>
            <w:vAlign w:val="bottom"/>
            <w:tcBorders>
              <w:bottom w:val="single" w:sz="8" w:color="939598"/>
            </w:tcBorders>
          </w:tcPr>
          <w:p>
            <w:pPr>
              <w:spacing w:after="0"/>
              <w:rPr>
                <w:sz w:val="21"/>
                <w:szCs w:val="21"/>
                <w:color w:val="auto"/>
              </w:rPr>
            </w:pPr>
          </w:p>
        </w:tc>
        <w:tc>
          <w:tcPr>
            <w:tcW w:w="600" w:type="dxa"/>
            <w:vAlign w:val="bottom"/>
            <w:tcBorders>
              <w:bottom w:val="single" w:sz="8" w:color="939598"/>
            </w:tcBorders>
          </w:tcPr>
          <w:p>
            <w:pPr>
              <w:spacing w:after="0"/>
              <w:rPr>
                <w:sz w:val="21"/>
                <w:szCs w:val="21"/>
                <w:color w:val="auto"/>
              </w:rPr>
            </w:pPr>
          </w:p>
        </w:tc>
        <w:tc>
          <w:tcPr>
            <w:tcW w:w="600" w:type="dxa"/>
            <w:vAlign w:val="bottom"/>
            <w:tcBorders>
              <w:bottom w:val="single" w:sz="8" w:color="939598"/>
            </w:tcBorders>
          </w:tcPr>
          <w:p>
            <w:pPr>
              <w:spacing w:after="0"/>
              <w:rPr>
                <w:sz w:val="21"/>
                <w:szCs w:val="21"/>
                <w:color w:val="auto"/>
              </w:rPr>
            </w:pPr>
          </w:p>
        </w:tc>
        <w:tc>
          <w:tcPr>
            <w:tcW w:w="580" w:type="dxa"/>
            <w:vAlign w:val="bottom"/>
            <w:tcBorders>
              <w:bottom w:val="single" w:sz="8" w:color="939598"/>
            </w:tcBorders>
          </w:tcPr>
          <w:p>
            <w:pPr>
              <w:spacing w:after="0"/>
              <w:rPr>
                <w:sz w:val="21"/>
                <w:szCs w:val="21"/>
                <w:color w:val="auto"/>
              </w:rPr>
            </w:pPr>
          </w:p>
        </w:tc>
        <w:tc>
          <w:tcPr>
            <w:tcW w:w="540" w:type="dxa"/>
            <w:vAlign w:val="bottom"/>
            <w:tcBorders>
              <w:bottom w:val="single" w:sz="8" w:color="939598"/>
            </w:tcBorders>
          </w:tcPr>
          <w:p>
            <w:pPr>
              <w:spacing w:after="0"/>
              <w:rPr>
                <w:sz w:val="21"/>
                <w:szCs w:val="21"/>
                <w:color w:val="auto"/>
              </w:rPr>
            </w:pPr>
          </w:p>
        </w:tc>
        <w:tc>
          <w:tcPr>
            <w:tcW w:w="660" w:type="dxa"/>
            <w:vAlign w:val="bottom"/>
            <w:tcBorders>
              <w:bottom w:val="single" w:sz="8" w:color="939598"/>
            </w:tcBorders>
          </w:tcPr>
          <w:p>
            <w:pPr>
              <w:spacing w:after="0"/>
              <w:rPr>
                <w:sz w:val="21"/>
                <w:szCs w:val="21"/>
                <w:color w:val="auto"/>
              </w:rPr>
            </w:pPr>
          </w:p>
        </w:tc>
        <w:tc>
          <w:tcPr>
            <w:tcW w:w="600" w:type="dxa"/>
            <w:vAlign w:val="bottom"/>
            <w:tcBorders>
              <w:bottom w:val="single" w:sz="8" w:color="939598"/>
            </w:tcBorders>
          </w:tcPr>
          <w:p>
            <w:pPr>
              <w:spacing w:after="0"/>
              <w:rPr>
                <w:sz w:val="21"/>
                <w:szCs w:val="21"/>
                <w:color w:val="auto"/>
              </w:rPr>
            </w:pPr>
          </w:p>
        </w:tc>
        <w:tc>
          <w:tcPr>
            <w:tcW w:w="680" w:type="dxa"/>
            <w:vAlign w:val="bottom"/>
            <w:tcBorders>
              <w:bottom w:val="single" w:sz="8" w:color="939598"/>
            </w:tcBorders>
          </w:tcPr>
          <w:p>
            <w:pPr>
              <w:spacing w:after="0"/>
              <w:rPr>
                <w:sz w:val="21"/>
                <w:szCs w:val="21"/>
                <w:color w:val="auto"/>
              </w:rPr>
            </w:pPr>
          </w:p>
        </w:tc>
        <w:tc>
          <w:tcPr>
            <w:tcW w:w="500" w:type="dxa"/>
            <w:vAlign w:val="bottom"/>
            <w:tcBorders>
              <w:bottom w:val="single" w:sz="8" w:color="939598"/>
            </w:tcBorders>
          </w:tcPr>
          <w:p>
            <w:pPr>
              <w:spacing w:after="0"/>
              <w:rPr>
                <w:sz w:val="21"/>
                <w:szCs w:val="21"/>
                <w:color w:val="auto"/>
              </w:rPr>
            </w:pPr>
          </w:p>
        </w:tc>
        <w:tc>
          <w:tcPr>
            <w:tcW w:w="0" w:type="dxa"/>
            <w:vAlign w:val="bottom"/>
          </w:tcPr>
          <w:p>
            <w:pPr>
              <w:spacing w:after="0"/>
              <w:rPr>
                <w:sz w:val="1"/>
                <w:szCs w:val="1"/>
                <w:color w:val="auto"/>
              </w:rPr>
            </w:pPr>
          </w:p>
        </w:tc>
      </w:tr>
      <w:tr>
        <w:trPr>
          <w:trHeight w:val="458"/>
        </w:trPr>
        <w:tc>
          <w:tcPr>
            <w:tcW w:w="5060" w:type="dxa"/>
            <w:vAlign w:val="bottom"/>
          </w:tcPr>
          <w:p>
            <w:pPr>
              <w:ind w:left="760"/>
              <w:spacing w:after="0"/>
              <w:rPr>
                <w:sz w:val="20"/>
                <w:szCs w:val="20"/>
                <w:color w:val="auto"/>
              </w:rPr>
            </w:pPr>
            <w:r>
              <w:rPr>
                <w:rFonts w:ascii="Arial" w:cs="Arial" w:eastAsia="Arial" w:hAnsi="Arial"/>
                <w:sz w:val="16"/>
                <w:szCs w:val="16"/>
                <w:b w:val="1"/>
                <w:bCs w:val="1"/>
                <w:color w:val="auto"/>
              </w:rPr>
              <w:t>Corporate Governance, Public Company Board</w:t>
            </w:r>
          </w:p>
        </w:tc>
        <w:tc>
          <w:tcPr>
            <w:tcW w:w="840" w:type="dxa"/>
            <w:vAlign w:val="bottom"/>
          </w:tcPr>
          <w:p>
            <w:pPr>
              <w:ind w:left="480"/>
              <w:spacing w:after="0"/>
              <w:rPr>
                <w:sz w:val="20"/>
                <w:szCs w:val="20"/>
                <w:color w:val="auto"/>
              </w:rPr>
            </w:pPr>
            <w:r>
              <w:rPr>
                <w:rFonts w:ascii="Wingdings" w:cs="Wingdings" w:eastAsia="Wingdings" w:hAnsi="Wingdings"/>
                <w:sz w:val="16"/>
                <w:szCs w:val="16"/>
                <w:b w:val="1"/>
                <w:bCs w:val="1"/>
                <w:color w:val="0067B3"/>
              </w:rPr>
              <w:t>l</w:t>
            </w:r>
          </w:p>
        </w:tc>
        <w:tc>
          <w:tcPr>
            <w:tcW w:w="580" w:type="dxa"/>
            <w:vAlign w:val="bottom"/>
          </w:tcPr>
          <w:p>
            <w:pPr>
              <w:ind w:left="240"/>
              <w:spacing w:after="0"/>
              <w:rPr>
                <w:sz w:val="20"/>
                <w:szCs w:val="20"/>
                <w:color w:val="auto"/>
              </w:rPr>
            </w:pPr>
            <w:r>
              <w:rPr>
                <w:rFonts w:ascii="Wingdings" w:cs="Wingdings" w:eastAsia="Wingdings" w:hAnsi="Wingdings"/>
                <w:sz w:val="16"/>
                <w:szCs w:val="16"/>
                <w:b w:val="1"/>
                <w:bCs w:val="1"/>
                <w:color w:val="0067B3"/>
              </w:rPr>
              <w:t>l</w:t>
            </w:r>
          </w:p>
        </w:tc>
        <w:tc>
          <w:tcPr>
            <w:tcW w:w="600" w:type="dxa"/>
            <w:vAlign w:val="bottom"/>
          </w:tcPr>
          <w:p>
            <w:pPr>
              <w:ind w:left="240"/>
              <w:spacing w:after="0"/>
              <w:rPr>
                <w:sz w:val="20"/>
                <w:szCs w:val="20"/>
                <w:color w:val="auto"/>
              </w:rPr>
            </w:pPr>
            <w:r>
              <w:rPr>
                <w:rFonts w:ascii="Wingdings" w:cs="Wingdings" w:eastAsia="Wingdings" w:hAnsi="Wingdings"/>
                <w:sz w:val="16"/>
                <w:szCs w:val="16"/>
                <w:b w:val="1"/>
                <w:bCs w:val="1"/>
                <w:color w:val="0067B3"/>
              </w:rPr>
              <w:t>l</w:t>
            </w:r>
          </w:p>
        </w:tc>
        <w:tc>
          <w:tcPr>
            <w:tcW w:w="600" w:type="dxa"/>
            <w:vAlign w:val="bottom"/>
          </w:tcPr>
          <w:p>
            <w:pPr>
              <w:ind w:left="240"/>
              <w:spacing w:after="0"/>
              <w:rPr>
                <w:sz w:val="20"/>
                <w:szCs w:val="20"/>
                <w:color w:val="auto"/>
              </w:rPr>
            </w:pPr>
            <w:r>
              <w:rPr>
                <w:rFonts w:ascii="Wingdings" w:cs="Wingdings" w:eastAsia="Wingdings" w:hAnsi="Wingdings"/>
                <w:sz w:val="16"/>
                <w:szCs w:val="16"/>
                <w:b w:val="1"/>
                <w:bCs w:val="1"/>
                <w:color w:val="0067B3"/>
              </w:rPr>
              <w:t>l</w:t>
            </w:r>
          </w:p>
        </w:tc>
        <w:tc>
          <w:tcPr>
            <w:tcW w:w="580" w:type="dxa"/>
            <w:vAlign w:val="bottom"/>
          </w:tcPr>
          <w:p>
            <w:pPr>
              <w:ind w:left="240"/>
              <w:spacing w:after="0"/>
              <w:rPr>
                <w:sz w:val="20"/>
                <w:szCs w:val="20"/>
                <w:color w:val="auto"/>
              </w:rPr>
            </w:pPr>
            <w:r>
              <w:rPr>
                <w:rFonts w:ascii="Wingdings" w:cs="Wingdings" w:eastAsia="Wingdings" w:hAnsi="Wingdings"/>
                <w:sz w:val="16"/>
                <w:szCs w:val="16"/>
                <w:b w:val="1"/>
                <w:bCs w:val="1"/>
                <w:color w:val="0067B3"/>
              </w:rPr>
              <w:t>l</w:t>
            </w:r>
          </w:p>
        </w:tc>
        <w:tc>
          <w:tcPr>
            <w:tcW w:w="540" w:type="dxa"/>
            <w:vAlign w:val="bottom"/>
          </w:tcPr>
          <w:p>
            <w:pPr>
              <w:ind w:left="240"/>
              <w:spacing w:after="0"/>
              <w:rPr>
                <w:sz w:val="20"/>
                <w:szCs w:val="20"/>
                <w:color w:val="auto"/>
              </w:rPr>
            </w:pPr>
            <w:r>
              <w:rPr>
                <w:rFonts w:ascii="Wingdings" w:cs="Wingdings" w:eastAsia="Wingdings" w:hAnsi="Wingdings"/>
                <w:sz w:val="16"/>
                <w:szCs w:val="16"/>
                <w:b w:val="1"/>
                <w:bCs w:val="1"/>
                <w:color w:val="0067B3"/>
              </w:rPr>
              <w:t>l</w:t>
            </w:r>
          </w:p>
        </w:tc>
        <w:tc>
          <w:tcPr>
            <w:tcW w:w="660" w:type="dxa"/>
            <w:vAlign w:val="bottom"/>
          </w:tcPr>
          <w:p>
            <w:pPr>
              <w:ind w:left="300"/>
              <w:spacing w:after="0"/>
              <w:rPr>
                <w:sz w:val="20"/>
                <w:szCs w:val="20"/>
                <w:color w:val="auto"/>
              </w:rPr>
            </w:pPr>
            <w:r>
              <w:rPr>
                <w:rFonts w:ascii="Wingdings" w:cs="Wingdings" w:eastAsia="Wingdings" w:hAnsi="Wingdings"/>
                <w:sz w:val="16"/>
                <w:szCs w:val="16"/>
                <w:b w:val="1"/>
                <w:bCs w:val="1"/>
                <w:color w:val="0067B3"/>
              </w:rPr>
              <w:t>l</w:t>
            </w:r>
          </w:p>
        </w:tc>
        <w:tc>
          <w:tcPr>
            <w:tcW w:w="6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00" w:type="dxa"/>
            <w:vAlign w:val="bottom"/>
          </w:tcPr>
          <w:p>
            <w:pPr>
              <w:ind w:left="140"/>
              <w:spacing w:after="0"/>
              <w:rPr>
                <w:sz w:val="20"/>
                <w:szCs w:val="20"/>
                <w:color w:val="auto"/>
              </w:rPr>
            </w:pPr>
            <w:r>
              <w:rPr>
                <w:rFonts w:ascii="Wingdings" w:cs="Wingdings" w:eastAsia="Wingdings" w:hAnsi="Wingdings"/>
                <w:sz w:val="16"/>
                <w:szCs w:val="16"/>
                <w:b w:val="1"/>
                <w:bCs w:val="1"/>
                <w:color w:val="0067B3"/>
              </w:rPr>
              <w:t>l</w:t>
            </w:r>
          </w:p>
        </w:tc>
        <w:tc>
          <w:tcPr>
            <w:tcW w:w="0" w:type="dxa"/>
            <w:vAlign w:val="bottom"/>
          </w:tcPr>
          <w:p>
            <w:pPr>
              <w:spacing w:after="0"/>
              <w:rPr>
                <w:sz w:val="1"/>
                <w:szCs w:val="1"/>
                <w:color w:val="auto"/>
              </w:rPr>
            </w:pPr>
          </w:p>
        </w:tc>
      </w:tr>
      <w:tr>
        <w:trPr>
          <w:trHeight w:val="250"/>
        </w:trPr>
        <w:tc>
          <w:tcPr>
            <w:tcW w:w="5060" w:type="dxa"/>
            <w:vAlign w:val="bottom"/>
            <w:tcBorders>
              <w:bottom w:val="single" w:sz="8" w:color="939598"/>
            </w:tcBorders>
          </w:tcPr>
          <w:p>
            <w:pPr>
              <w:spacing w:after="0"/>
              <w:rPr>
                <w:sz w:val="21"/>
                <w:szCs w:val="21"/>
                <w:color w:val="auto"/>
              </w:rPr>
            </w:pPr>
          </w:p>
        </w:tc>
        <w:tc>
          <w:tcPr>
            <w:tcW w:w="840" w:type="dxa"/>
            <w:vAlign w:val="bottom"/>
            <w:tcBorders>
              <w:bottom w:val="single" w:sz="8" w:color="939598"/>
            </w:tcBorders>
          </w:tcPr>
          <w:p>
            <w:pPr>
              <w:spacing w:after="0"/>
              <w:rPr>
                <w:sz w:val="21"/>
                <w:szCs w:val="21"/>
                <w:color w:val="auto"/>
              </w:rPr>
            </w:pPr>
          </w:p>
        </w:tc>
        <w:tc>
          <w:tcPr>
            <w:tcW w:w="580" w:type="dxa"/>
            <w:vAlign w:val="bottom"/>
            <w:tcBorders>
              <w:bottom w:val="single" w:sz="8" w:color="939598"/>
            </w:tcBorders>
          </w:tcPr>
          <w:p>
            <w:pPr>
              <w:spacing w:after="0"/>
              <w:rPr>
                <w:sz w:val="21"/>
                <w:szCs w:val="21"/>
                <w:color w:val="auto"/>
              </w:rPr>
            </w:pPr>
          </w:p>
        </w:tc>
        <w:tc>
          <w:tcPr>
            <w:tcW w:w="600" w:type="dxa"/>
            <w:vAlign w:val="bottom"/>
            <w:tcBorders>
              <w:bottom w:val="single" w:sz="8" w:color="939598"/>
            </w:tcBorders>
          </w:tcPr>
          <w:p>
            <w:pPr>
              <w:spacing w:after="0"/>
              <w:rPr>
                <w:sz w:val="21"/>
                <w:szCs w:val="21"/>
                <w:color w:val="auto"/>
              </w:rPr>
            </w:pPr>
          </w:p>
        </w:tc>
        <w:tc>
          <w:tcPr>
            <w:tcW w:w="600" w:type="dxa"/>
            <w:vAlign w:val="bottom"/>
            <w:tcBorders>
              <w:bottom w:val="single" w:sz="8" w:color="939598"/>
            </w:tcBorders>
          </w:tcPr>
          <w:p>
            <w:pPr>
              <w:spacing w:after="0"/>
              <w:rPr>
                <w:sz w:val="21"/>
                <w:szCs w:val="21"/>
                <w:color w:val="auto"/>
              </w:rPr>
            </w:pPr>
          </w:p>
        </w:tc>
        <w:tc>
          <w:tcPr>
            <w:tcW w:w="580" w:type="dxa"/>
            <w:vAlign w:val="bottom"/>
            <w:tcBorders>
              <w:bottom w:val="single" w:sz="8" w:color="939598"/>
            </w:tcBorders>
          </w:tcPr>
          <w:p>
            <w:pPr>
              <w:spacing w:after="0"/>
              <w:rPr>
                <w:sz w:val="21"/>
                <w:szCs w:val="21"/>
                <w:color w:val="auto"/>
              </w:rPr>
            </w:pPr>
          </w:p>
        </w:tc>
        <w:tc>
          <w:tcPr>
            <w:tcW w:w="540" w:type="dxa"/>
            <w:vAlign w:val="bottom"/>
            <w:tcBorders>
              <w:bottom w:val="single" w:sz="8" w:color="939598"/>
            </w:tcBorders>
          </w:tcPr>
          <w:p>
            <w:pPr>
              <w:spacing w:after="0"/>
              <w:rPr>
                <w:sz w:val="21"/>
                <w:szCs w:val="21"/>
                <w:color w:val="auto"/>
              </w:rPr>
            </w:pPr>
          </w:p>
        </w:tc>
        <w:tc>
          <w:tcPr>
            <w:tcW w:w="660" w:type="dxa"/>
            <w:vAlign w:val="bottom"/>
            <w:tcBorders>
              <w:bottom w:val="single" w:sz="8" w:color="939598"/>
            </w:tcBorders>
          </w:tcPr>
          <w:p>
            <w:pPr>
              <w:spacing w:after="0"/>
              <w:rPr>
                <w:sz w:val="21"/>
                <w:szCs w:val="21"/>
                <w:color w:val="auto"/>
              </w:rPr>
            </w:pPr>
          </w:p>
        </w:tc>
        <w:tc>
          <w:tcPr>
            <w:tcW w:w="600" w:type="dxa"/>
            <w:vAlign w:val="bottom"/>
            <w:tcBorders>
              <w:bottom w:val="single" w:sz="8" w:color="939598"/>
            </w:tcBorders>
          </w:tcPr>
          <w:p>
            <w:pPr>
              <w:spacing w:after="0"/>
              <w:rPr>
                <w:sz w:val="21"/>
                <w:szCs w:val="21"/>
                <w:color w:val="auto"/>
              </w:rPr>
            </w:pPr>
          </w:p>
        </w:tc>
        <w:tc>
          <w:tcPr>
            <w:tcW w:w="680" w:type="dxa"/>
            <w:vAlign w:val="bottom"/>
            <w:tcBorders>
              <w:bottom w:val="single" w:sz="8" w:color="939598"/>
            </w:tcBorders>
          </w:tcPr>
          <w:p>
            <w:pPr>
              <w:spacing w:after="0"/>
              <w:rPr>
                <w:sz w:val="21"/>
                <w:szCs w:val="21"/>
                <w:color w:val="auto"/>
              </w:rPr>
            </w:pPr>
          </w:p>
        </w:tc>
        <w:tc>
          <w:tcPr>
            <w:tcW w:w="500" w:type="dxa"/>
            <w:vAlign w:val="bottom"/>
            <w:tcBorders>
              <w:bottom w:val="single" w:sz="8" w:color="939598"/>
            </w:tcBorders>
          </w:tcPr>
          <w:p>
            <w:pPr>
              <w:spacing w:after="0"/>
              <w:rPr>
                <w:sz w:val="21"/>
                <w:szCs w:val="21"/>
                <w:color w:val="auto"/>
              </w:rPr>
            </w:pPr>
          </w:p>
        </w:tc>
        <w:tc>
          <w:tcPr>
            <w:tcW w:w="0" w:type="dxa"/>
            <w:vAlign w:val="bottom"/>
          </w:tcPr>
          <w:p>
            <w:pPr>
              <w:spacing w:after="0"/>
              <w:rPr>
                <w:sz w:val="1"/>
                <w:szCs w:val="1"/>
                <w:color w:val="auto"/>
              </w:rPr>
            </w:pPr>
          </w:p>
        </w:tc>
      </w:tr>
      <w:tr>
        <w:trPr>
          <w:trHeight w:val="458"/>
        </w:trPr>
        <w:tc>
          <w:tcPr>
            <w:tcW w:w="5060" w:type="dxa"/>
            <w:vAlign w:val="bottom"/>
          </w:tcPr>
          <w:p>
            <w:pPr>
              <w:ind w:left="760"/>
              <w:spacing w:after="0"/>
              <w:rPr>
                <w:sz w:val="20"/>
                <w:szCs w:val="20"/>
                <w:color w:val="auto"/>
              </w:rPr>
            </w:pPr>
            <w:r>
              <w:rPr>
                <w:rFonts w:ascii="Arial" w:cs="Arial" w:eastAsia="Arial" w:hAnsi="Arial"/>
                <w:sz w:val="16"/>
                <w:szCs w:val="16"/>
                <w:b w:val="1"/>
                <w:bCs w:val="1"/>
                <w:color w:val="auto"/>
              </w:rPr>
              <w:t>Financial, Accounting, Auditing</w:t>
            </w:r>
          </w:p>
        </w:tc>
        <w:tc>
          <w:tcPr>
            <w:tcW w:w="8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80" w:type="dxa"/>
            <w:vAlign w:val="bottom"/>
          </w:tcPr>
          <w:p>
            <w:pPr>
              <w:ind w:left="240"/>
              <w:spacing w:after="0"/>
              <w:rPr>
                <w:sz w:val="20"/>
                <w:szCs w:val="20"/>
                <w:color w:val="auto"/>
              </w:rPr>
            </w:pPr>
            <w:r>
              <w:rPr>
                <w:rFonts w:ascii="Wingdings" w:cs="Wingdings" w:eastAsia="Wingdings" w:hAnsi="Wingdings"/>
                <w:sz w:val="16"/>
                <w:szCs w:val="16"/>
                <w:b w:val="1"/>
                <w:bCs w:val="1"/>
                <w:color w:val="0067B3"/>
              </w:rPr>
              <w:t>l</w:t>
            </w:r>
          </w:p>
        </w:tc>
        <w:tc>
          <w:tcPr>
            <w:tcW w:w="540" w:type="dxa"/>
            <w:vAlign w:val="bottom"/>
          </w:tcPr>
          <w:p>
            <w:pPr>
              <w:ind w:left="240"/>
              <w:spacing w:after="0"/>
              <w:rPr>
                <w:sz w:val="20"/>
                <w:szCs w:val="20"/>
                <w:color w:val="auto"/>
              </w:rPr>
            </w:pPr>
            <w:r>
              <w:rPr>
                <w:rFonts w:ascii="Wingdings" w:cs="Wingdings" w:eastAsia="Wingdings" w:hAnsi="Wingdings"/>
                <w:sz w:val="16"/>
                <w:szCs w:val="16"/>
                <w:b w:val="1"/>
                <w:bCs w:val="1"/>
                <w:color w:val="0067B3"/>
              </w:rPr>
              <w:t>l</w:t>
            </w:r>
          </w:p>
        </w:tc>
        <w:tc>
          <w:tcPr>
            <w:tcW w:w="660" w:type="dxa"/>
            <w:vAlign w:val="bottom"/>
          </w:tcPr>
          <w:p>
            <w:pPr>
              <w:ind w:left="300"/>
              <w:spacing w:after="0"/>
              <w:rPr>
                <w:sz w:val="20"/>
                <w:szCs w:val="20"/>
                <w:color w:val="auto"/>
              </w:rPr>
            </w:pPr>
            <w:r>
              <w:rPr>
                <w:rFonts w:ascii="Wingdings" w:cs="Wingdings" w:eastAsia="Wingdings" w:hAnsi="Wingdings"/>
                <w:sz w:val="16"/>
                <w:szCs w:val="16"/>
                <w:b w:val="1"/>
                <w:bCs w:val="1"/>
                <w:color w:val="0067B3"/>
              </w:rPr>
              <w:t>l</w:t>
            </w:r>
          </w:p>
        </w:tc>
        <w:tc>
          <w:tcPr>
            <w:tcW w:w="6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00" w:type="dxa"/>
            <w:vAlign w:val="bottom"/>
          </w:tcPr>
          <w:p>
            <w:pPr>
              <w:ind w:left="140"/>
              <w:spacing w:after="0"/>
              <w:rPr>
                <w:sz w:val="20"/>
                <w:szCs w:val="20"/>
                <w:color w:val="auto"/>
              </w:rPr>
            </w:pPr>
            <w:r>
              <w:rPr>
                <w:rFonts w:ascii="Wingdings" w:cs="Wingdings" w:eastAsia="Wingdings" w:hAnsi="Wingdings"/>
                <w:sz w:val="16"/>
                <w:szCs w:val="16"/>
                <w:b w:val="1"/>
                <w:bCs w:val="1"/>
                <w:color w:val="0067B3"/>
              </w:rPr>
              <w:t>l</w:t>
            </w:r>
          </w:p>
        </w:tc>
        <w:tc>
          <w:tcPr>
            <w:tcW w:w="0" w:type="dxa"/>
            <w:vAlign w:val="bottom"/>
          </w:tcPr>
          <w:p>
            <w:pPr>
              <w:spacing w:after="0"/>
              <w:rPr>
                <w:sz w:val="1"/>
                <w:szCs w:val="1"/>
                <w:color w:val="auto"/>
              </w:rPr>
            </w:pPr>
          </w:p>
        </w:tc>
      </w:tr>
      <w:tr>
        <w:trPr>
          <w:trHeight w:val="251"/>
        </w:trPr>
        <w:tc>
          <w:tcPr>
            <w:tcW w:w="5060" w:type="dxa"/>
            <w:vAlign w:val="bottom"/>
            <w:tcBorders>
              <w:bottom w:val="single" w:sz="8" w:color="939598"/>
            </w:tcBorders>
          </w:tcPr>
          <w:p>
            <w:pPr>
              <w:spacing w:after="0"/>
              <w:rPr>
                <w:sz w:val="21"/>
                <w:szCs w:val="21"/>
                <w:color w:val="auto"/>
              </w:rPr>
            </w:pPr>
          </w:p>
        </w:tc>
        <w:tc>
          <w:tcPr>
            <w:tcW w:w="840" w:type="dxa"/>
            <w:vAlign w:val="bottom"/>
            <w:tcBorders>
              <w:bottom w:val="single" w:sz="8" w:color="939598"/>
            </w:tcBorders>
          </w:tcPr>
          <w:p>
            <w:pPr>
              <w:spacing w:after="0"/>
              <w:rPr>
                <w:sz w:val="21"/>
                <w:szCs w:val="21"/>
                <w:color w:val="auto"/>
              </w:rPr>
            </w:pPr>
          </w:p>
        </w:tc>
        <w:tc>
          <w:tcPr>
            <w:tcW w:w="580" w:type="dxa"/>
            <w:vAlign w:val="bottom"/>
            <w:tcBorders>
              <w:bottom w:val="single" w:sz="8" w:color="939598"/>
            </w:tcBorders>
          </w:tcPr>
          <w:p>
            <w:pPr>
              <w:spacing w:after="0"/>
              <w:rPr>
                <w:sz w:val="21"/>
                <w:szCs w:val="21"/>
                <w:color w:val="auto"/>
              </w:rPr>
            </w:pPr>
          </w:p>
        </w:tc>
        <w:tc>
          <w:tcPr>
            <w:tcW w:w="600" w:type="dxa"/>
            <w:vAlign w:val="bottom"/>
            <w:tcBorders>
              <w:bottom w:val="single" w:sz="8" w:color="939598"/>
            </w:tcBorders>
          </w:tcPr>
          <w:p>
            <w:pPr>
              <w:spacing w:after="0"/>
              <w:rPr>
                <w:sz w:val="21"/>
                <w:szCs w:val="21"/>
                <w:color w:val="auto"/>
              </w:rPr>
            </w:pPr>
          </w:p>
        </w:tc>
        <w:tc>
          <w:tcPr>
            <w:tcW w:w="600" w:type="dxa"/>
            <w:vAlign w:val="bottom"/>
            <w:tcBorders>
              <w:bottom w:val="single" w:sz="8" w:color="939598"/>
            </w:tcBorders>
          </w:tcPr>
          <w:p>
            <w:pPr>
              <w:spacing w:after="0"/>
              <w:rPr>
                <w:sz w:val="21"/>
                <w:szCs w:val="21"/>
                <w:color w:val="auto"/>
              </w:rPr>
            </w:pPr>
          </w:p>
        </w:tc>
        <w:tc>
          <w:tcPr>
            <w:tcW w:w="580" w:type="dxa"/>
            <w:vAlign w:val="bottom"/>
            <w:tcBorders>
              <w:bottom w:val="single" w:sz="8" w:color="939598"/>
            </w:tcBorders>
          </w:tcPr>
          <w:p>
            <w:pPr>
              <w:spacing w:after="0"/>
              <w:rPr>
                <w:sz w:val="21"/>
                <w:szCs w:val="21"/>
                <w:color w:val="auto"/>
              </w:rPr>
            </w:pPr>
          </w:p>
        </w:tc>
        <w:tc>
          <w:tcPr>
            <w:tcW w:w="540" w:type="dxa"/>
            <w:vAlign w:val="bottom"/>
            <w:tcBorders>
              <w:bottom w:val="single" w:sz="8" w:color="939598"/>
            </w:tcBorders>
          </w:tcPr>
          <w:p>
            <w:pPr>
              <w:spacing w:after="0"/>
              <w:rPr>
                <w:sz w:val="21"/>
                <w:szCs w:val="21"/>
                <w:color w:val="auto"/>
              </w:rPr>
            </w:pPr>
          </w:p>
        </w:tc>
        <w:tc>
          <w:tcPr>
            <w:tcW w:w="660" w:type="dxa"/>
            <w:vAlign w:val="bottom"/>
            <w:tcBorders>
              <w:bottom w:val="single" w:sz="8" w:color="939598"/>
            </w:tcBorders>
          </w:tcPr>
          <w:p>
            <w:pPr>
              <w:spacing w:after="0"/>
              <w:rPr>
                <w:sz w:val="21"/>
                <w:szCs w:val="21"/>
                <w:color w:val="auto"/>
              </w:rPr>
            </w:pPr>
          </w:p>
        </w:tc>
        <w:tc>
          <w:tcPr>
            <w:tcW w:w="600" w:type="dxa"/>
            <w:vAlign w:val="bottom"/>
            <w:tcBorders>
              <w:bottom w:val="single" w:sz="8" w:color="939598"/>
            </w:tcBorders>
          </w:tcPr>
          <w:p>
            <w:pPr>
              <w:spacing w:after="0"/>
              <w:rPr>
                <w:sz w:val="21"/>
                <w:szCs w:val="21"/>
                <w:color w:val="auto"/>
              </w:rPr>
            </w:pPr>
          </w:p>
        </w:tc>
        <w:tc>
          <w:tcPr>
            <w:tcW w:w="680" w:type="dxa"/>
            <w:vAlign w:val="bottom"/>
            <w:tcBorders>
              <w:bottom w:val="single" w:sz="8" w:color="939598"/>
            </w:tcBorders>
          </w:tcPr>
          <w:p>
            <w:pPr>
              <w:spacing w:after="0"/>
              <w:rPr>
                <w:sz w:val="21"/>
                <w:szCs w:val="21"/>
                <w:color w:val="auto"/>
              </w:rPr>
            </w:pPr>
          </w:p>
        </w:tc>
        <w:tc>
          <w:tcPr>
            <w:tcW w:w="500" w:type="dxa"/>
            <w:vAlign w:val="bottom"/>
            <w:tcBorders>
              <w:bottom w:val="single" w:sz="8" w:color="939598"/>
            </w:tcBorders>
          </w:tcPr>
          <w:p>
            <w:pPr>
              <w:spacing w:after="0"/>
              <w:rPr>
                <w:sz w:val="21"/>
                <w:szCs w:val="21"/>
                <w:color w:val="auto"/>
              </w:rPr>
            </w:pPr>
          </w:p>
        </w:tc>
        <w:tc>
          <w:tcPr>
            <w:tcW w:w="0" w:type="dxa"/>
            <w:vAlign w:val="bottom"/>
          </w:tcPr>
          <w:p>
            <w:pPr>
              <w:spacing w:after="0"/>
              <w:rPr>
                <w:sz w:val="1"/>
                <w:szCs w:val="1"/>
                <w:color w:val="auto"/>
              </w:rPr>
            </w:pPr>
          </w:p>
        </w:tc>
      </w:tr>
      <w:tr>
        <w:trPr>
          <w:trHeight w:val="458"/>
        </w:trPr>
        <w:tc>
          <w:tcPr>
            <w:tcW w:w="5060" w:type="dxa"/>
            <w:vAlign w:val="bottom"/>
          </w:tcPr>
          <w:p>
            <w:pPr>
              <w:ind w:left="760"/>
              <w:spacing w:after="0"/>
              <w:rPr>
                <w:sz w:val="20"/>
                <w:szCs w:val="20"/>
                <w:color w:val="auto"/>
              </w:rPr>
            </w:pPr>
            <w:r>
              <w:rPr>
                <w:rFonts w:ascii="Arial" w:cs="Arial" w:eastAsia="Arial" w:hAnsi="Arial"/>
                <w:sz w:val="16"/>
                <w:szCs w:val="16"/>
                <w:b w:val="1"/>
                <w:bCs w:val="1"/>
                <w:color w:val="auto"/>
              </w:rPr>
              <w:t>International</w:t>
            </w:r>
          </w:p>
        </w:tc>
        <w:tc>
          <w:tcPr>
            <w:tcW w:w="840" w:type="dxa"/>
            <w:vAlign w:val="bottom"/>
          </w:tcPr>
          <w:p>
            <w:pPr>
              <w:ind w:left="480"/>
              <w:spacing w:after="0"/>
              <w:rPr>
                <w:sz w:val="20"/>
                <w:szCs w:val="20"/>
                <w:color w:val="auto"/>
              </w:rPr>
            </w:pPr>
            <w:r>
              <w:rPr>
                <w:rFonts w:ascii="Wingdings" w:cs="Wingdings" w:eastAsia="Wingdings" w:hAnsi="Wingdings"/>
                <w:sz w:val="16"/>
                <w:szCs w:val="16"/>
                <w:b w:val="1"/>
                <w:bCs w:val="1"/>
                <w:color w:val="0067B3"/>
              </w:rPr>
              <w:t>l</w:t>
            </w:r>
          </w:p>
        </w:tc>
        <w:tc>
          <w:tcPr>
            <w:tcW w:w="580" w:type="dxa"/>
            <w:vAlign w:val="bottom"/>
          </w:tcPr>
          <w:p>
            <w:pPr>
              <w:ind w:left="240"/>
              <w:spacing w:after="0"/>
              <w:rPr>
                <w:sz w:val="20"/>
                <w:szCs w:val="20"/>
                <w:color w:val="auto"/>
              </w:rPr>
            </w:pPr>
            <w:r>
              <w:rPr>
                <w:rFonts w:ascii="Wingdings" w:cs="Wingdings" w:eastAsia="Wingdings" w:hAnsi="Wingdings"/>
                <w:sz w:val="16"/>
                <w:szCs w:val="16"/>
                <w:b w:val="1"/>
                <w:bCs w:val="1"/>
                <w:color w:val="0067B3"/>
              </w:rPr>
              <w:t>l</w:t>
            </w:r>
          </w:p>
        </w:tc>
        <w:tc>
          <w:tcPr>
            <w:tcW w:w="600" w:type="dxa"/>
            <w:vAlign w:val="bottom"/>
          </w:tcPr>
          <w:p>
            <w:pPr>
              <w:ind w:left="240"/>
              <w:spacing w:after="0"/>
              <w:rPr>
                <w:sz w:val="20"/>
                <w:szCs w:val="20"/>
                <w:color w:val="auto"/>
              </w:rPr>
            </w:pPr>
            <w:r>
              <w:rPr>
                <w:rFonts w:ascii="Wingdings" w:cs="Wingdings" w:eastAsia="Wingdings" w:hAnsi="Wingdings"/>
                <w:sz w:val="16"/>
                <w:szCs w:val="16"/>
                <w:b w:val="1"/>
                <w:bCs w:val="1"/>
                <w:color w:val="0067B3"/>
              </w:rPr>
              <w:t>l</w:t>
            </w:r>
          </w:p>
        </w:tc>
        <w:tc>
          <w:tcPr>
            <w:tcW w:w="600" w:type="dxa"/>
            <w:vAlign w:val="bottom"/>
          </w:tcPr>
          <w:p>
            <w:pPr>
              <w:spacing w:after="0"/>
              <w:rPr>
                <w:sz w:val="24"/>
                <w:szCs w:val="24"/>
                <w:color w:val="auto"/>
              </w:rPr>
            </w:pPr>
          </w:p>
        </w:tc>
        <w:tc>
          <w:tcPr>
            <w:tcW w:w="580" w:type="dxa"/>
            <w:vAlign w:val="bottom"/>
          </w:tcPr>
          <w:p>
            <w:pPr>
              <w:ind w:left="240"/>
              <w:spacing w:after="0"/>
              <w:rPr>
                <w:sz w:val="20"/>
                <w:szCs w:val="20"/>
                <w:color w:val="auto"/>
              </w:rPr>
            </w:pPr>
            <w:r>
              <w:rPr>
                <w:rFonts w:ascii="Wingdings" w:cs="Wingdings" w:eastAsia="Wingdings" w:hAnsi="Wingdings"/>
                <w:sz w:val="16"/>
                <w:szCs w:val="16"/>
                <w:b w:val="1"/>
                <w:bCs w:val="1"/>
                <w:color w:val="0067B3"/>
              </w:rPr>
              <w:t>l</w:t>
            </w:r>
          </w:p>
        </w:tc>
        <w:tc>
          <w:tcPr>
            <w:tcW w:w="540" w:type="dxa"/>
            <w:vAlign w:val="bottom"/>
          </w:tcPr>
          <w:p>
            <w:pPr>
              <w:ind w:left="240"/>
              <w:spacing w:after="0"/>
              <w:rPr>
                <w:sz w:val="20"/>
                <w:szCs w:val="20"/>
                <w:color w:val="auto"/>
              </w:rPr>
            </w:pPr>
            <w:r>
              <w:rPr>
                <w:rFonts w:ascii="Wingdings" w:cs="Wingdings" w:eastAsia="Wingdings" w:hAnsi="Wingdings"/>
                <w:sz w:val="16"/>
                <w:szCs w:val="16"/>
                <w:b w:val="1"/>
                <w:bCs w:val="1"/>
                <w:color w:val="0067B3"/>
              </w:rPr>
              <w:t>l</w:t>
            </w:r>
          </w:p>
        </w:tc>
        <w:tc>
          <w:tcPr>
            <w:tcW w:w="660" w:type="dxa"/>
            <w:vAlign w:val="bottom"/>
          </w:tcPr>
          <w:p>
            <w:pPr>
              <w:ind w:left="300"/>
              <w:spacing w:after="0"/>
              <w:rPr>
                <w:sz w:val="20"/>
                <w:szCs w:val="20"/>
                <w:color w:val="auto"/>
              </w:rPr>
            </w:pPr>
            <w:r>
              <w:rPr>
                <w:rFonts w:ascii="Wingdings" w:cs="Wingdings" w:eastAsia="Wingdings" w:hAnsi="Wingdings"/>
                <w:sz w:val="16"/>
                <w:szCs w:val="16"/>
                <w:b w:val="1"/>
                <w:bCs w:val="1"/>
                <w:color w:val="0067B3"/>
              </w:rPr>
              <w:t>l</w:t>
            </w:r>
          </w:p>
        </w:tc>
        <w:tc>
          <w:tcPr>
            <w:tcW w:w="600" w:type="dxa"/>
            <w:vAlign w:val="bottom"/>
          </w:tcPr>
          <w:p>
            <w:pPr>
              <w:ind w:left="240"/>
              <w:spacing w:after="0"/>
              <w:rPr>
                <w:sz w:val="20"/>
                <w:szCs w:val="20"/>
                <w:color w:val="auto"/>
              </w:rPr>
            </w:pPr>
            <w:r>
              <w:rPr>
                <w:rFonts w:ascii="Wingdings" w:cs="Wingdings" w:eastAsia="Wingdings" w:hAnsi="Wingdings"/>
                <w:sz w:val="16"/>
                <w:szCs w:val="16"/>
                <w:b w:val="1"/>
                <w:bCs w:val="1"/>
                <w:color w:val="0067B3"/>
              </w:rPr>
              <w:t>l</w:t>
            </w:r>
          </w:p>
        </w:tc>
        <w:tc>
          <w:tcPr>
            <w:tcW w:w="680" w:type="dxa"/>
            <w:vAlign w:val="bottom"/>
          </w:tcPr>
          <w:p>
            <w:pPr>
              <w:ind w:left="220"/>
              <w:spacing w:after="0"/>
              <w:rPr>
                <w:sz w:val="20"/>
                <w:szCs w:val="20"/>
                <w:color w:val="auto"/>
              </w:rPr>
            </w:pPr>
            <w:r>
              <w:rPr>
                <w:rFonts w:ascii="Wingdings" w:cs="Wingdings" w:eastAsia="Wingdings" w:hAnsi="Wingdings"/>
                <w:sz w:val="16"/>
                <w:szCs w:val="16"/>
                <w:b w:val="1"/>
                <w:bCs w:val="1"/>
                <w:color w:val="0067B3"/>
              </w:rPr>
              <w:t>l</w:t>
            </w:r>
          </w:p>
        </w:tc>
        <w:tc>
          <w:tcPr>
            <w:tcW w:w="500" w:type="dxa"/>
            <w:vAlign w:val="bottom"/>
          </w:tcPr>
          <w:p>
            <w:pPr>
              <w:ind w:left="140"/>
              <w:spacing w:after="0"/>
              <w:rPr>
                <w:sz w:val="20"/>
                <w:szCs w:val="20"/>
                <w:color w:val="auto"/>
              </w:rPr>
            </w:pPr>
            <w:r>
              <w:rPr>
                <w:rFonts w:ascii="Wingdings" w:cs="Wingdings" w:eastAsia="Wingdings" w:hAnsi="Wingdings"/>
                <w:sz w:val="16"/>
                <w:szCs w:val="16"/>
                <w:b w:val="1"/>
                <w:bCs w:val="1"/>
                <w:color w:val="0067B3"/>
              </w:rPr>
              <w:t>l</w:t>
            </w:r>
          </w:p>
        </w:tc>
        <w:tc>
          <w:tcPr>
            <w:tcW w:w="0" w:type="dxa"/>
            <w:vAlign w:val="bottom"/>
          </w:tcPr>
          <w:p>
            <w:pPr>
              <w:spacing w:after="0"/>
              <w:rPr>
                <w:sz w:val="1"/>
                <w:szCs w:val="1"/>
                <w:color w:val="auto"/>
              </w:rPr>
            </w:pPr>
          </w:p>
        </w:tc>
      </w:tr>
      <w:tr>
        <w:trPr>
          <w:trHeight w:val="237"/>
        </w:trPr>
        <w:tc>
          <w:tcPr>
            <w:tcW w:w="5060" w:type="dxa"/>
            <w:vAlign w:val="bottom"/>
            <w:tcBorders>
              <w:bottom w:val="single" w:sz="8" w:color="939598"/>
            </w:tcBorders>
          </w:tcPr>
          <w:p>
            <w:pPr>
              <w:spacing w:after="0"/>
              <w:rPr>
                <w:sz w:val="20"/>
                <w:szCs w:val="20"/>
                <w:color w:val="auto"/>
              </w:rPr>
            </w:pPr>
          </w:p>
        </w:tc>
        <w:tc>
          <w:tcPr>
            <w:tcW w:w="840" w:type="dxa"/>
            <w:vAlign w:val="bottom"/>
            <w:tcBorders>
              <w:bottom w:val="single" w:sz="8" w:color="939598"/>
            </w:tcBorders>
          </w:tcPr>
          <w:p>
            <w:pPr>
              <w:spacing w:after="0"/>
              <w:rPr>
                <w:sz w:val="20"/>
                <w:szCs w:val="20"/>
                <w:color w:val="auto"/>
              </w:rPr>
            </w:pPr>
          </w:p>
        </w:tc>
        <w:tc>
          <w:tcPr>
            <w:tcW w:w="580" w:type="dxa"/>
            <w:vAlign w:val="bottom"/>
            <w:tcBorders>
              <w:bottom w:val="single" w:sz="8" w:color="939598"/>
            </w:tcBorders>
          </w:tcPr>
          <w:p>
            <w:pPr>
              <w:spacing w:after="0"/>
              <w:rPr>
                <w:sz w:val="20"/>
                <w:szCs w:val="20"/>
                <w:color w:val="auto"/>
              </w:rPr>
            </w:pPr>
          </w:p>
        </w:tc>
        <w:tc>
          <w:tcPr>
            <w:tcW w:w="600" w:type="dxa"/>
            <w:vAlign w:val="bottom"/>
            <w:tcBorders>
              <w:bottom w:val="single" w:sz="8" w:color="939598"/>
            </w:tcBorders>
          </w:tcPr>
          <w:p>
            <w:pPr>
              <w:spacing w:after="0"/>
              <w:rPr>
                <w:sz w:val="20"/>
                <w:szCs w:val="20"/>
                <w:color w:val="auto"/>
              </w:rPr>
            </w:pPr>
          </w:p>
        </w:tc>
        <w:tc>
          <w:tcPr>
            <w:tcW w:w="600" w:type="dxa"/>
            <w:vAlign w:val="bottom"/>
            <w:tcBorders>
              <w:bottom w:val="single" w:sz="8" w:color="939598"/>
            </w:tcBorders>
          </w:tcPr>
          <w:p>
            <w:pPr>
              <w:spacing w:after="0"/>
              <w:rPr>
                <w:sz w:val="20"/>
                <w:szCs w:val="20"/>
                <w:color w:val="auto"/>
              </w:rPr>
            </w:pPr>
          </w:p>
        </w:tc>
        <w:tc>
          <w:tcPr>
            <w:tcW w:w="580" w:type="dxa"/>
            <w:vAlign w:val="bottom"/>
            <w:tcBorders>
              <w:bottom w:val="single" w:sz="8" w:color="939598"/>
            </w:tcBorders>
          </w:tcPr>
          <w:p>
            <w:pPr>
              <w:spacing w:after="0"/>
              <w:rPr>
                <w:sz w:val="20"/>
                <w:szCs w:val="20"/>
                <w:color w:val="auto"/>
              </w:rPr>
            </w:pPr>
          </w:p>
        </w:tc>
        <w:tc>
          <w:tcPr>
            <w:tcW w:w="540" w:type="dxa"/>
            <w:vAlign w:val="bottom"/>
            <w:tcBorders>
              <w:bottom w:val="single" w:sz="8" w:color="939598"/>
            </w:tcBorders>
          </w:tcPr>
          <w:p>
            <w:pPr>
              <w:spacing w:after="0"/>
              <w:rPr>
                <w:sz w:val="20"/>
                <w:szCs w:val="20"/>
                <w:color w:val="auto"/>
              </w:rPr>
            </w:pPr>
          </w:p>
        </w:tc>
        <w:tc>
          <w:tcPr>
            <w:tcW w:w="660" w:type="dxa"/>
            <w:vAlign w:val="bottom"/>
            <w:tcBorders>
              <w:bottom w:val="single" w:sz="8" w:color="939598"/>
            </w:tcBorders>
          </w:tcPr>
          <w:p>
            <w:pPr>
              <w:spacing w:after="0"/>
              <w:rPr>
                <w:sz w:val="20"/>
                <w:szCs w:val="20"/>
                <w:color w:val="auto"/>
              </w:rPr>
            </w:pPr>
          </w:p>
        </w:tc>
        <w:tc>
          <w:tcPr>
            <w:tcW w:w="600" w:type="dxa"/>
            <w:vAlign w:val="bottom"/>
            <w:tcBorders>
              <w:bottom w:val="single" w:sz="8" w:color="939598"/>
            </w:tcBorders>
          </w:tcPr>
          <w:p>
            <w:pPr>
              <w:spacing w:after="0"/>
              <w:rPr>
                <w:sz w:val="20"/>
                <w:szCs w:val="20"/>
                <w:color w:val="auto"/>
              </w:rPr>
            </w:pPr>
          </w:p>
        </w:tc>
        <w:tc>
          <w:tcPr>
            <w:tcW w:w="680" w:type="dxa"/>
            <w:vAlign w:val="bottom"/>
            <w:tcBorders>
              <w:bottom w:val="single" w:sz="8" w:color="939598"/>
            </w:tcBorders>
          </w:tcPr>
          <w:p>
            <w:pPr>
              <w:spacing w:after="0"/>
              <w:rPr>
                <w:sz w:val="20"/>
                <w:szCs w:val="20"/>
                <w:color w:val="auto"/>
              </w:rPr>
            </w:pPr>
          </w:p>
        </w:tc>
        <w:tc>
          <w:tcPr>
            <w:tcW w:w="500" w:type="dxa"/>
            <w:vAlign w:val="bottom"/>
            <w:tcBorders>
              <w:bottom w:val="single" w:sz="8" w:color="939598"/>
            </w:tcBorders>
          </w:tcPr>
          <w:p>
            <w:pPr>
              <w:spacing w:after="0"/>
              <w:rPr>
                <w:sz w:val="20"/>
                <w:szCs w:val="20"/>
                <w:color w:val="auto"/>
              </w:rPr>
            </w:pPr>
          </w:p>
        </w:tc>
        <w:tc>
          <w:tcPr>
            <w:tcW w:w="0" w:type="dxa"/>
            <w:vAlign w:val="bottom"/>
          </w:tcPr>
          <w:p>
            <w:pPr>
              <w:spacing w:after="0"/>
              <w:rPr>
                <w:sz w:val="1"/>
                <w:szCs w:val="1"/>
                <w:color w:val="auto"/>
              </w:rPr>
            </w:pPr>
          </w:p>
        </w:tc>
      </w:tr>
      <w:tr>
        <w:trPr>
          <w:trHeight w:val="485"/>
        </w:trPr>
        <w:tc>
          <w:tcPr>
            <w:tcW w:w="5060" w:type="dxa"/>
            <w:vAlign w:val="bottom"/>
          </w:tcPr>
          <w:p>
            <w:pPr>
              <w:ind w:left="760"/>
              <w:spacing w:after="0"/>
              <w:rPr>
                <w:sz w:val="20"/>
                <w:szCs w:val="20"/>
                <w:color w:val="auto"/>
              </w:rPr>
            </w:pPr>
            <w:r>
              <w:rPr>
                <w:rFonts w:ascii="Arial" w:cs="Arial" w:eastAsia="Arial" w:hAnsi="Arial"/>
                <w:sz w:val="16"/>
                <w:szCs w:val="16"/>
                <w:b w:val="1"/>
                <w:bCs w:val="1"/>
                <w:color w:val="auto"/>
              </w:rPr>
              <w:t>Large Scale Operations, Manufacturing</w:t>
            </w:r>
          </w:p>
        </w:tc>
        <w:tc>
          <w:tcPr>
            <w:tcW w:w="840" w:type="dxa"/>
            <w:vAlign w:val="bottom"/>
          </w:tcPr>
          <w:p>
            <w:pPr>
              <w:ind w:left="480"/>
              <w:spacing w:after="0"/>
              <w:rPr>
                <w:sz w:val="20"/>
                <w:szCs w:val="20"/>
                <w:color w:val="auto"/>
              </w:rPr>
            </w:pPr>
            <w:r>
              <w:rPr>
                <w:rFonts w:ascii="Wingdings" w:cs="Wingdings" w:eastAsia="Wingdings" w:hAnsi="Wingdings"/>
                <w:sz w:val="16"/>
                <w:szCs w:val="16"/>
                <w:b w:val="1"/>
                <w:bCs w:val="1"/>
                <w:color w:val="0067B3"/>
              </w:rPr>
              <w:t>l</w:t>
            </w:r>
          </w:p>
        </w:tc>
        <w:tc>
          <w:tcPr>
            <w:tcW w:w="580" w:type="dxa"/>
            <w:vAlign w:val="bottom"/>
          </w:tcPr>
          <w:p>
            <w:pPr>
              <w:spacing w:after="0"/>
              <w:rPr>
                <w:sz w:val="24"/>
                <w:szCs w:val="24"/>
                <w:color w:val="auto"/>
              </w:rPr>
            </w:pPr>
          </w:p>
        </w:tc>
        <w:tc>
          <w:tcPr>
            <w:tcW w:w="600" w:type="dxa"/>
            <w:vAlign w:val="bottom"/>
          </w:tcPr>
          <w:p>
            <w:pPr>
              <w:ind w:left="240"/>
              <w:spacing w:after="0"/>
              <w:rPr>
                <w:sz w:val="20"/>
                <w:szCs w:val="20"/>
                <w:color w:val="auto"/>
              </w:rPr>
            </w:pPr>
            <w:r>
              <w:rPr>
                <w:rFonts w:ascii="Wingdings" w:cs="Wingdings" w:eastAsia="Wingdings" w:hAnsi="Wingdings"/>
                <w:sz w:val="16"/>
                <w:szCs w:val="16"/>
                <w:b w:val="1"/>
                <w:bCs w:val="1"/>
                <w:color w:val="0067B3"/>
              </w:rPr>
              <w:t>l</w:t>
            </w:r>
          </w:p>
        </w:tc>
        <w:tc>
          <w:tcPr>
            <w:tcW w:w="600" w:type="dxa"/>
            <w:vAlign w:val="bottom"/>
          </w:tcPr>
          <w:p>
            <w:pPr>
              <w:spacing w:after="0"/>
              <w:rPr>
                <w:sz w:val="24"/>
                <w:szCs w:val="24"/>
                <w:color w:val="auto"/>
              </w:rPr>
            </w:pPr>
          </w:p>
        </w:tc>
        <w:tc>
          <w:tcPr>
            <w:tcW w:w="580" w:type="dxa"/>
            <w:vAlign w:val="bottom"/>
          </w:tcPr>
          <w:p>
            <w:pPr>
              <w:ind w:left="240"/>
              <w:spacing w:after="0"/>
              <w:rPr>
                <w:sz w:val="20"/>
                <w:szCs w:val="20"/>
                <w:color w:val="auto"/>
              </w:rPr>
            </w:pPr>
            <w:r>
              <w:rPr>
                <w:rFonts w:ascii="Wingdings" w:cs="Wingdings" w:eastAsia="Wingdings" w:hAnsi="Wingdings"/>
                <w:sz w:val="16"/>
                <w:szCs w:val="16"/>
                <w:b w:val="1"/>
                <w:bCs w:val="1"/>
                <w:color w:val="0067B3"/>
              </w:rPr>
              <w:t>l</w:t>
            </w:r>
          </w:p>
        </w:tc>
        <w:tc>
          <w:tcPr>
            <w:tcW w:w="540" w:type="dxa"/>
            <w:vAlign w:val="bottom"/>
          </w:tcPr>
          <w:p>
            <w:pPr>
              <w:ind w:left="240"/>
              <w:spacing w:after="0"/>
              <w:rPr>
                <w:sz w:val="20"/>
                <w:szCs w:val="20"/>
                <w:color w:val="auto"/>
              </w:rPr>
            </w:pPr>
            <w:r>
              <w:rPr>
                <w:rFonts w:ascii="Wingdings" w:cs="Wingdings" w:eastAsia="Wingdings" w:hAnsi="Wingdings"/>
                <w:sz w:val="16"/>
                <w:szCs w:val="16"/>
                <w:b w:val="1"/>
                <w:bCs w:val="1"/>
                <w:color w:val="0067B3"/>
              </w:rPr>
              <w:t>l</w:t>
            </w:r>
          </w:p>
        </w:tc>
        <w:tc>
          <w:tcPr>
            <w:tcW w:w="660" w:type="dxa"/>
            <w:vAlign w:val="bottom"/>
          </w:tcPr>
          <w:p>
            <w:pPr>
              <w:ind w:left="300"/>
              <w:spacing w:after="0"/>
              <w:rPr>
                <w:sz w:val="20"/>
                <w:szCs w:val="20"/>
                <w:color w:val="auto"/>
              </w:rPr>
            </w:pPr>
            <w:r>
              <w:rPr>
                <w:rFonts w:ascii="Wingdings" w:cs="Wingdings" w:eastAsia="Wingdings" w:hAnsi="Wingdings"/>
                <w:sz w:val="16"/>
                <w:szCs w:val="16"/>
                <w:b w:val="1"/>
                <w:bCs w:val="1"/>
                <w:color w:val="0067B3"/>
              </w:rPr>
              <w:t>l</w:t>
            </w:r>
          </w:p>
        </w:tc>
        <w:tc>
          <w:tcPr>
            <w:tcW w:w="600" w:type="dxa"/>
            <w:vAlign w:val="bottom"/>
          </w:tcPr>
          <w:p>
            <w:pPr>
              <w:ind w:left="240"/>
              <w:spacing w:after="0"/>
              <w:rPr>
                <w:sz w:val="20"/>
                <w:szCs w:val="20"/>
                <w:color w:val="auto"/>
              </w:rPr>
            </w:pPr>
            <w:r>
              <w:rPr>
                <w:rFonts w:ascii="Wingdings" w:cs="Wingdings" w:eastAsia="Wingdings" w:hAnsi="Wingdings"/>
                <w:sz w:val="16"/>
                <w:szCs w:val="16"/>
                <w:b w:val="1"/>
                <w:bCs w:val="1"/>
                <w:color w:val="0067B3"/>
              </w:rPr>
              <w:t>l</w:t>
            </w:r>
          </w:p>
        </w:tc>
        <w:tc>
          <w:tcPr>
            <w:tcW w:w="680" w:type="dxa"/>
            <w:vAlign w:val="bottom"/>
          </w:tcPr>
          <w:p>
            <w:pPr>
              <w:ind w:left="220"/>
              <w:spacing w:after="0"/>
              <w:rPr>
                <w:sz w:val="20"/>
                <w:szCs w:val="20"/>
                <w:color w:val="auto"/>
              </w:rPr>
            </w:pPr>
            <w:r>
              <w:rPr>
                <w:rFonts w:ascii="Wingdings" w:cs="Wingdings" w:eastAsia="Wingdings" w:hAnsi="Wingdings"/>
                <w:sz w:val="16"/>
                <w:szCs w:val="16"/>
                <w:b w:val="1"/>
                <w:bCs w:val="1"/>
                <w:color w:val="0067B3"/>
              </w:rPr>
              <w:t>l</w:t>
            </w:r>
          </w:p>
        </w:tc>
        <w:tc>
          <w:tcPr>
            <w:tcW w:w="500" w:type="dxa"/>
            <w:vAlign w:val="bottom"/>
          </w:tcPr>
          <w:p>
            <w:pPr>
              <w:ind w:left="140"/>
              <w:spacing w:after="0"/>
              <w:rPr>
                <w:sz w:val="20"/>
                <w:szCs w:val="20"/>
                <w:color w:val="auto"/>
              </w:rPr>
            </w:pPr>
            <w:r>
              <w:rPr>
                <w:rFonts w:ascii="Wingdings" w:cs="Wingdings" w:eastAsia="Wingdings" w:hAnsi="Wingdings"/>
                <w:sz w:val="16"/>
                <w:szCs w:val="16"/>
                <w:b w:val="1"/>
                <w:bCs w:val="1"/>
                <w:color w:val="0067B3"/>
              </w:rPr>
              <w:t>l</w:t>
            </w:r>
          </w:p>
        </w:tc>
        <w:tc>
          <w:tcPr>
            <w:tcW w:w="0" w:type="dxa"/>
            <w:vAlign w:val="bottom"/>
          </w:tcPr>
          <w:p>
            <w:pPr>
              <w:spacing w:after="0"/>
              <w:rPr>
                <w:sz w:val="1"/>
                <w:szCs w:val="1"/>
                <w:color w:val="auto"/>
              </w:rPr>
            </w:pPr>
          </w:p>
        </w:tc>
      </w:tr>
      <w:tr>
        <w:trPr>
          <w:trHeight w:val="264"/>
        </w:trPr>
        <w:tc>
          <w:tcPr>
            <w:tcW w:w="5060" w:type="dxa"/>
            <w:vAlign w:val="bottom"/>
            <w:tcBorders>
              <w:bottom w:val="single" w:sz="8" w:color="939598"/>
            </w:tcBorders>
          </w:tcPr>
          <w:p>
            <w:pPr>
              <w:spacing w:after="0"/>
              <w:rPr>
                <w:sz w:val="22"/>
                <w:szCs w:val="22"/>
                <w:color w:val="auto"/>
              </w:rPr>
            </w:pPr>
          </w:p>
        </w:tc>
        <w:tc>
          <w:tcPr>
            <w:tcW w:w="840" w:type="dxa"/>
            <w:vAlign w:val="bottom"/>
            <w:tcBorders>
              <w:bottom w:val="single" w:sz="8" w:color="939598"/>
            </w:tcBorders>
          </w:tcPr>
          <w:p>
            <w:pPr>
              <w:spacing w:after="0"/>
              <w:rPr>
                <w:sz w:val="22"/>
                <w:szCs w:val="22"/>
                <w:color w:val="auto"/>
              </w:rPr>
            </w:pPr>
          </w:p>
        </w:tc>
        <w:tc>
          <w:tcPr>
            <w:tcW w:w="580" w:type="dxa"/>
            <w:vAlign w:val="bottom"/>
            <w:tcBorders>
              <w:bottom w:val="single" w:sz="8" w:color="939598"/>
            </w:tcBorders>
          </w:tcPr>
          <w:p>
            <w:pPr>
              <w:spacing w:after="0"/>
              <w:rPr>
                <w:sz w:val="22"/>
                <w:szCs w:val="22"/>
                <w:color w:val="auto"/>
              </w:rPr>
            </w:pPr>
          </w:p>
        </w:tc>
        <w:tc>
          <w:tcPr>
            <w:tcW w:w="600" w:type="dxa"/>
            <w:vAlign w:val="bottom"/>
            <w:tcBorders>
              <w:bottom w:val="single" w:sz="8" w:color="939598"/>
            </w:tcBorders>
          </w:tcPr>
          <w:p>
            <w:pPr>
              <w:spacing w:after="0"/>
              <w:rPr>
                <w:sz w:val="22"/>
                <w:szCs w:val="22"/>
                <w:color w:val="auto"/>
              </w:rPr>
            </w:pPr>
          </w:p>
        </w:tc>
        <w:tc>
          <w:tcPr>
            <w:tcW w:w="600" w:type="dxa"/>
            <w:vAlign w:val="bottom"/>
            <w:tcBorders>
              <w:bottom w:val="single" w:sz="8" w:color="939598"/>
            </w:tcBorders>
          </w:tcPr>
          <w:p>
            <w:pPr>
              <w:spacing w:after="0"/>
              <w:rPr>
                <w:sz w:val="22"/>
                <w:szCs w:val="22"/>
                <w:color w:val="auto"/>
              </w:rPr>
            </w:pPr>
          </w:p>
        </w:tc>
        <w:tc>
          <w:tcPr>
            <w:tcW w:w="580" w:type="dxa"/>
            <w:vAlign w:val="bottom"/>
            <w:tcBorders>
              <w:bottom w:val="single" w:sz="8" w:color="939598"/>
            </w:tcBorders>
          </w:tcPr>
          <w:p>
            <w:pPr>
              <w:spacing w:after="0"/>
              <w:rPr>
                <w:sz w:val="22"/>
                <w:szCs w:val="22"/>
                <w:color w:val="auto"/>
              </w:rPr>
            </w:pPr>
          </w:p>
        </w:tc>
        <w:tc>
          <w:tcPr>
            <w:tcW w:w="540" w:type="dxa"/>
            <w:vAlign w:val="bottom"/>
            <w:tcBorders>
              <w:bottom w:val="single" w:sz="8" w:color="939598"/>
            </w:tcBorders>
          </w:tcPr>
          <w:p>
            <w:pPr>
              <w:spacing w:after="0"/>
              <w:rPr>
                <w:sz w:val="22"/>
                <w:szCs w:val="22"/>
                <w:color w:val="auto"/>
              </w:rPr>
            </w:pPr>
          </w:p>
        </w:tc>
        <w:tc>
          <w:tcPr>
            <w:tcW w:w="660" w:type="dxa"/>
            <w:vAlign w:val="bottom"/>
            <w:tcBorders>
              <w:bottom w:val="single" w:sz="8" w:color="939598"/>
            </w:tcBorders>
          </w:tcPr>
          <w:p>
            <w:pPr>
              <w:spacing w:after="0"/>
              <w:rPr>
                <w:sz w:val="22"/>
                <w:szCs w:val="22"/>
                <w:color w:val="auto"/>
              </w:rPr>
            </w:pPr>
          </w:p>
        </w:tc>
        <w:tc>
          <w:tcPr>
            <w:tcW w:w="600" w:type="dxa"/>
            <w:vAlign w:val="bottom"/>
            <w:tcBorders>
              <w:bottom w:val="single" w:sz="8" w:color="939598"/>
            </w:tcBorders>
          </w:tcPr>
          <w:p>
            <w:pPr>
              <w:spacing w:after="0"/>
              <w:rPr>
                <w:sz w:val="22"/>
                <w:szCs w:val="22"/>
                <w:color w:val="auto"/>
              </w:rPr>
            </w:pPr>
          </w:p>
        </w:tc>
        <w:tc>
          <w:tcPr>
            <w:tcW w:w="680" w:type="dxa"/>
            <w:vAlign w:val="bottom"/>
            <w:tcBorders>
              <w:bottom w:val="single" w:sz="8" w:color="939598"/>
            </w:tcBorders>
          </w:tcPr>
          <w:p>
            <w:pPr>
              <w:spacing w:after="0"/>
              <w:rPr>
                <w:sz w:val="22"/>
                <w:szCs w:val="22"/>
                <w:color w:val="auto"/>
              </w:rPr>
            </w:pPr>
          </w:p>
        </w:tc>
        <w:tc>
          <w:tcPr>
            <w:tcW w:w="500" w:type="dxa"/>
            <w:vAlign w:val="bottom"/>
            <w:tcBorders>
              <w:bottom w:val="single" w:sz="8" w:color="939598"/>
            </w:tcBorders>
          </w:tcPr>
          <w:p>
            <w:pPr>
              <w:spacing w:after="0"/>
              <w:rPr>
                <w:sz w:val="22"/>
                <w:szCs w:val="22"/>
                <w:color w:val="auto"/>
              </w:rPr>
            </w:pPr>
          </w:p>
        </w:tc>
        <w:tc>
          <w:tcPr>
            <w:tcW w:w="0" w:type="dxa"/>
            <w:vAlign w:val="bottom"/>
          </w:tcPr>
          <w:p>
            <w:pPr>
              <w:spacing w:after="0"/>
              <w:rPr>
                <w:sz w:val="1"/>
                <w:szCs w:val="1"/>
                <w:color w:val="auto"/>
              </w:rPr>
            </w:pPr>
          </w:p>
        </w:tc>
      </w:tr>
      <w:tr>
        <w:trPr>
          <w:trHeight w:val="513"/>
        </w:trPr>
        <w:tc>
          <w:tcPr>
            <w:tcW w:w="5060" w:type="dxa"/>
            <w:vAlign w:val="bottom"/>
          </w:tcPr>
          <w:p>
            <w:pPr>
              <w:ind w:left="760"/>
              <w:spacing w:after="0"/>
              <w:rPr>
                <w:sz w:val="20"/>
                <w:szCs w:val="20"/>
                <w:color w:val="auto"/>
              </w:rPr>
            </w:pPr>
            <w:r>
              <w:rPr>
                <w:rFonts w:ascii="Arial" w:cs="Arial" w:eastAsia="Arial" w:hAnsi="Arial"/>
                <w:sz w:val="16"/>
                <w:szCs w:val="16"/>
                <w:b w:val="1"/>
                <w:bCs w:val="1"/>
                <w:color w:val="auto"/>
              </w:rPr>
              <w:t>Government Affairs, Public Policy</w:t>
            </w:r>
          </w:p>
        </w:tc>
        <w:tc>
          <w:tcPr>
            <w:tcW w:w="840" w:type="dxa"/>
            <w:vAlign w:val="bottom"/>
          </w:tcPr>
          <w:p>
            <w:pPr>
              <w:ind w:left="480"/>
              <w:spacing w:after="0"/>
              <w:rPr>
                <w:sz w:val="20"/>
                <w:szCs w:val="20"/>
                <w:color w:val="auto"/>
              </w:rPr>
            </w:pPr>
            <w:r>
              <w:rPr>
                <w:rFonts w:ascii="Wingdings" w:cs="Wingdings" w:eastAsia="Wingdings" w:hAnsi="Wingdings"/>
                <w:sz w:val="16"/>
                <w:szCs w:val="16"/>
                <w:b w:val="1"/>
                <w:bCs w:val="1"/>
                <w:color w:val="0067B3"/>
              </w:rPr>
              <w:t>l</w:t>
            </w:r>
          </w:p>
        </w:tc>
        <w:tc>
          <w:tcPr>
            <w:tcW w:w="580" w:type="dxa"/>
            <w:vAlign w:val="bottom"/>
          </w:tcPr>
          <w:p>
            <w:pPr>
              <w:spacing w:after="0"/>
              <w:rPr>
                <w:sz w:val="24"/>
                <w:szCs w:val="24"/>
                <w:color w:val="auto"/>
              </w:rPr>
            </w:pPr>
          </w:p>
        </w:tc>
        <w:tc>
          <w:tcPr>
            <w:tcW w:w="600" w:type="dxa"/>
            <w:vAlign w:val="bottom"/>
          </w:tcPr>
          <w:p>
            <w:pPr>
              <w:ind w:left="240"/>
              <w:spacing w:after="0"/>
              <w:rPr>
                <w:sz w:val="20"/>
                <w:szCs w:val="20"/>
                <w:color w:val="auto"/>
              </w:rPr>
            </w:pPr>
            <w:r>
              <w:rPr>
                <w:rFonts w:ascii="Wingdings" w:cs="Wingdings" w:eastAsia="Wingdings" w:hAnsi="Wingdings"/>
                <w:sz w:val="16"/>
                <w:szCs w:val="16"/>
                <w:b w:val="1"/>
                <w:bCs w:val="1"/>
                <w:color w:val="0067B3"/>
              </w:rPr>
              <w:t>l</w:t>
            </w:r>
          </w:p>
        </w:tc>
        <w:tc>
          <w:tcPr>
            <w:tcW w:w="6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40" w:type="dxa"/>
            <w:vAlign w:val="bottom"/>
          </w:tcPr>
          <w:p>
            <w:pPr>
              <w:ind w:left="240"/>
              <w:spacing w:after="0"/>
              <w:rPr>
                <w:sz w:val="20"/>
                <w:szCs w:val="20"/>
                <w:color w:val="auto"/>
              </w:rPr>
            </w:pPr>
            <w:r>
              <w:rPr>
                <w:rFonts w:ascii="Wingdings" w:cs="Wingdings" w:eastAsia="Wingdings" w:hAnsi="Wingdings"/>
                <w:sz w:val="16"/>
                <w:szCs w:val="16"/>
                <w:b w:val="1"/>
                <w:bCs w:val="1"/>
                <w:color w:val="0067B3"/>
              </w:rPr>
              <w:t>l</w:t>
            </w:r>
          </w:p>
        </w:tc>
        <w:tc>
          <w:tcPr>
            <w:tcW w:w="6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5060" w:type="dxa"/>
            <w:vAlign w:val="bottom"/>
            <w:tcBorders>
              <w:bottom w:val="single" w:sz="8" w:color="939598"/>
            </w:tcBorders>
          </w:tcPr>
          <w:p>
            <w:pPr>
              <w:spacing w:after="0"/>
              <w:rPr>
                <w:sz w:val="24"/>
                <w:szCs w:val="24"/>
                <w:color w:val="auto"/>
              </w:rPr>
            </w:pPr>
          </w:p>
        </w:tc>
        <w:tc>
          <w:tcPr>
            <w:tcW w:w="840" w:type="dxa"/>
            <w:vAlign w:val="bottom"/>
            <w:tcBorders>
              <w:bottom w:val="single" w:sz="8" w:color="939598"/>
            </w:tcBorders>
          </w:tcPr>
          <w:p>
            <w:pPr>
              <w:spacing w:after="0"/>
              <w:rPr>
                <w:sz w:val="24"/>
                <w:szCs w:val="24"/>
                <w:color w:val="auto"/>
              </w:rPr>
            </w:pPr>
          </w:p>
        </w:tc>
        <w:tc>
          <w:tcPr>
            <w:tcW w:w="580" w:type="dxa"/>
            <w:vAlign w:val="bottom"/>
            <w:tcBorders>
              <w:bottom w:val="single" w:sz="8" w:color="939598"/>
            </w:tcBorders>
          </w:tcPr>
          <w:p>
            <w:pPr>
              <w:spacing w:after="0"/>
              <w:rPr>
                <w:sz w:val="24"/>
                <w:szCs w:val="24"/>
                <w:color w:val="auto"/>
              </w:rPr>
            </w:pPr>
          </w:p>
        </w:tc>
        <w:tc>
          <w:tcPr>
            <w:tcW w:w="600" w:type="dxa"/>
            <w:vAlign w:val="bottom"/>
            <w:tcBorders>
              <w:bottom w:val="single" w:sz="8" w:color="939598"/>
            </w:tcBorders>
          </w:tcPr>
          <w:p>
            <w:pPr>
              <w:spacing w:after="0"/>
              <w:rPr>
                <w:sz w:val="24"/>
                <w:szCs w:val="24"/>
                <w:color w:val="auto"/>
              </w:rPr>
            </w:pPr>
          </w:p>
        </w:tc>
        <w:tc>
          <w:tcPr>
            <w:tcW w:w="600" w:type="dxa"/>
            <w:vAlign w:val="bottom"/>
            <w:tcBorders>
              <w:bottom w:val="single" w:sz="8" w:color="939598"/>
            </w:tcBorders>
          </w:tcPr>
          <w:p>
            <w:pPr>
              <w:spacing w:after="0"/>
              <w:rPr>
                <w:sz w:val="24"/>
                <w:szCs w:val="24"/>
                <w:color w:val="auto"/>
              </w:rPr>
            </w:pPr>
          </w:p>
        </w:tc>
        <w:tc>
          <w:tcPr>
            <w:tcW w:w="580" w:type="dxa"/>
            <w:vAlign w:val="bottom"/>
            <w:tcBorders>
              <w:bottom w:val="single" w:sz="8" w:color="939598"/>
            </w:tcBorders>
          </w:tcPr>
          <w:p>
            <w:pPr>
              <w:spacing w:after="0"/>
              <w:rPr>
                <w:sz w:val="24"/>
                <w:szCs w:val="24"/>
                <w:color w:val="auto"/>
              </w:rPr>
            </w:pPr>
          </w:p>
        </w:tc>
        <w:tc>
          <w:tcPr>
            <w:tcW w:w="540" w:type="dxa"/>
            <w:vAlign w:val="bottom"/>
            <w:tcBorders>
              <w:bottom w:val="single" w:sz="8" w:color="939598"/>
            </w:tcBorders>
          </w:tcPr>
          <w:p>
            <w:pPr>
              <w:spacing w:after="0"/>
              <w:rPr>
                <w:sz w:val="24"/>
                <w:szCs w:val="24"/>
                <w:color w:val="auto"/>
              </w:rPr>
            </w:pPr>
          </w:p>
        </w:tc>
        <w:tc>
          <w:tcPr>
            <w:tcW w:w="660" w:type="dxa"/>
            <w:vAlign w:val="bottom"/>
            <w:tcBorders>
              <w:bottom w:val="single" w:sz="8" w:color="939598"/>
            </w:tcBorders>
          </w:tcPr>
          <w:p>
            <w:pPr>
              <w:spacing w:after="0"/>
              <w:rPr>
                <w:sz w:val="24"/>
                <w:szCs w:val="24"/>
                <w:color w:val="auto"/>
              </w:rPr>
            </w:pPr>
          </w:p>
        </w:tc>
        <w:tc>
          <w:tcPr>
            <w:tcW w:w="600" w:type="dxa"/>
            <w:vAlign w:val="bottom"/>
            <w:tcBorders>
              <w:bottom w:val="single" w:sz="8" w:color="939598"/>
            </w:tcBorders>
          </w:tcPr>
          <w:p>
            <w:pPr>
              <w:spacing w:after="0"/>
              <w:rPr>
                <w:sz w:val="24"/>
                <w:szCs w:val="24"/>
                <w:color w:val="auto"/>
              </w:rPr>
            </w:pPr>
          </w:p>
        </w:tc>
        <w:tc>
          <w:tcPr>
            <w:tcW w:w="680" w:type="dxa"/>
            <w:vAlign w:val="bottom"/>
            <w:tcBorders>
              <w:bottom w:val="single" w:sz="8" w:color="939598"/>
            </w:tcBorders>
          </w:tcPr>
          <w:p>
            <w:pPr>
              <w:spacing w:after="0"/>
              <w:rPr>
                <w:sz w:val="24"/>
                <w:szCs w:val="24"/>
                <w:color w:val="auto"/>
              </w:rPr>
            </w:pPr>
          </w:p>
        </w:tc>
        <w:tc>
          <w:tcPr>
            <w:tcW w:w="500" w:type="dxa"/>
            <w:vAlign w:val="bottom"/>
            <w:tcBorders>
              <w:bottom w:val="single" w:sz="8" w:color="939598"/>
            </w:tcBorders>
          </w:tcPr>
          <w:p>
            <w:pPr>
              <w:spacing w:after="0"/>
              <w:rPr>
                <w:sz w:val="24"/>
                <w:szCs w:val="24"/>
                <w:color w:val="auto"/>
              </w:rPr>
            </w:pPr>
          </w:p>
        </w:tc>
        <w:tc>
          <w:tcPr>
            <w:tcW w:w="0" w:type="dxa"/>
            <w:vAlign w:val="bottom"/>
          </w:tcPr>
          <w:p>
            <w:pPr>
              <w:spacing w:after="0"/>
              <w:rPr>
                <w:sz w:val="1"/>
                <w:szCs w:val="1"/>
                <w:color w:val="auto"/>
              </w:rPr>
            </w:pPr>
          </w:p>
        </w:tc>
      </w:tr>
      <w:tr>
        <w:trPr>
          <w:trHeight w:val="445"/>
        </w:trPr>
        <w:tc>
          <w:tcPr>
            <w:tcW w:w="5060" w:type="dxa"/>
            <w:vAlign w:val="bottom"/>
          </w:tcPr>
          <w:p>
            <w:pPr>
              <w:ind w:left="760"/>
              <w:spacing w:after="0"/>
              <w:rPr>
                <w:sz w:val="20"/>
                <w:szCs w:val="20"/>
                <w:color w:val="auto"/>
              </w:rPr>
            </w:pPr>
            <w:r>
              <w:rPr>
                <w:rFonts w:ascii="Arial" w:cs="Arial" w:eastAsia="Arial" w:hAnsi="Arial"/>
                <w:sz w:val="16"/>
                <w:szCs w:val="16"/>
                <w:b w:val="1"/>
                <w:bCs w:val="1"/>
                <w:color w:val="auto"/>
              </w:rPr>
              <w:t>Strategy</w:t>
            </w:r>
          </w:p>
        </w:tc>
        <w:tc>
          <w:tcPr>
            <w:tcW w:w="840" w:type="dxa"/>
            <w:vAlign w:val="bottom"/>
          </w:tcPr>
          <w:p>
            <w:pPr>
              <w:ind w:left="480"/>
              <w:spacing w:after="0"/>
              <w:rPr>
                <w:sz w:val="20"/>
                <w:szCs w:val="20"/>
                <w:color w:val="auto"/>
              </w:rPr>
            </w:pPr>
            <w:r>
              <w:rPr>
                <w:rFonts w:ascii="Wingdings" w:cs="Wingdings" w:eastAsia="Wingdings" w:hAnsi="Wingdings"/>
                <w:sz w:val="16"/>
                <w:szCs w:val="16"/>
                <w:b w:val="1"/>
                <w:bCs w:val="1"/>
                <w:color w:val="0067B3"/>
              </w:rPr>
              <w:t>l</w:t>
            </w:r>
          </w:p>
        </w:tc>
        <w:tc>
          <w:tcPr>
            <w:tcW w:w="580" w:type="dxa"/>
            <w:vAlign w:val="bottom"/>
          </w:tcPr>
          <w:p>
            <w:pPr>
              <w:ind w:left="240"/>
              <w:spacing w:after="0"/>
              <w:rPr>
                <w:sz w:val="20"/>
                <w:szCs w:val="20"/>
                <w:color w:val="auto"/>
              </w:rPr>
            </w:pPr>
            <w:r>
              <w:rPr>
                <w:rFonts w:ascii="Wingdings" w:cs="Wingdings" w:eastAsia="Wingdings" w:hAnsi="Wingdings"/>
                <w:sz w:val="16"/>
                <w:szCs w:val="16"/>
                <w:b w:val="1"/>
                <w:bCs w:val="1"/>
                <w:color w:val="0067B3"/>
              </w:rPr>
              <w:t>l</w:t>
            </w:r>
          </w:p>
        </w:tc>
        <w:tc>
          <w:tcPr>
            <w:tcW w:w="600" w:type="dxa"/>
            <w:vAlign w:val="bottom"/>
          </w:tcPr>
          <w:p>
            <w:pPr>
              <w:ind w:left="240"/>
              <w:spacing w:after="0"/>
              <w:rPr>
                <w:sz w:val="20"/>
                <w:szCs w:val="20"/>
                <w:color w:val="auto"/>
              </w:rPr>
            </w:pPr>
            <w:r>
              <w:rPr>
                <w:rFonts w:ascii="Wingdings" w:cs="Wingdings" w:eastAsia="Wingdings" w:hAnsi="Wingdings"/>
                <w:sz w:val="16"/>
                <w:szCs w:val="16"/>
                <w:b w:val="1"/>
                <w:bCs w:val="1"/>
                <w:color w:val="0067B3"/>
              </w:rPr>
              <w:t>l</w:t>
            </w:r>
          </w:p>
        </w:tc>
        <w:tc>
          <w:tcPr>
            <w:tcW w:w="600" w:type="dxa"/>
            <w:vAlign w:val="bottom"/>
          </w:tcPr>
          <w:p>
            <w:pPr>
              <w:ind w:left="240"/>
              <w:spacing w:after="0"/>
              <w:rPr>
                <w:sz w:val="20"/>
                <w:szCs w:val="20"/>
                <w:color w:val="auto"/>
              </w:rPr>
            </w:pPr>
            <w:r>
              <w:rPr>
                <w:rFonts w:ascii="Wingdings" w:cs="Wingdings" w:eastAsia="Wingdings" w:hAnsi="Wingdings"/>
                <w:sz w:val="16"/>
                <w:szCs w:val="16"/>
                <w:b w:val="1"/>
                <w:bCs w:val="1"/>
                <w:color w:val="0067B3"/>
              </w:rPr>
              <w:t>l</w:t>
            </w:r>
          </w:p>
        </w:tc>
        <w:tc>
          <w:tcPr>
            <w:tcW w:w="580" w:type="dxa"/>
            <w:vAlign w:val="bottom"/>
          </w:tcPr>
          <w:p>
            <w:pPr>
              <w:ind w:left="240"/>
              <w:spacing w:after="0"/>
              <w:rPr>
                <w:sz w:val="20"/>
                <w:szCs w:val="20"/>
                <w:color w:val="auto"/>
              </w:rPr>
            </w:pPr>
            <w:r>
              <w:rPr>
                <w:rFonts w:ascii="Wingdings" w:cs="Wingdings" w:eastAsia="Wingdings" w:hAnsi="Wingdings"/>
                <w:sz w:val="16"/>
                <w:szCs w:val="16"/>
                <w:b w:val="1"/>
                <w:bCs w:val="1"/>
                <w:color w:val="0067B3"/>
              </w:rPr>
              <w:t>l</w:t>
            </w:r>
          </w:p>
        </w:tc>
        <w:tc>
          <w:tcPr>
            <w:tcW w:w="540" w:type="dxa"/>
            <w:vAlign w:val="bottom"/>
          </w:tcPr>
          <w:p>
            <w:pPr>
              <w:ind w:left="240"/>
              <w:spacing w:after="0"/>
              <w:rPr>
                <w:sz w:val="20"/>
                <w:szCs w:val="20"/>
                <w:color w:val="auto"/>
              </w:rPr>
            </w:pPr>
            <w:r>
              <w:rPr>
                <w:rFonts w:ascii="Wingdings" w:cs="Wingdings" w:eastAsia="Wingdings" w:hAnsi="Wingdings"/>
                <w:sz w:val="16"/>
                <w:szCs w:val="16"/>
                <w:b w:val="1"/>
                <w:bCs w:val="1"/>
                <w:color w:val="0067B3"/>
              </w:rPr>
              <w:t>l</w:t>
            </w:r>
          </w:p>
        </w:tc>
        <w:tc>
          <w:tcPr>
            <w:tcW w:w="660" w:type="dxa"/>
            <w:vAlign w:val="bottom"/>
          </w:tcPr>
          <w:p>
            <w:pPr>
              <w:ind w:left="300"/>
              <w:spacing w:after="0"/>
              <w:rPr>
                <w:sz w:val="20"/>
                <w:szCs w:val="20"/>
                <w:color w:val="auto"/>
              </w:rPr>
            </w:pPr>
            <w:r>
              <w:rPr>
                <w:rFonts w:ascii="Wingdings" w:cs="Wingdings" w:eastAsia="Wingdings" w:hAnsi="Wingdings"/>
                <w:sz w:val="16"/>
                <w:szCs w:val="16"/>
                <w:b w:val="1"/>
                <w:bCs w:val="1"/>
                <w:color w:val="0067B3"/>
              </w:rPr>
              <w:t>l</w:t>
            </w:r>
          </w:p>
        </w:tc>
        <w:tc>
          <w:tcPr>
            <w:tcW w:w="600" w:type="dxa"/>
            <w:vAlign w:val="bottom"/>
          </w:tcPr>
          <w:p>
            <w:pPr>
              <w:ind w:left="240"/>
              <w:spacing w:after="0"/>
              <w:rPr>
                <w:sz w:val="20"/>
                <w:szCs w:val="20"/>
                <w:color w:val="auto"/>
              </w:rPr>
            </w:pPr>
            <w:r>
              <w:rPr>
                <w:rFonts w:ascii="Wingdings" w:cs="Wingdings" w:eastAsia="Wingdings" w:hAnsi="Wingdings"/>
                <w:sz w:val="16"/>
                <w:szCs w:val="16"/>
                <w:b w:val="1"/>
                <w:bCs w:val="1"/>
                <w:color w:val="0067B3"/>
              </w:rPr>
              <w:t>l</w:t>
            </w:r>
          </w:p>
        </w:tc>
        <w:tc>
          <w:tcPr>
            <w:tcW w:w="680" w:type="dxa"/>
            <w:vAlign w:val="bottom"/>
          </w:tcPr>
          <w:p>
            <w:pPr>
              <w:ind w:left="220"/>
              <w:spacing w:after="0"/>
              <w:rPr>
                <w:sz w:val="20"/>
                <w:szCs w:val="20"/>
                <w:color w:val="auto"/>
              </w:rPr>
            </w:pPr>
            <w:r>
              <w:rPr>
                <w:rFonts w:ascii="Wingdings" w:cs="Wingdings" w:eastAsia="Wingdings" w:hAnsi="Wingdings"/>
                <w:sz w:val="16"/>
                <w:szCs w:val="16"/>
                <w:b w:val="1"/>
                <w:bCs w:val="1"/>
                <w:color w:val="0067B3"/>
              </w:rPr>
              <w:t>l</w:t>
            </w:r>
          </w:p>
        </w:tc>
        <w:tc>
          <w:tcPr>
            <w:tcW w:w="500" w:type="dxa"/>
            <w:vAlign w:val="bottom"/>
          </w:tcPr>
          <w:p>
            <w:pPr>
              <w:ind w:left="140"/>
              <w:spacing w:after="0"/>
              <w:rPr>
                <w:sz w:val="20"/>
                <w:szCs w:val="20"/>
                <w:color w:val="auto"/>
              </w:rPr>
            </w:pPr>
            <w:r>
              <w:rPr>
                <w:rFonts w:ascii="Wingdings" w:cs="Wingdings" w:eastAsia="Wingdings" w:hAnsi="Wingdings"/>
                <w:sz w:val="16"/>
                <w:szCs w:val="16"/>
                <w:b w:val="1"/>
                <w:bCs w:val="1"/>
                <w:color w:val="0067B3"/>
              </w:rPr>
              <w:t>l</w:t>
            </w:r>
          </w:p>
        </w:tc>
        <w:tc>
          <w:tcPr>
            <w:tcW w:w="0" w:type="dxa"/>
            <w:vAlign w:val="bottom"/>
          </w:tcPr>
          <w:p>
            <w:pPr>
              <w:spacing w:after="0"/>
              <w:rPr>
                <w:sz w:val="1"/>
                <w:szCs w:val="1"/>
                <w:color w:val="auto"/>
              </w:rPr>
            </w:pPr>
          </w:p>
        </w:tc>
      </w:tr>
      <w:tr>
        <w:trPr>
          <w:trHeight w:val="237"/>
        </w:trPr>
        <w:tc>
          <w:tcPr>
            <w:tcW w:w="5060" w:type="dxa"/>
            <w:vAlign w:val="bottom"/>
            <w:tcBorders>
              <w:bottom w:val="single" w:sz="8" w:color="939598"/>
            </w:tcBorders>
          </w:tcPr>
          <w:p>
            <w:pPr>
              <w:spacing w:after="0"/>
              <w:rPr>
                <w:sz w:val="20"/>
                <w:szCs w:val="20"/>
                <w:color w:val="auto"/>
              </w:rPr>
            </w:pPr>
          </w:p>
        </w:tc>
        <w:tc>
          <w:tcPr>
            <w:tcW w:w="840" w:type="dxa"/>
            <w:vAlign w:val="bottom"/>
            <w:tcBorders>
              <w:bottom w:val="single" w:sz="8" w:color="939598"/>
            </w:tcBorders>
          </w:tcPr>
          <w:p>
            <w:pPr>
              <w:spacing w:after="0"/>
              <w:rPr>
                <w:sz w:val="20"/>
                <w:szCs w:val="20"/>
                <w:color w:val="auto"/>
              </w:rPr>
            </w:pPr>
          </w:p>
        </w:tc>
        <w:tc>
          <w:tcPr>
            <w:tcW w:w="580" w:type="dxa"/>
            <w:vAlign w:val="bottom"/>
            <w:tcBorders>
              <w:bottom w:val="single" w:sz="8" w:color="939598"/>
            </w:tcBorders>
          </w:tcPr>
          <w:p>
            <w:pPr>
              <w:spacing w:after="0"/>
              <w:rPr>
                <w:sz w:val="20"/>
                <w:szCs w:val="20"/>
                <w:color w:val="auto"/>
              </w:rPr>
            </w:pPr>
          </w:p>
        </w:tc>
        <w:tc>
          <w:tcPr>
            <w:tcW w:w="600" w:type="dxa"/>
            <w:vAlign w:val="bottom"/>
            <w:tcBorders>
              <w:bottom w:val="single" w:sz="8" w:color="939598"/>
            </w:tcBorders>
          </w:tcPr>
          <w:p>
            <w:pPr>
              <w:spacing w:after="0"/>
              <w:rPr>
                <w:sz w:val="20"/>
                <w:szCs w:val="20"/>
                <w:color w:val="auto"/>
              </w:rPr>
            </w:pPr>
          </w:p>
        </w:tc>
        <w:tc>
          <w:tcPr>
            <w:tcW w:w="600" w:type="dxa"/>
            <w:vAlign w:val="bottom"/>
            <w:tcBorders>
              <w:bottom w:val="single" w:sz="8" w:color="939598"/>
            </w:tcBorders>
          </w:tcPr>
          <w:p>
            <w:pPr>
              <w:spacing w:after="0"/>
              <w:rPr>
                <w:sz w:val="20"/>
                <w:szCs w:val="20"/>
                <w:color w:val="auto"/>
              </w:rPr>
            </w:pPr>
          </w:p>
        </w:tc>
        <w:tc>
          <w:tcPr>
            <w:tcW w:w="580" w:type="dxa"/>
            <w:vAlign w:val="bottom"/>
            <w:tcBorders>
              <w:bottom w:val="single" w:sz="8" w:color="939598"/>
            </w:tcBorders>
          </w:tcPr>
          <w:p>
            <w:pPr>
              <w:spacing w:after="0"/>
              <w:rPr>
                <w:sz w:val="20"/>
                <w:szCs w:val="20"/>
                <w:color w:val="auto"/>
              </w:rPr>
            </w:pPr>
          </w:p>
        </w:tc>
        <w:tc>
          <w:tcPr>
            <w:tcW w:w="540" w:type="dxa"/>
            <w:vAlign w:val="bottom"/>
            <w:tcBorders>
              <w:bottom w:val="single" w:sz="8" w:color="939598"/>
            </w:tcBorders>
          </w:tcPr>
          <w:p>
            <w:pPr>
              <w:spacing w:after="0"/>
              <w:rPr>
                <w:sz w:val="20"/>
                <w:szCs w:val="20"/>
                <w:color w:val="auto"/>
              </w:rPr>
            </w:pPr>
          </w:p>
        </w:tc>
        <w:tc>
          <w:tcPr>
            <w:tcW w:w="660" w:type="dxa"/>
            <w:vAlign w:val="bottom"/>
            <w:tcBorders>
              <w:bottom w:val="single" w:sz="8" w:color="939598"/>
            </w:tcBorders>
          </w:tcPr>
          <w:p>
            <w:pPr>
              <w:spacing w:after="0"/>
              <w:rPr>
                <w:sz w:val="20"/>
                <w:szCs w:val="20"/>
                <w:color w:val="auto"/>
              </w:rPr>
            </w:pPr>
          </w:p>
        </w:tc>
        <w:tc>
          <w:tcPr>
            <w:tcW w:w="600" w:type="dxa"/>
            <w:vAlign w:val="bottom"/>
            <w:tcBorders>
              <w:bottom w:val="single" w:sz="8" w:color="939598"/>
            </w:tcBorders>
          </w:tcPr>
          <w:p>
            <w:pPr>
              <w:spacing w:after="0"/>
              <w:rPr>
                <w:sz w:val="20"/>
                <w:szCs w:val="20"/>
                <w:color w:val="auto"/>
              </w:rPr>
            </w:pPr>
          </w:p>
        </w:tc>
        <w:tc>
          <w:tcPr>
            <w:tcW w:w="680" w:type="dxa"/>
            <w:vAlign w:val="bottom"/>
            <w:tcBorders>
              <w:bottom w:val="single" w:sz="8" w:color="939598"/>
            </w:tcBorders>
          </w:tcPr>
          <w:p>
            <w:pPr>
              <w:spacing w:after="0"/>
              <w:rPr>
                <w:sz w:val="20"/>
                <w:szCs w:val="20"/>
                <w:color w:val="auto"/>
              </w:rPr>
            </w:pPr>
          </w:p>
        </w:tc>
        <w:tc>
          <w:tcPr>
            <w:tcW w:w="500" w:type="dxa"/>
            <w:vAlign w:val="bottom"/>
            <w:tcBorders>
              <w:bottom w:val="single" w:sz="8" w:color="939598"/>
            </w:tcBorders>
          </w:tcPr>
          <w:p>
            <w:pPr>
              <w:spacing w:after="0"/>
              <w:rPr>
                <w:sz w:val="20"/>
                <w:szCs w:val="20"/>
                <w:color w:val="auto"/>
              </w:rPr>
            </w:pPr>
          </w:p>
        </w:tc>
        <w:tc>
          <w:tcPr>
            <w:tcW w:w="0" w:type="dxa"/>
            <w:vAlign w:val="bottom"/>
          </w:tcPr>
          <w:p>
            <w:pPr>
              <w:spacing w:after="0"/>
              <w:rPr>
                <w:sz w:val="1"/>
                <w:szCs w:val="1"/>
                <w:color w:val="auto"/>
              </w:rPr>
            </w:pPr>
          </w:p>
        </w:tc>
      </w:tr>
      <w:tr>
        <w:trPr>
          <w:trHeight w:val="445"/>
        </w:trPr>
        <w:tc>
          <w:tcPr>
            <w:tcW w:w="5060" w:type="dxa"/>
            <w:vAlign w:val="bottom"/>
          </w:tcPr>
          <w:p>
            <w:pPr>
              <w:ind w:left="760"/>
              <w:spacing w:after="0"/>
              <w:rPr>
                <w:sz w:val="20"/>
                <w:szCs w:val="20"/>
                <w:color w:val="auto"/>
              </w:rPr>
            </w:pPr>
            <w:r>
              <w:rPr>
                <w:rFonts w:ascii="Arial" w:cs="Arial" w:eastAsia="Arial" w:hAnsi="Arial"/>
                <w:sz w:val="16"/>
                <w:szCs w:val="16"/>
                <w:b w:val="1"/>
                <w:bCs w:val="1"/>
                <w:color w:val="auto"/>
              </w:rPr>
              <w:t>Risk Management, Regulatory, Compliance</w:t>
            </w:r>
          </w:p>
        </w:tc>
        <w:tc>
          <w:tcPr>
            <w:tcW w:w="840" w:type="dxa"/>
            <w:vAlign w:val="bottom"/>
          </w:tcPr>
          <w:p>
            <w:pPr>
              <w:ind w:left="480"/>
              <w:spacing w:after="0"/>
              <w:rPr>
                <w:sz w:val="20"/>
                <w:szCs w:val="20"/>
                <w:color w:val="auto"/>
              </w:rPr>
            </w:pPr>
            <w:r>
              <w:rPr>
                <w:rFonts w:ascii="Wingdings" w:cs="Wingdings" w:eastAsia="Wingdings" w:hAnsi="Wingdings"/>
                <w:sz w:val="16"/>
                <w:szCs w:val="16"/>
                <w:b w:val="1"/>
                <w:bCs w:val="1"/>
                <w:color w:val="0067B3"/>
              </w:rPr>
              <w:t>l</w:t>
            </w:r>
          </w:p>
        </w:tc>
        <w:tc>
          <w:tcPr>
            <w:tcW w:w="5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80" w:type="dxa"/>
            <w:vAlign w:val="bottom"/>
          </w:tcPr>
          <w:p>
            <w:pPr>
              <w:ind w:left="240"/>
              <w:spacing w:after="0"/>
              <w:rPr>
                <w:sz w:val="20"/>
                <w:szCs w:val="20"/>
                <w:color w:val="auto"/>
              </w:rPr>
            </w:pPr>
            <w:r>
              <w:rPr>
                <w:rFonts w:ascii="Wingdings" w:cs="Wingdings" w:eastAsia="Wingdings" w:hAnsi="Wingdings"/>
                <w:sz w:val="16"/>
                <w:szCs w:val="16"/>
                <w:b w:val="1"/>
                <w:bCs w:val="1"/>
                <w:color w:val="0067B3"/>
              </w:rPr>
              <w:t>l</w:t>
            </w:r>
          </w:p>
        </w:tc>
        <w:tc>
          <w:tcPr>
            <w:tcW w:w="5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5060" w:type="dxa"/>
            <w:vAlign w:val="bottom"/>
            <w:tcBorders>
              <w:bottom w:val="single" w:sz="8" w:color="939598"/>
            </w:tcBorders>
          </w:tcPr>
          <w:p>
            <w:pPr>
              <w:spacing w:after="0"/>
              <w:rPr>
                <w:sz w:val="20"/>
                <w:szCs w:val="20"/>
                <w:color w:val="auto"/>
              </w:rPr>
            </w:pPr>
          </w:p>
        </w:tc>
        <w:tc>
          <w:tcPr>
            <w:tcW w:w="840" w:type="dxa"/>
            <w:vAlign w:val="bottom"/>
            <w:tcBorders>
              <w:bottom w:val="single" w:sz="8" w:color="939598"/>
            </w:tcBorders>
          </w:tcPr>
          <w:p>
            <w:pPr>
              <w:spacing w:after="0"/>
              <w:rPr>
                <w:sz w:val="20"/>
                <w:szCs w:val="20"/>
                <w:color w:val="auto"/>
              </w:rPr>
            </w:pPr>
          </w:p>
        </w:tc>
        <w:tc>
          <w:tcPr>
            <w:tcW w:w="580" w:type="dxa"/>
            <w:vAlign w:val="bottom"/>
            <w:tcBorders>
              <w:bottom w:val="single" w:sz="8" w:color="939598"/>
            </w:tcBorders>
          </w:tcPr>
          <w:p>
            <w:pPr>
              <w:spacing w:after="0"/>
              <w:rPr>
                <w:sz w:val="20"/>
                <w:szCs w:val="20"/>
                <w:color w:val="auto"/>
              </w:rPr>
            </w:pPr>
          </w:p>
        </w:tc>
        <w:tc>
          <w:tcPr>
            <w:tcW w:w="600" w:type="dxa"/>
            <w:vAlign w:val="bottom"/>
            <w:tcBorders>
              <w:bottom w:val="single" w:sz="8" w:color="939598"/>
            </w:tcBorders>
          </w:tcPr>
          <w:p>
            <w:pPr>
              <w:spacing w:after="0"/>
              <w:rPr>
                <w:sz w:val="20"/>
                <w:szCs w:val="20"/>
                <w:color w:val="auto"/>
              </w:rPr>
            </w:pPr>
          </w:p>
        </w:tc>
        <w:tc>
          <w:tcPr>
            <w:tcW w:w="600" w:type="dxa"/>
            <w:vAlign w:val="bottom"/>
            <w:tcBorders>
              <w:bottom w:val="single" w:sz="8" w:color="939598"/>
            </w:tcBorders>
          </w:tcPr>
          <w:p>
            <w:pPr>
              <w:spacing w:after="0"/>
              <w:rPr>
                <w:sz w:val="20"/>
                <w:szCs w:val="20"/>
                <w:color w:val="auto"/>
              </w:rPr>
            </w:pPr>
          </w:p>
        </w:tc>
        <w:tc>
          <w:tcPr>
            <w:tcW w:w="580" w:type="dxa"/>
            <w:vAlign w:val="bottom"/>
            <w:tcBorders>
              <w:bottom w:val="single" w:sz="8" w:color="939598"/>
            </w:tcBorders>
          </w:tcPr>
          <w:p>
            <w:pPr>
              <w:spacing w:after="0"/>
              <w:rPr>
                <w:sz w:val="20"/>
                <w:szCs w:val="20"/>
                <w:color w:val="auto"/>
              </w:rPr>
            </w:pPr>
          </w:p>
        </w:tc>
        <w:tc>
          <w:tcPr>
            <w:tcW w:w="540" w:type="dxa"/>
            <w:vAlign w:val="bottom"/>
            <w:tcBorders>
              <w:bottom w:val="single" w:sz="8" w:color="939598"/>
            </w:tcBorders>
          </w:tcPr>
          <w:p>
            <w:pPr>
              <w:spacing w:after="0"/>
              <w:rPr>
                <w:sz w:val="20"/>
                <w:szCs w:val="20"/>
                <w:color w:val="auto"/>
              </w:rPr>
            </w:pPr>
          </w:p>
        </w:tc>
        <w:tc>
          <w:tcPr>
            <w:tcW w:w="660" w:type="dxa"/>
            <w:vAlign w:val="bottom"/>
            <w:tcBorders>
              <w:bottom w:val="single" w:sz="8" w:color="939598"/>
            </w:tcBorders>
          </w:tcPr>
          <w:p>
            <w:pPr>
              <w:spacing w:after="0"/>
              <w:rPr>
                <w:sz w:val="20"/>
                <w:szCs w:val="20"/>
                <w:color w:val="auto"/>
              </w:rPr>
            </w:pPr>
          </w:p>
        </w:tc>
        <w:tc>
          <w:tcPr>
            <w:tcW w:w="600" w:type="dxa"/>
            <w:vAlign w:val="bottom"/>
            <w:tcBorders>
              <w:bottom w:val="single" w:sz="8" w:color="939598"/>
            </w:tcBorders>
          </w:tcPr>
          <w:p>
            <w:pPr>
              <w:spacing w:after="0"/>
              <w:rPr>
                <w:sz w:val="20"/>
                <w:szCs w:val="20"/>
                <w:color w:val="auto"/>
              </w:rPr>
            </w:pPr>
          </w:p>
        </w:tc>
        <w:tc>
          <w:tcPr>
            <w:tcW w:w="680" w:type="dxa"/>
            <w:vAlign w:val="bottom"/>
            <w:tcBorders>
              <w:bottom w:val="single" w:sz="8" w:color="939598"/>
            </w:tcBorders>
          </w:tcPr>
          <w:p>
            <w:pPr>
              <w:spacing w:after="0"/>
              <w:rPr>
                <w:sz w:val="20"/>
                <w:szCs w:val="20"/>
                <w:color w:val="auto"/>
              </w:rPr>
            </w:pPr>
          </w:p>
        </w:tc>
        <w:tc>
          <w:tcPr>
            <w:tcW w:w="500" w:type="dxa"/>
            <w:vAlign w:val="bottom"/>
            <w:tcBorders>
              <w:bottom w:val="single" w:sz="8" w:color="939598"/>
            </w:tcBorders>
          </w:tcPr>
          <w:p>
            <w:pPr>
              <w:spacing w:after="0"/>
              <w:rPr>
                <w:sz w:val="20"/>
                <w:szCs w:val="20"/>
                <w:color w:val="auto"/>
              </w:rPr>
            </w:pPr>
          </w:p>
        </w:tc>
        <w:tc>
          <w:tcPr>
            <w:tcW w:w="0" w:type="dxa"/>
            <w:vAlign w:val="bottom"/>
          </w:tcPr>
          <w:p>
            <w:pPr>
              <w:spacing w:after="0"/>
              <w:rPr>
                <w:sz w:val="1"/>
                <w:szCs w:val="1"/>
                <w:color w:val="auto"/>
              </w:rPr>
            </w:pPr>
          </w:p>
        </w:tc>
      </w:tr>
      <w:tr>
        <w:trPr>
          <w:trHeight w:val="513"/>
        </w:trPr>
        <w:tc>
          <w:tcPr>
            <w:tcW w:w="5060" w:type="dxa"/>
            <w:vAlign w:val="bottom"/>
          </w:tcPr>
          <w:p>
            <w:pPr>
              <w:ind w:left="760"/>
              <w:spacing w:after="0"/>
              <w:rPr>
                <w:sz w:val="20"/>
                <w:szCs w:val="20"/>
                <w:color w:val="auto"/>
              </w:rPr>
            </w:pPr>
            <w:r>
              <w:rPr>
                <w:rFonts w:ascii="Arial" w:cs="Arial" w:eastAsia="Arial" w:hAnsi="Arial"/>
                <w:sz w:val="16"/>
                <w:szCs w:val="16"/>
                <w:b w:val="1"/>
                <w:bCs w:val="1"/>
                <w:color w:val="auto"/>
              </w:rPr>
              <w:t>Cybersecurity, Information Systems</w:t>
            </w:r>
          </w:p>
        </w:tc>
        <w:tc>
          <w:tcPr>
            <w:tcW w:w="8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0" w:type="dxa"/>
            <w:vAlign w:val="bottom"/>
          </w:tcPr>
          <w:p>
            <w:pPr>
              <w:ind w:left="240"/>
              <w:spacing w:after="0"/>
              <w:rPr>
                <w:sz w:val="20"/>
                <w:szCs w:val="20"/>
                <w:color w:val="auto"/>
              </w:rPr>
            </w:pPr>
            <w:r>
              <w:rPr>
                <w:rFonts w:ascii="Wingdings" w:cs="Wingdings" w:eastAsia="Wingdings" w:hAnsi="Wingdings"/>
                <w:sz w:val="16"/>
                <w:szCs w:val="16"/>
                <w:b w:val="1"/>
                <w:bCs w:val="1"/>
                <w:color w:val="0067B3"/>
              </w:rPr>
              <w:t>l</w:t>
            </w:r>
          </w:p>
        </w:tc>
        <w:tc>
          <w:tcPr>
            <w:tcW w:w="580" w:type="dxa"/>
            <w:vAlign w:val="bottom"/>
          </w:tcPr>
          <w:p>
            <w:pPr>
              <w:ind w:left="240"/>
              <w:spacing w:after="0"/>
              <w:rPr>
                <w:sz w:val="20"/>
                <w:szCs w:val="20"/>
                <w:color w:val="auto"/>
              </w:rPr>
            </w:pPr>
            <w:r>
              <w:rPr>
                <w:rFonts w:ascii="Wingdings" w:cs="Wingdings" w:eastAsia="Wingdings" w:hAnsi="Wingdings"/>
                <w:sz w:val="16"/>
                <w:szCs w:val="16"/>
                <w:b w:val="1"/>
                <w:bCs w:val="1"/>
                <w:color w:val="0067B3"/>
              </w:rPr>
              <w:t>l</w:t>
            </w:r>
          </w:p>
        </w:tc>
        <w:tc>
          <w:tcPr>
            <w:tcW w:w="5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5060" w:type="dxa"/>
            <w:vAlign w:val="bottom"/>
            <w:tcBorders>
              <w:bottom w:val="single" w:sz="8" w:color="939598"/>
            </w:tcBorders>
          </w:tcPr>
          <w:p>
            <w:pPr>
              <w:spacing w:after="0"/>
              <w:rPr>
                <w:sz w:val="24"/>
                <w:szCs w:val="24"/>
                <w:color w:val="auto"/>
              </w:rPr>
            </w:pPr>
          </w:p>
        </w:tc>
        <w:tc>
          <w:tcPr>
            <w:tcW w:w="840" w:type="dxa"/>
            <w:vAlign w:val="bottom"/>
            <w:tcBorders>
              <w:bottom w:val="single" w:sz="8" w:color="939598"/>
            </w:tcBorders>
          </w:tcPr>
          <w:p>
            <w:pPr>
              <w:spacing w:after="0"/>
              <w:rPr>
                <w:sz w:val="24"/>
                <w:szCs w:val="24"/>
                <w:color w:val="auto"/>
              </w:rPr>
            </w:pPr>
          </w:p>
        </w:tc>
        <w:tc>
          <w:tcPr>
            <w:tcW w:w="580" w:type="dxa"/>
            <w:vAlign w:val="bottom"/>
            <w:tcBorders>
              <w:bottom w:val="single" w:sz="8" w:color="939598"/>
            </w:tcBorders>
          </w:tcPr>
          <w:p>
            <w:pPr>
              <w:spacing w:after="0"/>
              <w:rPr>
                <w:sz w:val="24"/>
                <w:szCs w:val="24"/>
                <w:color w:val="auto"/>
              </w:rPr>
            </w:pPr>
          </w:p>
        </w:tc>
        <w:tc>
          <w:tcPr>
            <w:tcW w:w="600" w:type="dxa"/>
            <w:vAlign w:val="bottom"/>
            <w:tcBorders>
              <w:bottom w:val="single" w:sz="8" w:color="939598"/>
            </w:tcBorders>
          </w:tcPr>
          <w:p>
            <w:pPr>
              <w:spacing w:after="0"/>
              <w:rPr>
                <w:sz w:val="24"/>
                <w:szCs w:val="24"/>
                <w:color w:val="auto"/>
              </w:rPr>
            </w:pPr>
          </w:p>
        </w:tc>
        <w:tc>
          <w:tcPr>
            <w:tcW w:w="600" w:type="dxa"/>
            <w:vAlign w:val="bottom"/>
            <w:tcBorders>
              <w:bottom w:val="single" w:sz="8" w:color="939598"/>
            </w:tcBorders>
          </w:tcPr>
          <w:p>
            <w:pPr>
              <w:spacing w:after="0"/>
              <w:rPr>
                <w:sz w:val="24"/>
                <w:szCs w:val="24"/>
                <w:color w:val="auto"/>
              </w:rPr>
            </w:pPr>
          </w:p>
        </w:tc>
        <w:tc>
          <w:tcPr>
            <w:tcW w:w="580" w:type="dxa"/>
            <w:vAlign w:val="bottom"/>
            <w:tcBorders>
              <w:bottom w:val="single" w:sz="8" w:color="939598"/>
            </w:tcBorders>
          </w:tcPr>
          <w:p>
            <w:pPr>
              <w:spacing w:after="0"/>
              <w:rPr>
                <w:sz w:val="24"/>
                <w:szCs w:val="24"/>
                <w:color w:val="auto"/>
              </w:rPr>
            </w:pPr>
          </w:p>
        </w:tc>
        <w:tc>
          <w:tcPr>
            <w:tcW w:w="540" w:type="dxa"/>
            <w:vAlign w:val="bottom"/>
            <w:tcBorders>
              <w:bottom w:val="single" w:sz="8" w:color="939598"/>
            </w:tcBorders>
          </w:tcPr>
          <w:p>
            <w:pPr>
              <w:spacing w:after="0"/>
              <w:rPr>
                <w:sz w:val="24"/>
                <w:szCs w:val="24"/>
                <w:color w:val="auto"/>
              </w:rPr>
            </w:pPr>
          </w:p>
        </w:tc>
        <w:tc>
          <w:tcPr>
            <w:tcW w:w="660" w:type="dxa"/>
            <w:vAlign w:val="bottom"/>
            <w:tcBorders>
              <w:bottom w:val="single" w:sz="8" w:color="939598"/>
            </w:tcBorders>
          </w:tcPr>
          <w:p>
            <w:pPr>
              <w:spacing w:after="0"/>
              <w:rPr>
                <w:sz w:val="24"/>
                <w:szCs w:val="24"/>
                <w:color w:val="auto"/>
              </w:rPr>
            </w:pPr>
          </w:p>
        </w:tc>
        <w:tc>
          <w:tcPr>
            <w:tcW w:w="600" w:type="dxa"/>
            <w:vAlign w:val="bottom"/>
            <w:tcBorders>
              <w:bottom w:val="single" w:sz="8" w:color="939598"/>
            </w:tcBorders>
          </w:tcPr>
          <w:p>
            <w:pPr>
              <w:spacing w:after="0"/>
              <w:rPr>
                <w:sz w:val="24"/>
                <w:szCs w:val="24"/>
                <w:color w:val="auto"/>
              </w:rPr>
            </w:pPr>
          </w:p>
        </w:tc>
        <w:tc>
          <w:tcPr>
            <w:tcW w:w="680" w:type="dxa"/>
            <w:vAlign w:val="bottom"/>
            <w:tcBorders>
              <w:bottom w:val="single" w:sz="8" w:color="939598"/>
            </w:tcBorders>
          </w:tcPr>
          <w:p>
            <w:pPr>
              <w:spacing w:after="0"/>
              <w:rPr>
                <w:sz w:val="24"/>
                <w:szCs w:val="24"/>
                <w:color w:val="auto"/>
              </w:rPr>
            </w:pPr>
          </w:p>
        </w:tc>
        <w:tc>
          <w:tcPr>
            <w:tcW w:w="500" w:type="dxa"/>
            <w:vAlign w:val="bottom"/>
            <w:tcBorders>
              <w:bottom w:val="single" w:sz="8" w:color="939598"/>
            </w:tcBorders>
          </w:tcPr>
          <w:p>
            <w:pPr>
              <w:spacing w:after="0"/>
              <w:rPr>
                <w:sz w:val="24"/>
                <w:szCs w:val="24"/>
                <w:color w:val="auto"/>
              </w:rPr>
            </w:pPr>
          </w:p>
        </w:tc>
        <w:tc>
          <w:tcPr>
            <w:tcW w:w="0" w:type="dxa"/>
            <w:vAlign w:val="bottom"/>
          </w:tcPr>
          <w:p>
            <w:pPr>
              <w:spacing w:after="0"/>
              <w:rPr>
                <w:sz w:val="1"/>
                <w:szCs w:val="1"/>
                <w:color w:val="auto"/>
              </w:rPr>
            </w:pPr>
          </w:p>
        </w:tc>
      </w:tr>
      <w:tr>
        <w:trPr>
          <w:trHeight w:val="513"/>
        </w:trPr>
        <w:tc>
          <w:tcPr>
            <w:tcW w:w="5060" w:type="dxa"/>
            <w:vAlign w:val="bottom"/>
          </w:tcPr>
          <w:p>
            <w:pPr>
              <w:ind w:left="760"/>
              <w:spacing w:after="0"/>
              <w:rPr>
                <w:sz w:val="20"/>
                <w:szCs w:val="20"/>
                <w:color w:val="auto"/>
              </w:rPr>
            </w:pPr>
            <w:r>
              <w:rPr>
                <w:rFonts w:ascii="Arial" w:cs="Arial" w:eastAsia="Arial" w:hAnsi="Arial"/>
                <w:sz w:val="16"/>
                <w:szCs w:val="16"/>
                <w:b w:val="1"/>
                <w:bCs w:val="1"/>
                <w:color w:val="auto"/>
              </w:rPr>
              <w:t>Mergers and Acquisitions</w:t>
            </w:r>
          </w:p>
        </w:tc>
        <w:tc>
          <w:tcPr>
            <w:tcW w:w="840" w:type="dxa"/>
            <w:vAlign w:val="bottom"/>
          </w:tcPr>
          <w:p>
            <w:pPr>
              <w:ind w:left="480"/>
              <w:spacing w:after="0"/>
              <w:rPr>
                <w:sz w:val="20"/>
                <w:szCs w:val="20"/>
                <w:color w:val="auto"/>
              </w:rPr>
            </w:pPr>
            <w:r>
              <w:rPr>
                <w:rFonts w:ascii="Wingdings" w:cs="Wingdings" w:eastAsia="Wingdings" w:hAnsi="Wingdings"/>
                <w:sz w:val="16"/>
                <w:szCs w:val="16"/>
                <w:b w:val="1"/>
                <w:bCs w:val="1"/>
                <w:color w:val="0067B3"/>
              </w:rPr>
              <w:t>l</w:t>
            </w:r>
          </w:p>
        </w:tc>
        <w:tc>
          <w:tcPr>
            <w:tcW w:w="580" w:type="dxa"/>
            <w:vAlign w:val="bottom"/>
          </w:tcPr>
          <w:p>
            <w:pPr>
              <w:ind w:left="240"/>
              <w:spacing w:after="0"/>
              <w:rPr>
                <w:sz w:val="20"/>
                <w:szCs w:val="20"/>
                <w:color w:val="auto"/>
              </w:rPr>
            </w:pPr>
            <w:r>
              <w:rPr>
                <w:rFonts w:ascii="Wingdings" w:cs="Wingdings" w:eastAsia="Wingdings" w:hAnsi="Wingdings"/>
                <w:sz w:val="16"/>
                <w:szCs w:val="16"/>
                <w:b w:val="1"/>
                <w:bCs w:val="1"/>
                <w:color w:val="0067B3"/>
              </w:rPr>
              <w:t>l</w:t>
            </w:r>
          </w:p>
        </w:tc>
        <w:tc>
          <w:tcPr>
            <w:tcW w:w="600" w:type="dxa"/>
            <w:vAlign w:val="bottom"/>
          </w:tcPr>
          <w:p>
            <w:pPr>
              <w:ind w:left="240"/>
              <w:spacing w:after="0"/>
              <w:rPr>
                <w:sz w:val="20"/>
                <w:szCs w:val="20"/>
                <w:color w:val="auto"/>
              </w:rPr>
            </w:pPr>
            <w:r>
              <w:rPr>
                <w:rFonts w:ascii="Wingdings" w:cs="Wingdings" w:eastAsia="Wingdings" w:hAnsi="Wingdings"/>
                <w:sz w:val="16"/>
                <w:szCs w:val="16"/>
                <w:b w:val="1"/>
                <w:bCs w:val="1"/>
                <w:color w:val="0067B3"/>
              </w:rPr>
              <w:t>l</w:t>
            </w:r>
          </w:p>
        </w:tc>
        <w:tc>
          <w:tcPr>
            <w:tcW w:w="600" w:type="dxa"/>
            <w:vAlign w:val="bottom"/>
          </w:tcPr>
          <w:p>
            <w:pPr>
              <w:ind w:left="240"/>
              <w:spacing w:after="0"/>
              <w:rPr>
                <w:sz w:val="20"/>
                <w:szCs w:val="20"/>
                <w:color w:val="auto"/>
              </w:rPr>
            </w:pPr>
            <w:r>
              <w:rPr>
                <w:rFonts w:ascii="Wingdings" w:cs="Wingdings" w:eastAsia="Wingdings" w:hAnsi="Wingdings"/>
                <w:sz w:val="16"/>
                <w:szCs w:val="16"/>
                <w:b w:val="1"/>
                <w:bCs w:val="1"/>
                <w:color w:val="0067B3"/>
              </w:rPr>
              <w:t>l</w:t>
            </w:r>
          </w:p>
        </w:tc>
        <w:tc>
          <w:tcPr>
            <w:tcW w:w="5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60" w:type="dxa"/>
            <w:vAlign w:val="bottom"/>
          </w:tcPr>
          <w:p>
            <w:pPr>
              <w:ind w:left="300"/>
              <w:spacing w:after="0"/>
              <w:rPr>
                <w:sz w:val="20"/>
                <w:szCs w:val="20"/>
                <w:color w:val="auto"/>
              </w:rPr>
            </w:pPr>
            <w:r>
              <w:rPr>
                <w:rFonts w:ascii="Wingdings" w:cs="Wingdings" w:eastAsia="Wingdings" w:hAnsi="Wingdings"/>
                <w:sz w:val="16"/>
                <w:szCs w:val="16"/>
                <w:b w:val="1"/>
                <w:bCs w:val="1"/>
                <w:color w:val="0067B3"/>
              </w:rPr>
              <w:t>l</w:t>
            </w:r>
          </w:p>
        </w:tc>
        <w:tc>
          <w:tcPr>
            <w:tcW w:w="6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1"/>
        </w:trPr>
        <w:tc>
          <w:tcPr>
            <w:tcW w:w="5060" w:type="dxa"/>
            <w:vAlign w:val="bottom"/>
            <w:tcBorders>
              <w:bottom w:val="single" w:sz="8" w:color="939598"/>
            </w:tcBorders>
          </w:tcPr>
          <w:p>
            <w:pPr>
              <w:spacing w:after="0"/>
              <w:rPr>
                <w:sz w:val="24"/>
                <w:szCs w:val="24"/>
                <w:color w:val="auto"/>
              </w:rPr>
            </w:pPr>
          </w:p>
        </w:tc>
        <w:tc>
          <w:tcPr>
            <w:tcW w:w="840" w:type="dxa"/>
            <w:vAlign w:val="bottom"/>
            <w:tcBorders>
              <w:bottom w:val="single" w:sz="8" w:color="939598"/>
            </w:tcBorders>
          </w:tcPr>
          <w:p>
            <w:pPr>
              <w:spacing w:after="0"/>
              <w:rPr>
                <w:sz w:val="24"/>
                <w:szCs w:val="24"/>
                <w:color w:val="auto"/>
              </w:rPr>
            </w:pPr>
          </w:p>
        </w:tc>
        <w:tc>
          <w:tcPr>
            <w:tcW w:w="580" w:type="dxa"/>
            <w:vAlign w:val="bottom"/>
            <w:tcBorders>
              <w:bottom w:val="single" w:sz="8" w:color="939598"/>
            </w:tcBorders>
          </w:tcPr>
          <w:p>
            <w:pPr>
              <w:spacing w:after="0"/>
              <w:rPr>
                <w:sz w:val="24"/>
                <w:szCs w:val="24"/>
                <w:color w:val="auto"/>
              </w:rPr>
            </w:pPr>
          </w:p>
        </w:tc>
        <w:tc>
          <w:tcPr>
            <w:tcW w:w="600" w:type="dxa"/>
            <w:vAlign w:val="bottom"/>
            <w:tcBorders>
              <w:bottom w:val="single" w:sz="8" w:color="939598"/>
            </w:tcBorders>
          </w:tcPr>
          <w:p>
            <w:pPr>
              <w:spacing w:after="0"/>
              <w:rPr>
                <w:sz w:val="24"/>
                <w:szCs w:val="24"/>
                <w:color w:val="auto"/>
              </w:rPr>
            </w:pPr>
          </w:p>
        </w:tc>
        <w:tc>
          <w:tcPr>
            <w:tcW w:w="600" w:type="dxa"/>
            <w:vAlign w:val="bottom"/>
            <w:tcBorders>
              <w:bottom w:val="single" w:sz="8" w:color="939598"/>
            </w:tcBorders>
          </w:tcPr>
          <w:p>
            <w:pPr>
              <w:spacing w:after="0"/>
              <w:rPr>
                <w:sz w:val="24"/>
                <w:szCs w:val="24"/>
                <w:color w:val="auto"/>
              </w:rPr>
            </w:pPr>
          </w:p>
        </w:tc>
        <w:tc>
          <w:tcPr>
            <w:tcW w:w="580" w:type="dxa"/>
            <w:vAlign w:val="bottom"/>
            <w:tcBorders>
              <w:bottom w:val="single" w:sz="8" w:color="939598"/>
            </w:tcBorders>
          </w:tcPr>
          <w:p>
            <w:pPr>
              <w:spacing w:after="0"/>
              <w:rPr>
                <w:sz w:val="24"/>
                <w:szCs w:val="24"/>
                <w:color w:val="auto"/>
              </w:rPr>
            </w:pPr>
          </w:p>
        </w:tc>
        <w:tc>
          <w:tcPr>
            <w:tcW w:w="540" w:type="dxa"/>
            <w:vAlign w:val="bottom"/>
            <w:tcBorders>
              <w:bottom w:val="single" w:sz="8" w:color="939598"/>
            </w:tcBorders>
          </w:tcPr>
          <w:p>
            <w:pPr>
              <w:spacing w:after="0"/>
              <w:rPr>
                <w:sz w:val="24"/>
                <w:szCs w:val="24"/>
                <w:color w:val="auto"/>
              </w:rPr>
            </w:pPr>
          </w:p>
        </w:tc>
        <w:tc>
          <w:tcPr>
            <w:tcW w:w="660" w:type="dxa"/>
            <w:vAlign w:val="bottom"/>
            <w:tcBorders>
              <w:bottom w:val="single" w:sz="8" w:color="939598"/>
            </w:tcBorders>
          </w:tcPr>
          <w:p>
            <w:pPr>
              <w:spacing w:after="0"/>
              <w:rPr>
                <w:sz w:val="24"/>
                <w:szCs w:val="24"/>
                <w:color w:val="auto"/>
              </w:rPr>
            </w:pPr>
          </w:p>
        </w:tc>
        <w:tc>
          <w:tcPr>
            <w:tcW w:w="600" w:type="dxa"/>
            <w:vAlign w:val="bottom"/>
            <w:tcBorders>
              <w:bottom w:val="single" w:sz="8" w:color="939598"/>
            </w:tcBorders>
          </w:tcPr>
          <w:p>
            <w:pPr>
              <w:spacing w:after="0"/>
              <w:rPr>
                <w:sz w:val="24"/>
                <w:szCs w:val="24"/>
                <w:color w:val="auto"/>
              </w:rPr>
            </w:pPr>
          </w:p>
        </w:tc>
        <w:tc>
          <w:tcPr>
            <w:tcW w:w="680" w:type="dxa"/>
            <w:vAlign w:val="bottom"/>
            <w:tcBorders>
              <w:bottom w:val="single" w:sz="8" w:color="939598"/>
            </w:tcBorders>
          </w:tcPr>
          <w:p>
            <w:pPr>
              <w:spacing w:after="0"/>
              <w:rPr>
                <w:sz w:val="24"/>
                <w:szCs w:val="24"/>
                <w:color w:val="auto"/>
              </w:rPr>
            </w:pPr>
          </w:p>
        </w:tc>
        <w:tc>
          <w:tcPr>
            <w:tcW w:w="500" w:type="dxa"/>
            <w:vAlign w:val="bottom"/>
            <w:tcBorders>
              <w:bottom w:val="single" w:sz="8" w:color="939598"/>
            </w:tcBorders>
          </w:tcPr>
          <w:p>
            <w:pPr>
              <w:spacing w:after="0"/>
              <w:rPr>
                <w:sz w:val="24"/>
                <w:szCs w:val="24"/>
                <w:color w:val="auto"/>
              </w:rPr>
            </w:pPr>
          </w:p>
        </w:tc>
        <w:tc>
          <w:tcPr>
            <w:tcW w:w="0" w:type="dxa"/>
            <w:vAlign w:val="bottom"/>
          </w:tcPr>
          <w:p>
            <w:pPr>
              <w:spacing w:after="0"/>
              <w:rPr>
                <w:sz w:val="1"/>
                <w:szCs w:val="1"/>
                <w:color w:val="auto"/>
              </w:rPr>
            </w:pPr>
          </w:p>
        </w:tc>
      </w:tr>
      <w:tr>
        <w:trPr>
          <w:trHeight w:val="290"/>
        </w:trPr>
        <w:tc>
          <w:tcPr>
            <w:tcW w:w="5060" w:type="dxa"/>
            <w:vAlign w:val="bottom"/>
          </w:tcPr>
          <w:p>
            <w:pPr>
              <w:ind w:left="760"/>
              <w:spacing w:after="0"/>
              <w:rPr>
                <w:sz w:val="20"/>
                <w:szCs w:val="20"/>
                <w:color w:val="auto"/>
              </w:rPr>
            </w:pPr>
            <w:r>
              <w:rPr>
                <w:rFonts w:ascii="Arial" w:cs="Arial" w:eastAsia="Arial" w:hAnsi="Arial"/>
                <w:sz w:val="16"/>
                <w:szCs w:val="16"/>
                <w:b w:val="1"/>
                <w:bCs w:val="1"/>
                <w:color w:val="auto"/>
              </w:rPr>
              <w:t>Sustainability, Human Capital, Human Rights, and</w:t>
            </w:r>
          </w:p>
        </w:tc>
        <w:tc>
          <w:tcPr>
            <w:tcW w:w="840" w:type="dxa"/>
            <w:vAlign w:val="bottom"/>
            <w:vMerge w:val="restart"/>
          </w:tcPr>
          <w:p>
            <w:pPr>
              <w:ind w:left="480"/>
              <w:spacing w:after="0"/>
              <w:rPr>
                <w:sz w:val="20"/>
                <w:szCs w:val="20"/>
                <w:color w:val="auto"/>
              </w:rPr>
            </w:pPr>
            <w:r>
              <w:rPr>
                <w:rFonts w:ascii="Wingdings" w:cs="Wingdings" w:eastAsia="Wingdings" w:hAnsi="Wingdings"/>
                <w:sz w:val="16"/>
                <w:szCs w:val="16"/>
                <w:b w:val="1"/>
                <w:bCs w:val="1"/>
                <w:color w:val="0067B3"/>
              </w:rPr>
              <w:t>l</w:t>
            </w:r>
          </w:p>
        </w:tc>
        <w:tc>
          <w:tcPr>
            <w:tcW w:w="580" w:type="dxa"/>
            <w:vAlign w:val="bottom"/>
            <w:vMerge w:val="restart"/>
          </w:tcPr>
          <w:p>
            <w:pPr>
              <w:ind w:left="240"/>
              <w:spacing w:after="0"/>
              <w:rPr>
                <w:sz w:val="20"/>
                <w:szCs w:val="20"/>
                <w:color w:val="auto"/>
              </w:rPr>
            </w:pPr>
            <w:r>
              <w:rPr>
                <w:rFonts w:ascii="Wingdings" w:cs="Wingdings" w:eastAsia="Wingdings" w:hAnsi="Wingdings"/>
                <w:sz w:val="16"/>
                <w:szCs w:val="16"/>
                <w:b w:val="1"/>
                <w:bCs w:val="1"/>
                <w:color w:val="0067B3"/>
              </w:rPr>
              <w:t>l</w:t>
            </w:r>
          </w:p>
        </w:tc>
        <w:tc>
          <w:tcPr>
            <w:tcW w:w="600" w:type="dxa"/>
            <w:vAlign w:val="bottom"/>
            <w:vMerge w:val="restart"/>
          </w:tcPr>
          <w:p>
            <w:pPr>
              <w:ind w:left="240"/>
              <w:spacing w:after="0"/>
              <w:rPr>
                <w:sz w:val="20"/>
                <w:szCs w:val="20"/>
                <w:color w:val="auto"/>
              </w:rPr>
            </w:pPr>
            <w:r>
              <w:rPr>
                <w:rFonts w:ascii="Wingdings" w:cs="Wingdings" w:eastAsia="Wingdings" w:hAnsi="Wingdings"/>
                <w:sz w:val="16"/>
                <w:szCs w:val="16"/>
                <w:b w:val="1"/>
                <w:bCs w:val="1"/>
                <w:color w:val="0067B3"/>
              </w:rPr>
              <w:t>l</w:t>
            </w:r>
          </w:p>
        </w:tc>
        <w:tc>
          <w:tcPr>
            <w:tcW w:w="600" w:type="dxa"/>
            <w:vAlign w:val="bottom"/>
          </w:tcPr>
          <w:p>
            <w:pPr>
              <w:spacing w:after="0"/>
              <w:rPr>
                <w:sz w:val="24"/>
                <w:szCs w:val="24"/>
                <w:color w:val="auto"/>
              </w:rPr>
            </w:pPr>
          </w:p>
        </w:tc>
        <w:tc>
          <w:tcPr>
            <w:tcW w:w="580" w:type="dxa"/>
            <w:vAlign w:val="bottom"/>
            <w:vMerge w:val="restart"/>
          </w:tcPr>
          <w:p>
            <w:pPr>
              <w:ind w:left="240"/>
              <w:spacing w:after="0"/>
              <w:rPr>
                <w:sz w:val="20"/>
                <w:szCs w:val="20"/>
                <w:color w:val="auto"/>
              </w:rPr>
            </w:pPr>
            <w:r>
              <w:rPr>
                <w:rFonts w:ascii="Wingdings" w:cs="Wingdings" w:eastAsia="Wingdings" w:hAnsi="Wingdings"/>
                <w:sz w:val="16"/>
                <w:szCs w:val="16"/>
                <w:b w:val="1"/>
                <w:bCs w:val="1"/>
                <w:color w:val="0067B3"/>
              </w:rPr>
              <w:t>l</w:t>
            </w:r>
          </w:p>
        </w:tc>
        <w:tc>
          <w:tcPr>
            <w:tcW w:w="540" w:type="dxa"/>
            <w:vAlign w:val="bottom"/>
            <w:vMerge w:val="restart"/>
          </w:tcPr>
          <w:p>
            <w:pPr>
              <w:ind w:left="240"/>
              <w:spacing w:after="0"/>
              <w:rPr>
                <w:sz w:val="20"/>
                <w:szCs w:val="20"/>
                <w:color w:val="auto"/>
              </w:rPr>
            </w:pPr>
            <w:r>
              <w:rPr>
                <w:rFonts w:ascii="Wingdings" w:cs="Wingdings" w:eastAsia="Wingdings" w:hAnsi="Wingdings"/>
                <w:sz w:val="16"/>
                <w:szCs w:val="16"/>
                <w:b w:val="1"/>
                <w:bCs w:val="1"/>
                <w:color w:val="0067B3"/>
              </w:rPr>
              <w:t>l</w:t>
            </w:r>
          </w:p>
        </w:tc>
        <w:tc>
          <w:tcPr>
            <w:tcW w:w="6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00" w:type="dxa"/>
            <w:vAlign w:val="bottom"/>
            <w:vMerge w:val="restart"/>
          </w:tcPr>
          <w:p>
            <w:pPr>
              <w:ind w:left="140"/>
              <w:spacing w:after="0"/>
              <w:rPr>
                <w:sz w:val="20"/>
                <w:szCs w:val="20"/>
                <w:color w:val="auto"/>
              </w:rPr>
            </w:pPr>
            <w:r>
              <w:rPr>
                <w:rFonts w:ascii="Wingdings" w:cs="Wingdings" w:eastAsia="Wingdings" w:hAnsi="Wingdings"/>
                <w:sz w:val="16"/>
                <w:szCs w:val="16"/>
                <w:b w:val="1"/>
                <w:bCs w:val="1"/>
                <w:color w:val="0067B3"/>
              </w:rPr>
              <w:t>l</w:t>
            </w:r>
          </w:p>
        </w:tc>
        <w:tc>
          <w:tcPr>
            <w:tcW w:w="0" w:type="dxa"/>
            <w:vAlign w:val="bottom"/>
          </w:tcPr>
          <w:p>
            <w:pPr>
              <w:spacing w:after="0"/>
              <w:rPr>
                <w:sz w:val="1"/>
                <w:szCs w:val="1"/>
                <w:color w:val="auto"/>
              </w:rPr>
            </w:pPr>
          </w:p>
        </w:tc>
      </w:tr>
      <w:tr>
        <w:trPr>
          <w:trHeight w:val="89"/>
        </w:trPr>
        <w:tc>
          <w:tcPr>
            <w:tcW w:w="5060" w:type="dxa"/>
            <w:vAlign w:val="bottom"/>
            <w:vMerge w:val="restart"/>
          </w:tcPr>
          <w:p>
            <w:pPr>
              <w:ind w:left="760"/>
              <w:spacing w:after="0"/>
              <w:rPr>
                <w:sz w:val="20"/>
                <w:szCs w:val="20"/>
                <w:color w:val="auto"/>
              </w:rPr>
            </w:pPr>
            <w:r>
              <w:rPr>
                <w:rFonts w:ascii="Arial" w:cs="Arial" w:eastAsia="Arial" w:hAnsi="Arial"/>
                <w:sz w:val="16"/>
                <w:szCs w:val="16"/>
                <w:b w:val="1"/>
                <w:bCs w:val="1"/>
                <w:color w:val="auto"/>
              </w:rPr>
              <w:t>Diversity</w:t>
            </w:r>
          </w:p>
        </w:tc>
        <w:tc>
          <w:tcPr>
            <w:tcW w:w="840" w:type="dxa"/>
            <w:vAlign w:val="bottom"/>
            <w:vMerge w:val="continue"/>
          </w:tcPr>
          <w:p>
            <w:pPr>
              <w:spacing w:after="0"/>
              <w:rPr>
                <w:sz w:val="7"/>
                <w:szCs w:val="7"/>
                <w:color w:val="auto"/>
              </w:rPr>
            </w:pPr>
          </w:p>
        </w:tc>
        <w:tc>
          <w:tcPr>
            <w:tcW w:w="580" w:type="dxa"/>
            <w:vAlign w:val="bottom"/>
            <w:vMerge w:val="continue"/>
          </w:tcPr>
          <w:p>
            <w:pPr>
              <w:spacing w:after="0"/>
              <w:rPr>
                <w:sz w:val="7"/>
                <w:szCs w:val="7"/>
                <w:color w:val="auto"/>
              </w:rPr>
            </w:pPr>
          </w:p>
        </w:tc>
        <w:tc>
          <w:tcPr>
            <w:tcW w:w="600" w:type="dxa"/>
            <w:vAlign w:val="bottom"/>
            <w:vMerge w:val="continue"/>
          </w:tcPr>
          <w:p>
            <w:pPr>
              <w:spacing w:after="0"/>
              <w:rPr>
                <w:sz w:val="7"/>
                <w:szCs w:val="7"/>
                <w:color w:val="auto"/>
              </w:rPr>
            </w:pPr>
          </w:p>
        </w:tc>
        <w:tc>
          <w:tcPr>
            <w:tcW w:w="600" w:type="dxa"/>
            <w:vAlign w:val="bottom"/>
          </w:tcPr>
          <w:p>
            <w:pPr>
              <w:spacing w:after="0"/>
              <w:rPr>
                <w:sz w:val="7"/>
                <w:szCs w:val="7"/>
                <w:color w:val="auto"/>
              </w:rPr>
            </w:pPr>
          </w:p>
        </w:tc>
        <w:tc>
          <w:tcPr>
            <w:tcW w:w="580" w:type="dxa"/>
            <w:vAlign w:val="bottom"/>
            <w:vMerge w:val="continue"/>
          </w:tcPr>
          <w:p>
            <w:pPr>
              <w:spacing w:after="0"/>
              <w:rPr>
                <w:sz w:val="7"/>
                <w:szCs w:val="7"/>
                <w:color w:val="auto"/>
              </w:rPr>
            </w:pPr>
          </w:p>
        </w:tc>
        <w:tc>
          <w:tcPr>
            <w:tcW w:w="540" w:type="dxa"/>
            <w:vAlign w:val="bottom"/>
            <w:vMerge w:val="continue"/>
          </w:tcPr>
          <w:p>
            <w:pPr>
              <w:spacing w:after="0"/>
              <w:rPr>
                <w:sz w:val="7"/>
                <w:szCs w:val="7"/>
                <w:color w:val="auto"/>
              </w:rPr>
            </w:pPr>
          </w:p>
        </w:tc>
        <w:tc>
          <w:tcPr>
            <w:tcW w:w="660" w:type="dxa"/>
            <w:vAlign w:val="bottom"/>
          </w:tcPr>
          <w:p>
            <w:pPr>
              <w:spacing w:after="0"/>
              <w:rPr>
                <w:sz w:val="7"/>
                <w:szCs w:val="7"/>
                <w:color w:val="auto"/>
              </w:rPr>
            </w:pPr>
          </w:p>
        </w:tc>
        <w:tc>
          <w:tcPr>
            <w:tcW w:w="600" w:type="dxa"/>
            <w:vAlign w:val="bottom"/>
          </w:tcPr>
          <w:p>
            <w:pPr>
              <w:spacing w:after="0"/>
              <w:rPr>
                <w:sz w:val="7"/>
                <w:szCs w:val="7"/>
                <w:color w:val="auto"/>
              </w:rPr>
            </w:pPr>
          </w:p>
        </w:tc>
        <w:tc>
          <w:tcPr>
            <w:tcW w:w="680" w:type="dxa"/>
            <w:vAlign w:val="bottom"/>
          </w:tcPr>
          <w:p>
            <w:pPr>
              <w:spacing w:after="0"/>
              <w:rPr>
                <w:sz w:val="7"/>
                <w:szCs w:val="7"/>
                <w:color w:val="auto"/>
              </w:rPr>
            </w:pPr>
          </w:p>
        </w:tc>
        <w:tc>
          <w:tcPr>
            <w:tcW w:w="5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34"/>
        </w:trPr>
        <w:tc>
          <w:tcPr>
            <w:tcW w:w="5060" w:type="dxa"/>
            <w:vAlign w:val="bottom"/>
            <w:vMerge w:val="continue"/>
          </w:tcPr>
          <w:p>
            <w:pPr>
              <w:spacing w:after="0"/>
              <w:rPr>
                <w:sz w:val="11"/>
                <w:szCs w:val="11"/>
                <w:color w:val="auto"/>
              </w:rPr>
            </w:pPr>
          </w:p>
        </w:tc>
        <w:tc>
          <w:tcPr>
            <w:tcW w:w="8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9"/>
        </w:trPr>
        <w:tc>
          <w:tcPr>
            <w:tcW w:w="5060" w:type="dxa"/>
            <w:vAlign w:val="bottom"/>
            <w:tcBorders>
              <w:bottom w:val="single" w:sz="8" w:color="0067B3"/>
            </w:tcBorders>
          </w:tcPr>
          <w:p>
            <w:pPr>
              <w:spacing w:after="0"/>
              <w:rPr>
                <w:sz w:val="7"/>
                <w:szCs w:val="7"/>
                <w:color w:val="auto"/>
              </w:rPr>
            </w:pPr>
          </w:p>
        </w:tc>
        <w:tc>
          <w:tcPr>
            <w:tcW w:w="840" w:type="dxa"/>
            <w:vAlign w:val="bottom"/>
            <w:tcBorders>
              <w:bottom w:val="single" w:sz="8" w:color="0067B3"/>
            </w:tcBorders>
          </w:tcPr>
          <w:p>
            <w:pPr>
              <w:spacing w:after="0"/>
              <w:rPr>
                <w:sz w:val="7"/>
                <w:szCs w:val="7"/>
                <w:color w:val="auto"/>
              </w:rPr>
            </w:pPr>
          </w:p>
        </w:tc>
        <w:tc>
          <w:tcPr>
            <w:tcW w:w="580" w:type="dxa"/>
            <w:vAlign w:val="bottom"/>
            <w:tcBorders>
              <w:bottom w:val="single" w:sz="8" w:color="0067B3"/>
            </w:tcBorders>
          </w:tcPr>
          <w:p>
            <w:pPr>
              <w:spacing w:after="0"/>
              <w:rPr>
                <w:sz w:val="7"/>
                <w:szCs w:val="7"/>
                <w:color w:val="auto"/>
              </w:rPr>
            </w:pPr>
          </w:p>
        </w:tc>
        <w:tc>
          <w:tcPr>
            <w:tcW w:w="600" w:type="dxa"/>
            <w:vAlign w:val="bottom"/>
            <w:tcBorders>
              <w:bottom w:val="single" w:sz="8" w:color="0067B3"/>
            </w:tcBorders>
          </w:tcPr>
          <w:p>
            <w:pPr>
              <w:spacing w:after="0"/>
              <w:rPr>
                <w:sz w:val="7"/>
                <w:szCs w:val="7"/>
                <w:color w:val="auto"/>
              </w:rPr>
            </w:pPr>
          </w:p>
        </w:tc>
        <w:tc>
          <w:tcPr>
            <w:tcW w:w="600" w:type="dxa"/>
            <w:vAlign w:val="bottom"/>
            <w:tcBorders>
              <w:bottom w:val="single" w:sz="8" w:color="0067B3"/>
            </w:tcBorders>
          </w:tcPr>
          <w:p>
            <w:pPr>
              <w:spacing w:after="0"/>
              <w:rPr>
                <w:sz w:val="7"/>
                <w:szCs w:val="7"/>
                <w:color w:val="auto"/>
              </w:rPr>
            </w:pPr>
          </w:p>
        </w:tc>
        <w:tc>
          <w:tcPr>
            <w:tcW w:w="580" w:type="dxa"/>
            <w:vAlign w:val="bottom"/>
            <w:tcBorders>
              <w:bottom w:val="single" w:sz="8" w:color="0067B3"/>
            </w:tcBorders>
          </w:tcPr>
          <w:p>
            <w:pPr>
              <w:spacing w:after="0"/>
              <w:rPr>
                <w:sz w:val="7"/>
                <w:szCs w:val="7"/>
                <w:color w:val="auto"/>
              </w:rPr>
            </w:pPr>
          </w:p>
        </w:tc>
        <w:tc>
          <w:tcPr>
            <w:tcW w:w="540" w:type="dxa"/>
            <w:vAlign w:val="bottom"/>
            <w:tcBorders>
              <w:bottom w:val="single" w:sz="8" w:color="0067B3"/>
            </w:tcBorders>
          </w:tcPr>
          <w:p>
            <w:pPr>
              <w:spacing w:after="0"/>
              <w:rPr>
                <w:sz w:val="7"/>
                <w:szCs w:val="7"/>
                <w:color w:val="auto"/>
              </w:rPr>
            </w:pPr>
          </w:p>
        </w:tc>
        <w:tc>
          <w:tcPr>
            <w:tcW w:w="1940" w:type="dxa"/>
            <w:vAlign w:val="bottom"/>
            <w:tcBorders>
              <w:bottom w:val="single" w:sz="8" w:color="0067B3"/>
            </w:tcBorders>
            <w:gridSpan w:val="3"/>
          </w:tcPr>
          <w:p>
            <w:pPr>
              <w:spacing w:after="0"/>
              <w:rPr>
                <w:sz w:val="7"/>
                <w:szCs w:val="7"/>
                <w:color w:val="auto"/>
              </w:rPr>
            </w:pPr>
          </w:p>
        </w:tc>
        <w:tc>
          <w:tcPr>
            <w:tcW w:w="500" w:type="dxa"/>
            <w:vAlign w:val="bottom"/>
            <w:tcBorders>
              <w:bottom w:val="single" w:sz="8" w:color="0067B3"/>
            </w:tcBorders>
          </w:tcPr>
          <w:p>
            <w:pPr>
              <w:spacing w:after="0"/>
              <w:rPr>
                <w:sz w:val="7"/>
                <w:szCs w:val="7"/>
                <w:color w:val="auto"/>
              </w:rPr>
            </w:pPr>
          </w:p>
        </w:tc>
        <w:tc>
          <w:tcPr>
            <w:tcW w:w="0" w:type="dxa"/>
            <w:vAlign w:val="bottom"/>
          </w:tcPr>
          <w:p>
            <w:pPr>
              <w:spacing w:after="0"/>
              <w:rPr>
                <w:sz w:val="1"/>
                <w:szCs w:val="1"/>
                <w:color w:val="auto"/>
              </w:rPr>
            </w:pPr>
          </w:p>
        </w:tc>
      </w:tr>
      <w:tr>
        <w:trPr>
          <w:trHeight w:val="823"/>
        </w:trPr>
        <w:tc>
          <w:tcPr>
            <w:tcW w:w="50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940" w:type="dxa"/>
            <w:vAlign w:val="bottom"/>
            <w:gridSpan w:val="3"/>
          </w:tcPr>
          <w:p>
            <w:pPr>
              <w:ind w:left="180"/>
              <w:spacing w:after="0"/>
              <w:rPr>
                <w:sz w:val="20"/>
                <w:szCs w:val="20"/>
                <w:color w:val="auto"/>
              </w:rPr>
            </w:pPr>
            <w:r>
              <w:rPr>
                <w:rFonts w:ascii="Arial" w:cs="Arial" w:eastAsia="Arial" w:hAnsi="Arial"/>
                <w:sz w:val="16"/>
                <w:szCs w:val="16"/>
                <w:color w:val="0067B3"/>
              </w:rPr>
              <w:t>2026 Proxy Statement</w:t>
            </w:r>
          </w:p>
        </w:tc>
        <w:tc>
          <w:tcPr>
            <w:tcW w:w="500" w:type="dxa"/>
            <w:vAlign w:val="bottom"/>
          </w:tcPr>
          <w:p>
            <w:pPr>
              <w:ind w:left="280"/>
              <w:spacing w:after="0"/>
              <w:rPr>
                <w:sz w:val="20"/>
                <w:szCs w:val="20"/>
                <w:color w:val="auto"/>
              </w:rPr>
            </w:pPr>
            <w:r>
              <w:rPr>
                <w:rFonts w:ascii="Arial" w:cs="Arial" w:eastAsia="Arial" w:hAnsi="Arial"/>
                <w:sz w:val="20"/>
                <w:szCs w:val="20"/>
                <w:b w:val="1"/>
                <w:bCs w:val="1"/>
                <w:color w:val="auto"/>
                <w:w w:val="89"/>
              </w:rPr>
              <w:t>11</w:t>
            </w:r>
          </w:p>
        </w:tc>
        <w:tc>
          <w:tcPr>
            <w:tcW w:w="0" w:type="dxa"/>
            <w:vAlign w:val="bottom"/>
          </w:tcPr>
          <w:p>
            <w:pPr>
              <w:spacing w:after="0"/>
              <w:rPr>
                <w:sz w:val="1"/>
                <w:szCs w:val="1"/>
                <w:color w:val="auto"/>
              </w:rPr>
            </w:pPr>
          </w:p>
        </w:tc>
      </w:tr>
      <w:tr>
        <w:trPr>
          <w:trHeight w:val="325"/>
        </w:trPr>
        <w:tc>
          <w:tcPr>
            <w:tcW w:w="5060" w:type="dxa"/>
            <w:vAlign w:val="bottom"/>
            <w:tcBorders>
              <w:bottom w:val="single" w:sz="8" w:color="9A9A9A"/>
            </w:tcBorders>
          </w:tcPr>
          <w:p>
            <w:pPr>
              <w:spacing w:after="0"/>
              <w:rPr>
                <w:sz w:val="24"/>
                <w:szCs w:val="24"/>
                <w:color w:val="auto"/>
              </w:rPr>
            </w:pPr>
          </w:p>
        </w:tc>
        <w:tc>
          <w:tcPr>
            <w:tcW w:w="840" w:type="dxa"/>
            <w:vAlign w:val="bottom"/>
            <w:tcBorders>
              <w:bottom w:val="single" w:sz="8" w:color="9A9A9A"/>
            </w:tcBorders>
          </w:tcPr>
          <w:p>
            <w:pPr>
              <w:spacing w:after="0"/>
              <w:rPr>
                <w:sz w:val="24"/>
                <w:szCs w:val="24"/>
                <w:color w:val="auto"/>
              </w:rPr>
            </w:pPr>
          </w:p>
        </w:tc>
        <w:tc>
          <w:tcPr>
            <w:tcW w:w="580" w:type="dxa"/>
            <w:vAlign w:val="bottom"/>
            <w:tcBorders>
              <w:bottom w:val="single" w:sz="8" w:color="9A9A9A"/>
            </w:tcBorders>
          </w:tcPr>
          <w:p>
            <w:pPr>
              <w:spacing w:after="0"/>
              <w:rPr>
                <w:sz w:val="24"/>
                <w:szCs w:val="24"/>
                <w:color w:val="auto"/>
              </w:rPr>
            </w:pPr>
          </w:p>
        </w:tc>
        <w:tc>
          <w:tcPr>
            <w:tcW w:w="600" w:type="dxa"/>
            <w:vAlign w:val="bottom"/>
            <w:tcBorders>
              <w:bottom w:val="single" w:sz="8" w:color="9A9A9A"/>
            </w:tcBorders>
          </w:tcPr>
          <w:p>
            <w:pPr>
              <w:spacing w:after="0"/>
              <w:rPr>
                <w:sz w:val="24"/>
                <w:szCs w:val="24"/>
                <w:color w:val="auto"/>
              </w:rPr>
            </w:pPr>
          </w:p>
        </w:tc>
        <w:tc>
          <w:tcPr>
            <w:tcW w:w="600" w:type="dxa"/>
            <w:vAlign w:val="bottom"/>
            <w:tcBorders>
              <w:bottom w:val="single" w:sz="8" w:color="9A9A9A"/>
            </w:tcBorders>
          </w:tcPr>
          <w:p>
            <w:pPr>
              <w:spacing w:after="0"/>
              <w:rPr>
                <w:sz w:val="24"/>
                <w:szCs w:val="24"/>
                <w:color w:val="auto"/>
              </w:rPr>
            </w:pPr>
          </w:p>
        </w:tc>
        <w:tc>
          <w:tcPr>
            <w:tcW w:w="580" w:type="dxa"/>
            <w:vAlign w:val="bottom"/>
            <w:tcBorders>
              <w:bottom w:val="single" w:sz="8" w:color="9A9A9A"/>
            </w:tcBorders>
          </w:tcPr>
          <w:p>
            <w:pPr>
              <w:spacing w:after="0"/>
              <w:rPr>
                <w:sz w:val="24"/>
                <w:szCs w:val="24"/>
                <w:color w:val="auto"/>
              </w:rPr>
            </w:pPr>
          </w:p>
        </w:tc>
        <w:tc>
          <w:tcPr>
            <w:tcW w:w="540" w:type="dxa"/>
            <w:vAlign w:val="bottom"/>
            <w:tcBorders>
              <w:bottom w:val="single" w:sz="8" w:color="9A9A9A"/>
            </w:tcBorders>
          </w:tcPr>
          <w:p>
            <w:pPr>
              <w:spacing w:after="0"/>
              <w:rPr>
                <w:sz w:val="24"/>
                <w:szCs w:val="24"/>
                <w:color w:val="auto"/>
              </w:rPr>
            </w:pPr>
          </w:p>
        </w:tc>
        <w:tc>
          <w:tcPr>
            <w:tcW w:w="660" w:type="dxa"/>
            <w:vAlign w:val="bottom"/>
            <w:tcBorders>
              <w:bottom w:val="single" w:sz="8" w:color="9A9A9A"/>
            </w:tcBorders>
          </w:tcPr>
          <w:p>
            <w:pPr>
              <w:spacing w:after="0"/>
              <w:rPr>
                <w:sz w:val="24"/>
                <w:szCs w:val="24"/>
                <w:color w:val="auto"/>
              </w:rPr>
            </w:pPr>
          </w:p>
        </w:tc>
        <w:tc>
          <w:tcPr>
            <w:tcW w:w="600" w:type="dxa"/>
            <w:vAlign w:val="bottom"/>
            <w:tcBorders>
              <w:bottom w:val="single" w:sz="8" w:color="9A9A9A"/>
            </w:tcBorders>
          </w:tcPr>
          <w:p>
            <w:pPr>
              <w:spacing w:after="0"/>
              <w:rPr>
                <w:sz w:val="24"/>
                <w:szCs w:val="24"/>
                <w:color w:val="auto"/>
              </w:rPr>
            </w:pPr>
          </w:p>
        </w:tc>
        <w:tc>
          <w:tcPr>
            <w:tcW w:w="680" w:type="dxa"/>
            <w:vAlign w:val="bottom"/>
            <w:tcBorders>
              <w:bottom w:val="single" w:sz="8" w:color="9A9A9A"/>
            </w:tcBorders>
          </w:tcPr>
          <w:p>
            <w:pPr>
              <w:spacing w:after="0"/>
              <w:rPr>
                <w:sz w:val="24"/>
                <w:szCs w:val="24"/>
                <w:color w:val="auto"/>
              </w:rPr>
            </w:pPr>
          </w:p>
        </w:tc>
        <w:tc>
          <w:tcPr>
            <w:tcW w:w="5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116205</wp:posOffset>
            </wp:positionH>
            <wp:positionV relativeFrom="paragraph">
              <wp:posOffset>-6334125</wp:posOffset>
            </wp:positionV>
            <wp:extent cx="257175" cy="24892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257175" cy="248920"/>
                    </a:xfrm>
                    <a:prstGeom prst="rect">
                      <a:avLst/>
                    </a:prstGeom>
                    <a:noFill/>
                  </pic:spPr>
                </pic:pic>
              </a:graphicData>
            </a:graphic>
          </wp:anchor>
        </w:drawing>
        <w:drawing>
          <wp:anchor simplePos="0" relativeHeight="251657728" behindDoc="1" locked="0" layoutInCell="0" allowOverlap="1">
            <wp:simplePos x="0" y="0"/>
            <wp:positionH relativeFrom="column">
              <wp:posOffset>116205</wp:posOffset>
            </wp:positionH>
            <wp:positionV relativeFrom="paragraph">
              <wp:posOffset>-5880100</wp:posOffset>
            </wp:positionV>
            <wp:extent cx="257175" cy="25717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257175" cy="257175"/>
                    </a:xfrm>
                    <a:prstGeom prst="rect">
                      <a:avLst/>
                    </a:prstGeom>
                    <a:noFill/>
                  </pic:spPr>
                </pic:pic>
              </a:graphicData>
            </a:graphic>
          </wp:anchor>
        </w:drawing>
        <w:drawing>
          <wp:anchor simplePos="0" relativeHeight="251657728" behindDoc="1" locked="0" layoutInCell="0" allowOverlap="1">
            <wp:simplePos x="0" y="0"/>
            <wp:positionH relativeFrom="column">
              <wp:posOffset>116205</wp:posOffset>
            </wp:positionH>
            <wp:positionV relativeFrom="paragraph">
              <wp:posOffset>-5417185</wp:posOffset>
            </wp:positionV>
            <wp:extent cx="257175" cy="25717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257175" cy="257175"/>
                    </a:xfrm>
                    <a:prstGeom prst="rect">
                      <a:avLst/>
                    </a:prstGeom>
                    <a:noFill/>
                  </pic:spPr>
                </pic:pic>
              </a:graphicData>
            </a:graphic>
          </wp:anchor>
        </w:drawing>
        <w:drawing>
          <wp:anchor simplePos="0" relativeHeight="251657728" behindDoc="1" locked="0" layoutInCell="0" allowOverlap="1">
            <wp:simplePos x="0" y="0"/>
            <wp:positionH relativeFrom="column">
              <wp:posOffset>116205</wp:posOffset>
            </wp:positionH>
            <wp:positionV relativeFrom="paragraph">
              <wp:posOffset>-4954270</wp:posOffset>
            </wp:positionV>
            <wp:extent cx="257175" cy="25717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257175" cy="257175"/>
                    </a:xfrm>
                    <a:prstGeom prst="rect">
                      <a:avLst/>
                    </a:prstGeom>
                    <a:noFill/>
                  </pic:spPr>
                </pic:pic>
              </a:graphicData>
            </a:graphic>
          </wp:anchor>
        </w:drawing>
        <w:drawing>
          <wp:anchor simplePos="0" relativeHeight="251657728" behindDoc="1" locked="0" layoutInCell="0" allowOverlap="1">
            <wp:simplePos x="0" y="0"/>
            <wp:positionH relativeFrom="column">
              <wp:posOffset>116205</wp:posOffset>
            </wp:positionH>
            <wp:positionV relativeFrom="paragraph">
              <wp:posOffset>-4491355</wp:posOffset>
            </wp:positionV>
            <wp:extent cx="248285" cy="24892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248285" cy="248920"/>
                    </a:xfrm>
                    <a:prstGeom prst="rect">
                      <a:avLst/>
                    </a:prstGeom>
                    <a:noFill/>
                  </pic:spPr>
                </pic:pic>
              </a:graphicData>
            </a:graphic>
          </wp:anchor>
        </w:drawing>
        <w:drawing>
          <wp:anchor simplePos="0" relativeHeight="251657728" behindDoc="1" locked="0" layoutInCell="0" allowOverlap="1">
            <wp:simplePos x="0" y="0"/>
            <wp:positionH relativeFrom="column">
              <wp:posOffset>99060</wp:posOffset>
            </wp:positionH>
            <wp:positionV relativeFrom="paragraph">
              <wp:posOffset>-4036695</wp:posOffset>
            </wp:positionV>
            <wp:extent cx="282575" cy="28257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282575" cy="282575"/>
                    </a:xfrm>
                    <a:prstGeom prst="rect">
                      <a:avLst/>
                    </a:prstGeom>
                    <a:noFill/>
                  </pic:spPr>
                </pic:pic>
              </a:graphicData>
            </a:graphic>
          </wp:anchor>
        </w:drawing>
        <w:drawing>
          <wp:anchor simplePos="0" relativeHeight="251657728" behindDoc="1" locked="0" layoutInCell="0" allowOverlap="1">
            <wp:simplePos x="0" y="0"/>
            <wp:positionH relativeFrom="column">
              <wp:posOffset>116205</wp:posOffset>
            </wp:positionH>
            <wp:positionV relativeFrom="paragraph">
              <wp:posOffset>-3548380</wp:posOffset>
            </wp:positionV>
            <wp:extent cx="257175" cy="3257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257175" cy="325755"/>
                    </a:xfrm>
                    <a:prstGeom prst="rect">
                      <a:avLst/>
                    </a:prstGeom>
                    <a:noFill/>
                  </pic:spPr>
                </pic:pic>
              </a:graphicData>
            </a:graphic>
          </wp:anchor>
        </w:drawing>
        <w:drawing>
          <wp:anchor simplePos="0" relativeHeight="251657728" behindDoc="1" locked="0" layoutInCell="0" allowOverlap="1">
            <wp:simplePos x="0" y="0"/>
            <wp:positionH relativeFrom="column">
              <wp:posOffset>150495</wp:posOffset>
            </wp:positionH>
            <wp:positionV relativeFrom="paragraph">
              <wp:posOffset>-3016885</wp:posOffset>
            </wp:positionV>
            <wp:extent cx="188595" cy="24003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188595" cy="240030"/>
                    </a:xfrm>
                    <a:prstGeom prst="rect">
                      <a:avLst/>
                    </a:prstGeom>
                    <a:noFill/>
                  </pic:spPr>
                </pic:pic>
              </a:graphicData>
            </a:graphic>
          </wp:anchor>
        </w:drawing>
        <w:drawing>
          <wp:anchor simplePos="0" relativeHeight="251657728" behindDoc="1" locked="0" layoutInCell="0" allowOverlap="1">
            <wp:simplePos x="0" y="0"/>
            <wp:positionH relativeFrom="column">
              <wp:posOffset>116205</wp:posOffset>
            </wp:positionH>
            <wp:positionV relativeFrom="paragraph">
              <wp:posOffset>-2571115</wp:posOffset>
            </wp:positionV>
            <wp:extent cx="257175" cy="24003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257175" cy="240030"/>
                    </a:xfrm>
                    <a:prstGeom prst="rect">
                      <a:avLst/>
                    </a:prstGeom>
                    <a:noFill/>
                  </pic:spPr>
                </pic:pic>
              </a:graphicData>
            </a:graphic>
          </wp:anchor>
        </w:drawing>
        <w:drawing>
          <wp:anchor simplePos="0" relativeHeight="251657728" behindDoc="1" locked="0" layoutInCell="0" allowOverlap="1">
            <wp:simplePos x="0" y="0"/>
            <wp:positionH relativeFrom="column">
              <wp:posOffset>107950</wp:posOffset>
            </wp:positionH>
            <wp:positionV relativeFrom="paragraph">
              <wp:posOffset>-2125345</wp:posOffset>
            </wp:positionV>
            <wp:extent cx="265430" cy="3257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265430" cy="325755"/>
                    </a:xfrm>
                    <a:prstGeom prst="rect">
                      <a:avLst/>
                    </a:prstGeom>
                    <a:noFill/>
                  </pic:spPr>
                </pic:pic>
              </a:graphicData>
            </a:graphic>
          </wp:anchor>
        </w:drawing>
        <w:drawing>
          <wp:anchor simplePos="0" relativeHeight="251657728" behindDoc="1" locked="0" layoutInCell="0" allowOverlap="1">
            <wp:simplePos x="0" y="0"/>
            <wp:positionH relativeFrom="column">
              <wp:posOffset>116205</wp:posOffset>
            </wp:positionH>
            <wp:positionV relativeFrom="paragraph">
              <wp:posOffset>-1593850</wp:posOffset>
            </wp:positionV>
            <wp:extent cx="257175" cy="31686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257175" cy="316865"/>
                    </a:xfrm>
                    <a:prstGeom prst="rect">
                      <a:avLst/>
                    </a:prstGeom>
                    <a:noFill/>
                  </pic:spPr>
                </pic:pic>
              </a:graphicData>
            </a:graphic>
          </wp:anchor>
        </w:drawing>
        <w:drawing>
          <wp:anchor simplePos="0" relativeHeight="251657728" behindDoc="1" locked="0" layoutInCell="0" allowOverlap="1">
            <wp:simplePos x="0" y="0"/>
            <wp:positionH relativeFrom="column">
              <wp:posOffset>90805</wp:posOffset>
            </wp:positionH>
            <wp:positionV relativeFrom="paragraph">
              <wp:posOffset>-1070610</wp:posOffset>
            </wp:positionV>
            <wp:extent cx="308610" cy="18859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308610" cy="188595"/>
                    </a:xfrm>
                    <a:prstGeom prst="rect">
                      <a:avLst/>
                    </a:prstGeom>
                    <a:noFill/>
                  </pic:spPr>
                </pic:pic>
              </a:graphicData>
            </a:graphic>
          </wp:anchor>
        </w:drawing>
      </w:r>
    </w:p>
    <w:p>
      <w:pPr>
        <w:sectPr>
          <w:pgSz w:w="11900" w:h="16838" w:orient="portrait"/>
          <w:cols w:equalWidth="0" w:num="1">
            <w:col w:w="11240"/>
          </w:cols>
          <w:pgMar w:left="320" w:top="1311" w:right="339" w:bottom="1440" w:gutter="0" w:footer="0" w:header="0"/>
        </w:sectPr>
      </w:pPr>
    </w:p>
    <w:bookmarkStart w:id="18" w:name="page19"/>
    <w:bookmarkEnd w:id="18"/>
    <w:p>
      <w:pPr>
        <w:spacing w:after="0"/>
        <w:rPr>
          <w:sz w:val="20"/>
          <w:szCs w:val="20"/>
          <w:color w:val="auto"/>
        </w:rPr>
      </w:pPr>
      <w:r>
        <w:rPr>
          <w:rFonts w:ascii="Arial" w:cs="Arial" w:eastAsia="Arial" w:hAnsi="Arial"/>
          <w:sz w:val="41"/>
          <w:szCs w:val="41"/>
          <w:b w:val="1"/>
          <w:bCs w:val="1"/>
          <w:color w:val="0067B3"/>
        </w:rPr>
        <w:t>Director Nominee Biographies</w:t>
      </w:r>
    </w:p>
    <w:p>
      <w:pPr>
        <w:spacing w:after="0" w:line="169"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The following provides information as of the date of this Proxy Statement about each director nominee. The information presented includes information each director nominee has given us about his or her age, all positions he or she holds, his or her principal occupation and business experience, and the names of other publicly-held companies of which he or she currently serves as a director or has served as a director during the past five years. In addition to the information presented below regarding each director nominee’s specific experience, qualifications, attributes, and skills that led our Board of Directors to the conclusion that he or she should serve as a director, we also believe that all of our director nominees have a reputation for integrity, honesty, and adherence to high ethical standards. Further, they each have demonstrated business acumen and an ability to exercise sound judgment, as well as a commitment of service to ADI and our Board of Directors. Finally, we value their significant experience on other public company boards of directors and board committees for providing our Board of Directors with a range of views and a variety of best practices to consider.</w:t>
      </w:r>
    </w:p>
    <w:p>
      <w:pPr>
        <w:spacing w:after="0" w:line="73" w:lineRule="exact"/>
        <w:rPr>
          <w:sz w:val="20"/>
          <w:szCs w:val="20"/>
          <w:color w:val="auto"/>
        </w:rPr>
      </w:pPr>
    </w:p>
    <w:p>
      <w:pPr>
        <w:ind w:right="100"/>
        <w:spacing w:after="0" w:line="268" w:lineRule="auto"/>
        <w:rPr>
          <w:sz w:val="20"/>
          <w:szCs w:val="20"/>
          <w:color w:val="auto"/>
        </w:rPr>
      </w:pPr>
      <w:r>
        <w:rPr>
          <w:rFonts w:ascii="Arial" w:cs="Arial" w:eastAsia="Arial" w:hAnsi="Arial"/>
          <w:sz w:val="18"/>
          <w:szCs w:val="18"/>
          <w:color w:val="auto"/>
        </w:rPr>
        <w:t xml:space="preserve">Information about the number of shares of common stock beneficially owned by each director nominee appears below under the heading </w:t>
      </w:r>
      <w:r>
        <w:rPr>
          <w:rFonts w:ascii="Arial" w:cs="Arial" w:eastAsia="Arial" w:hAnsi="Arial"/>
          <w:sz w:val="18"/>
          <w:szCs w:val="18"/>
          <w:i w:val="1"/>
          <w:iCs w:val="1"/>
          <w:color w:val="auto"/>
        </w:rPr>
        <w:t>Security Ownership of Directors and Executive Officers</w:t>
      </w:r>
      <w:r>
        <w:rPr>
          <w:rFonts w:ascii="Arial" w:cs="Arial" w:eastAsia="Arial" w:hAnsi="Arial"/>
          <w:sz w:val="18"/>
          <w:szCs w:val="18"/>
          <w:color w:val="auto"/>
        </w:rPr>
        <w:t>. There are no family relationships among any of the directors and executive officers</w:t>
      </w:r>
      <w:r>
        <w:rPr>
          <w:rFonts w:ascii="Arial" w:cs="Arial" w:eastAsia="Arial" w:hAnsi="Arial"/>
          <w:sz w:val="18"/>
          <w:szCs w:val="18"/>
          <w:i w:val="1"/>
          <w:iCs w:val="1"/>
          <w:color w:val="auto"/>
        </w:rPr>
        <w:t xml:space="preserve"> </w:t>
      </w:r>
      <w:r>
        <w:rPr>
          <w:rFonts w:ascii="Arial" w:cs="Arial" w:eastAsia="Arial" w:hAnsi="Arial"/>
          <w:sz w:val="18"/>
          <w:szCs w:val="18"/>
          <w:color w:val="auto"/>
        </w:rPr>
        <w:t>of ADI.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7140575" cy="296608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40575" cy="2966085"/>
                    </a:xfrm>
                    <a:prstGeom prst="rect">
                      <a:avLst/>
                    </a:prstGeom>
                    <a:noFill/>
                  </pic:spPr>
                </pic:pic>
              </a:graphicData>
            </a:graphic>
          </wp:anchor>
        </w:drawing>
      </w:r>
    </w:p>
    <w:p>
      <w:pPr>
        <w:spacing w:after="0" w:line="200" w:lineRule="exact"/>
        <w:rPr>
          <w:sz w:val="20"/>
          <w:szCs w:val="20"/>
          <w:color w:val="auto"/>
        </w:rPr>
      </w:pPr>
    </w:p>
    <w:p>
      <w:pPr>
        <w:spacing w:after="0" w:line="302"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0067B3"/>
        </w:rPr>
        <w:t>Legend</w:t>
      </w:r>
    </w:p>
    <w:p>
      <w:pPr>
        <w:sectPr>
          <w:pgSz w:w="11900" w:h="16838" w:orient="portrait"/>
          <w:cols w:equalWidth="0" w:num="1">
            <w:col w:w="11160"/>
          </w:cols>
          <w:pgMar w:left="320" w:top="1356" w:right="4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left="240"/>
        <w:spacing w:after="0"/>
        <w:rPr>
          <w:sz w:val="20"/>
          <w:szCs w:val="20"/>
          <w:color w:val="auto"/>
        </w:rPr>
      </w:pPr>
      <w:r>
        <w:rPr>
          <w:rFonts w:ascii="Arial" w:cs="Arial" w:eastAsia="Arial" w:hAnsi="Arial"/>
          <w:sz w:val="14"/>
          <w:szCs w:val="14"/>
          <w:color w:val="auto"/>
        </w:rPr>
        <w:t>Executive Leadership</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Arial" w:cs="Arial" w:eastAsia="Arial" w:hAnsi="Arial"/>
          <w:sz w:val="14"/>
          <w:szCs w:val="14"/>
          <w:color w:val="auto"/>
        </w:rPr>
        <w:t>Industry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Arial" w:cs="Arial" w:eastAsia="Arial" w:hAnsi="Arial"/>
          <w:sz w:val="14"/>
          <w:szCs w:val="14"/>
          <w:color w:val="auto"/>
        </w:rPr>
        <w:t>Innovation and</w:t>
      </w:r>
    </w:p>
    <w:p>
      <w:pPr>
        <w:spacing w:after="0" w:line="29" w:lineRule="exact"/>
        <w:rPr>
          <w:sz w:val="20"/>
          <w:szCs w:val="20"/>
          <w:color w:val="auto"/>
        </w:rPr>
      </w:pPr>
    </w:p>
    <w:p>
      <w:pPr>
        <w:spacing w:after="0"/>
        <w:rPr>
          <w:sz w:val="20"/>
          <w:szCs w:val="20"/>
          <w:color w:val="auto"/>
        </w:rPr>
      </w:pPr>
      <w:r>
        <w:rPr>
          <w:rFonts w:ascii="Arial" w:cs="Arial" w:eastAsia="Arial" w:hAnsi="Arial"/>
          <w:sz w:val="14"/>
          <w:szCs w:val="14"/>
          <w:color w:val="auto"/>
        </w:rPr>
        <w:t>Emerging Technologies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Arial" w:cs="Arial" w:eastAsia="Arial" w:hAnsi="Arial"/>
          <w:sz w:val="14"/>
          <w:szCs w:val="14"/>
          <w:color w:val="auto"/>
        </w:rPr>
        <w:t>Corporate Governance,</w:t>
      </w:r>
    </w:p>
    <w:p>
      <w:pPr>
        <w:spacing w:after="0" w:line="29" w:lineRule="exact"/>
        <w:rPr>
          <w:sz w:val="20"/>
          <w:szCs w:val="20"/>
          <w:color w:val="auto"/>
        </w:rPr>
      </w:pPr>
    </w:p>
    <w:p>
      <w:pPr>
        <w:spacing w:after="0"/>
        <w:rPr>
          <w:sz w:val="20"/>
          <w:szCs w:val="20"/>
          <w:color w:val="auto"/>
        </w:rPr>
      </w:pPr>
      <w:r>
        <w:rPr>
          <w:rFonts w:ascii="Arial" w:cs="Arial" w:eastAsia="Arial" w:hAnsi="Arial"/>
          <w:sz w:val="14"/>
          <w:szCs w:val="14"/>
          <w:color w:val="auto"/>
        </w:rPr>
        <w:t>Public Company Board</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Arial" w:cs="Arial" w:eastAsia="Arial" w:hAnsi="Arial"/>
          <w:sz w:val="14"/>
          <w:szCs w:val="14"/>
          <w:color w:val="auto"/>
        </w:rPr>
        <w:t>Financial, Accounting, Auditing</w:t>
      </w:r>
    </w:p>
    <w:p>
      <w:pPr>
        <w:spacing w:after="0" w:line="389" w:lineRule="exact"/>
        <w:rPr>
          <w:sz w:val="20"/>
          <w:szCs w:val="20"/>
          <w:color w:val="auto"/>
        </w:rPr>
      </w:pPr>
    </w:p>
    <w:p>
      <w:pPr>
        <w:sectPr>
          <w:pgSz w:w="11900" w:h="16838" w:orient="portrait"/>
          <w:cols w:equalWidth="0" w:num="5">
            <w:col w:w="1600" w:space="660"/>
            <w:col w:w="1520" w:space="720"/>
            <w:col w:w="1520" w:space="720"/>
            <w:col w:w="1540" w:space="720"/>
            <w:col w:w="2160"/>
          </w:cols>
          <w:pgMar w:left="320" w:top="1356" w:right="41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ind w:left="240"/>
        <w:spacing w:after="0"/>
        <w:rPr>
          <w:sz w:val="20"/>
          <w:szCs w:val="20"/>
          <w:color w:val="auto"/>
        </w:rPr>
      </w:pPr>
      <w:r>
        <w:rPr>
          <w:rFonts w:ascii="Arial" w:cs="Arial" w:eastAsia="Arial" w:hAnsi="Arial"/>
          <w:sz w:val="14"/>
          <w:szCs w:val="14"/>
          <w:color w:val="auto"/>
        </w:rPr>
        <w:t>International</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spacing w:after="0"/>
        <w:rPr>
          <w:sz w:val="20"/>
          <w:szCs w:val="20"/>
          <w:color w:val="auto"/>
        </w:rPr>
      </w:pPr>
      <w:r>
        <w:rPr>
          <w:rFonts w:ascii="Arial" w:cs="Arial" w:eastAsia="Arial" w:hAnsi="Arial"/>
          <w:sz w:val="14"/>
          <w:szCs w:val="14"/>
          <w:color w:val="auto"/>
        </w:rPr>
        <w:t>Large Scale Operations,</w:t>
      </w:r>
    </w:p>
    <w:p>
      <w:pPr>
        <w:spacing w:after="0" w:line="29" w:lineRule="exact"/>
        <w:rPr>
          <w:sz w:val="20"/>
          <w:szCs w:val="20"/>
          <w:color w:val="auto"/>
        </w:rPr>
      </w:pPr>
    </w:p>
    <w:p>
      <w:pPr>
        <w:spacing w:after="0"/>
        <w:rPr>
          <w:sz w:val="20"/>
          <w:szCs w:val="20"/>
          <w:color w:val="auto"/>
        </w:rPr>
      </w:pPr>
      <w:r>
        <w:rPr>
          <w:rFonts w:ascii="Arial" w:cs="Arial" w:eastAsia="Arial" w:hAnsi="Arial"/>
          <w:sz w:val="14"/>
          <w:szCs w:val="14"/>
          <w:color w:val="auto"/>
        </w:rPr>
        <w:t>Manufacturing</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spacing w:after="0"/>
        <w:rPr>
          <w:sz w:val="20"/>
          <w:szCs w:val="20"/>
          <w:color w:val="auto"/>
        </w:rPr>
      </w:pPr>
      <w:r>
        <w:rPr>
          <w:rFonts w:ascii="Arial" w:cs="Arial" w:eastAsia="Arial" w:hAnsi="Arial"/>
          <w:sz w:val="14"/>
          <w:szCs w:val="14"/>
          <w:color w:val="auto"/>
        </w:rPr>
        <w:t>Government Affairs,</w:t>
      </w:r>
    </w:p>
    <w:p>
      <w:pPr>
        <w:spacing w:after="0" w:line="29" w:lineRule="exact"/>
        <w:rPr>
          <w:sz w:val="20"/>
          <w:szCs w:val="20"/>
          <w:color w:val="auto"/>
        </w:rPr>
      </w:pPr>
    </w:p>
    <w:p>
      <w:pPr>
        <w:spacing w:after="0"/>
        <w:rPr>
          <w:sz w:val="20"/>
          <w:szCs w:val="20"/>
          <w:color w:val="auto"/>
        </w:rPr>
      </w:pPr>
      <w:r>
        <w:rPr>
          <w:rFonts w:ascii="Arial" w:cs="Arial" w:eastAsia="Arial" w:hAnsi="Arial"/>
          <w:sz w:val="14"/>
          <w:szCs w:val="14"/>
          <w:color w:val="auto"/>
        </w:rPr>
        <w:t>Public Policy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spacing w:after="0"/>
        <w:rPr>
          <w:sz w:val="20"/>
          <w:szCs w:val="20"/>
          <w:color w:val="auto"/>
        </w:rPr>
      </w:pPr>
      <w:r>
        <w:rPr>
          <w:rFonts w:ascii="Arial" w:cs="Arial" w:eastAsia="Arial" w:hAnsi="Arial"/>
          <w:sz w:val="14"/>
          <w:szCs w:val="14"/>
          <w:color w:val="auto"/>
        </w:rPr>
        <w:t>Strategy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spacing w:after="0"/>
        <w:rPr>
          <w:sz w:val="20"/>
          <w:szCs w:val="20"/>
          <w:color w:val="auto"/>
        </w:rPr>
      </w:pPr>
      <w:r>
        <w:rPr>
          <w:rFonts w:ascii="Arial" w:cs="Arial" w:eastAsia="Arial" w:hAnsi="Arial"/>
          <w:sz w:val="14"/>
          <w:szCs w:val="14"/>
          <w:color w:val="auto"/>
        </w:rPr>
        <w:t>Risk Management,</w:t>
      </w:r>
    </w:p>
    <w:p>
      <w:pPr>
        <w:spacing w:after="0" w:line="29" w:lineRule="exact"/>
        <w:rPr>
          <w:sz w:val="20"/>
          <w:szCs w:val="20"/>
          <w:color w:val="auto"/>
        </w:rPr>
      </w:pPr>
    </w:p>
    <w:p>
      <w:pPr>
        <w:spacing w:after="0"/>
        <w:rPr>
          <w:sz w:val="20"/>
          <w:szCs w:val="20"/>
          <w:color w:val="auto"/>
        </w:rPr>
      </w:pPr>
      <w:r>
        <w:rPr>
          <w:rFonts w:ascii="Arial" w:cs="Arial" w:eastAsia="Arial" w:hAnsi="Arial"/>
          <w:sz w:val="14"/>
          <w:szCs w:val="14"/>
          <w:color w:val="auto"/>
        </w:rPr>
        <w:t>Regulatory, Compliance</w:t>
      </w:r>
    </w:p>
    <w:p>
      <w:pPr>
        <w:spacing w:after="0" w:line="200" w:lineRule="exact"/>
        <w:rPr>
          <w:sz w:val="20"/>
          <w:szCs w:val="20"/>
          <w:color w:val="auto"/>
        </w:rPr>
      </w:pPr>
    </w:p>
    <w:p>
      <w:pPr>
        <w:sectPr>
          <w:pgSz w:w="11900" w:h="16838" w:orient="portrait"/>
          <w:cols w:equalWidth="0" w:num="5">
            <w:col w:w="1540" w:space="720"/>
            <w:col w:w="1540" w:space="700"/>
            <w:col w:w="1520" w:space="720"/>
            <w:col w:w="1540" w:space="720"/>
            <w:col w:w="2160"/>
          </w:cols>
          <w:pgMar w:left="320" w:top="1356" w:right="41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ind w:left="240"/>
        <w:spacing w:after="0" w:line="305" w:lineRule="auto"/>
        <w:rPr>
          <w:sz w:val="20"/>
          <w:szCs w:val="20"/>
          <w:color w:val="auto"/>
        </w:rPr>
      </w:pPr>
      <w:r>
        <w:rPr>
          <w:rFonts w:ascii="Arial" w:cs="Arial" w:eastAsia="Arial" w:hAnsi="Arial"/>
          <w:sz w:val="14"/>
          <w:szCs w:val="14"/>
          <w:color w:val="auto"/>
        </w:rPr>
        <w:t>Cybersecurity, Information Systems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spacing w:after="0"/>
        <w:rPr>
          <w:sz w:val="20"/>
          <w:szCs w:val="20"/>
          <w:color w:val="auto"/>
        </w:rPr>
      </w:pPr>
      <w:r>
        <w:rPr>
          <w:rFonts w:ascii="Arial" w:cs="Arial" w:eastAsia="Arial" w:hAnsi="Arial"/>
          <w:sz w:val="14"/>
          <w:szCs w:val="14"/>
          <w:color w:val="auto"/>
        </w:rPr>
        <w:t>Mergers and Acquisitions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spacing w:after="0"/>
        <w:rPr>
          <w:sz w:val="20"/>
          <w:szCs w:val="20"/>
          <w:color w:val="auto"/>
        </w:rPr>
      </w:pPr>
      <w:r>
        <w:rPr>
          <w:rFonts w:ascii="Arial" w:cs="Arial" w:eastAsia="Arial" w:hAnsi="Arial"/>
          <w:sz w:val="14"/>
          <w:szCs w:val="14"/>
          <w:color w:val="auto"/>
        </w:rPr>
        <w:t>Sustainability, Human Capital,</w:t>
      </w:r>
    </w:p>
    <w:p>
      <w:pPr>
        <w:spacing w:after="0" w:line="29" w:lineRule="exact"/>
        <w:rPr>
          <w:sz w:val="20"/>
          <w:szCs w:val="20"/>
          <w:color w:val="auto"/>
        </w:rPr>
      </w:pPr>
    </w:p>
    <w:p>
      <w:pPr>
        <w:spacing w:after="0"/>
        <w:rPr>
          <w:sz w:val="20"/>
          <w:szCs w:val="20"/>
          <w:color w:val="auto"/>
        </w:rPr>
      </w:pPr>
      <w:r>
        <w:rPr>
          <w:rFonts w:ascii="Arial" w:cs="Arial" w:eastAsia="Arial" w:hAnsi="Arial"/>
          <w:sz w:val="14"/>
          <w:szCs w:val="14"/>
          <w:color w:val="auto"/>
        </w:rPr>
        <w:t>Human Rights, and Diversity</w:t>
      </w:r>
    </w:p>
    <w:p>
      <w:pPr>
        <w:spacing w:after="0" w:line="258" w:lineRule="exact"/>
        <w:rPr>
          <w:sz w:val="20"/>
          <w:szCs w:val="20"/>
          <w:color w:val="auto"/>
        </w:rPr>
      </w:pPr>
    </w:p>
    <w:p>
      <w:pPr>
        <w:sectPr>
          <w:pgSz w:w="11900" w:h="16838" w:orient="portrait"/>
          <w:cols w:equalWidth="0" w:num="3">
            <w:col w:w="1540" w:space="720"/>
            <w:col w:w="1600" w:space="640"/>
            <w:col w:w="6660"/>
          </w:cols>
          <w:pgMar w:left="320" w:top="1356" w:right="419" w:bottom="1440" w:gutter="0" w:footer="0" w:header="0"/>
          <w:type w:val="continuous"/>
        </w:sectPr>
      </w:pPr>
    </w:p>
    <w:p>
      <w:pPr>
        <w:spacing w:after="0" w:line="200" w:lineRule="exact"/>
        <w:rPr>
          <w:sz w:val="20"/>
          <w:szCs w:val="20"/>
          <w:color w:val="auto"/>
        </w:rPr>
      </w:pPr>
    </w:p>
    <w:p>
      <w:pPr>
        <w:spacing w:after="0" w:line="345" w:lineRule="exact"/>
        <w:rPr>
          <w:sz w:val="20"/>
          <w:szCs w:val="20"/>
          <w:color w:val="auto"/>
        </w:rPr>
      </w:pPr>
    </w:p>
    <w:p>
      <w:pPr>
        <w:ind w:left="640" w:hanging="614"/>
        <w:spacing w:after="0"/>
        <w:tabs>
          <w:tab w:leader="none" w:pos="640" w:val="left"/>
        </w:tabs>
        <w:numPr>
          <w:ilvl w:val="0"/>
          <w:numId w:val="24"/>
        </w:numPr>
        <w:rPr>
          <w:rFonts w:ascii="Arial" w:cs="Arial" w:eastAsia="Arial" w:hAnsi="Arial"/>
          <w:sz w:val="20"/>
          <w:szCs w:val="20"/>
          <w:b w:val="1"/>
          <w:bCs w:val="1"/>
          <w:color w:val="auto"/>
        </w:rPr>
      </w:pPr>
      <w:r>
        <w:rPr>
          <w:rFonts w:ascii="Arial" w:cs="Arial" w:eastAsia="Arial" w:hAnsi="Arial"/>
          <w:sz w:val="16"/>
          <w:szCs w:val="16"/>
          <w:color w:val="6D6E71"/>
        </w:rPr>
        <w:t>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194310</wp:posOffset>
            </wp:positionV>
            <wp:extent cx="7157720" cy="425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356" w:right="419" w:bottom="1440" w:gutter="0" w:footer="0" w:header="0"/>
          <w:type w:val="continuous"/>
        </w:sectPr>
      </w:pPr>
    </w:p>
    <w:bookmarkStart w:id="19" w:name="page20"/>
    <w:bookmarkEnd w:id="19"/>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319405</wp:posOffset>
            </wp:positionH>
            <wp:positionV relativeFrom="page">
              <wp:posOffset>791845</wp:posOffset>
            </wp:positionV>
            <wp:extent cx="1560195" cy="252920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1560195" cy="25292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20"/>
        <w:spacing w:after="0"/>
        <w:rPr>
          <w:sz w:val="20"/>
          <w:szCs w:val="20"/>
          <w:color w:val="auto"/>
        </w:rPr>
      </w:pPr>
      <w:r>
        <w:rPr>
          <w:rFonts w:ascii="Arial" w:cs="Arial" w:eastAsia="Arial" w:hAnsi="Arial"/>
          <w:sz w:val="27"/>
          <w:szCs w:val="27"/>
          <w:b w:val="1"/>
          <w:bCs w:val="1"/>
          <w:color w:val="0067B3"/>
        </w:rPr>
        <w:t>Vincent Roche</w:t>
      </w:r>
    </w:p>
    <w:p>
      <w:pPr>
        <w:spacing w:after="0" w:line="115" w:lineRule="exact"/>
        <w:rPr>
          <w:sz w:val="20"/>
          <w:szCs w:val="20"/>
          <w:color w:val="auto"/>
        </w:rPr>
      </w:pPr>
    </w:p>
    <w:p>
      <w:pPr>
        <w:ind w:left="20"/>
        <w:spacing w:after="0" w:line="284" w:lineRule="auto"/>
        <w:rPr>
          <w:sz w:val="20"/>
          <w:szCs w:val="20"/>
          <w:color w:val="auto"/>
        </w:rPr>
      </w:pPr>
      <w:r>
        <w:rPr>
          <w:rFonts w:ascii="Arial" w:cs="Arial" w:eastAsia="Arial" w:hAnsi="Arial"/>
          <w:sz w:val="17"/>
          <w:szCs w:val="17"/>
          <w:color w:val="auto"/>
        </w:rPr>
        <w:t>Chief Executive Officer and Chair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389255</wp:posOffset>
            </wp:positionV>
            <wp:extent cx="659765" cy="49720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659765" cy="49720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b w:val="1"/>
          <w:bCs w:val="1"/>
          <w:color w:val="0067B3"/>
        </w:rPr>
        <w:t>PROFESSIONAL EXPERIENCE AND BACKGROUND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-1810385</wp:posOffset>
            </wp:positionH>
            <wp:positionV relativeFrom="paragraph">
              <wp:posOffset>-259715</wp:posOffset>
            </wp:positionV>
            <wp:extent cx="7132320" cy="171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105"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auto"/>
        </w:rPr>
        <w:t>Mr. Roche was elected as Chair of our Board of Directors in March 2022. Mr. Roche has served as our President since 2012 and was appointed CEO and elected as a director in May 2013. Mr. Roche began his career with us in 1988 and has served in key positions spanning corporate leadership, worldwide sales, strategic marketing, business development, and product management over his more than 35-year tenure. Mr. Roche was recognized by Forbes in 2019 as one of America’s Most Innovative Leaders while also being a recipient of the 2021 SFI St. Patrick’s Day Science Medal for his contributions in support of the ecosystems in Ireland.</w:t>
      </w:r>
    </w:p>
    <w:p>
      <w:pPr>
        <w:spacing w:after="0" w:line="74" w:lineRule="exact"/>
        <w:rPr>
          <w:sz w:val="20"/>
          <w:szCs w:val="20"/>
          <w:color w:val="auto"/>
        </w:rPr>
      </w:pPr>
    </w:p>
    <w:p>
      <w:pPr>
        <w:spacing w:after="0"/>
        <w:rPr>
          <w:sz w:val="20"/>
          <w:szCs w:val="20"/>
          <w:color w:val="auto"/>
        </w:rPr>
      </w:pPr>
      <w:r>
        <w:rPr>
          <w:rFonts w:ascii="Arial" w:cs="Arial" w:eastAsia="Arial" w:hAnsi="Arial"/>
          <w:sz w:val="15"/>
          <w:szCs w:val="15"/>
          <w:b w:val="1"/>
          <w:bCs w:val="1"/>
          <w:color w:val="0067B3"/>
        </w:rPr>
        <w:t>KEY QUALIFICATIONS AND EXPERTISE</w:t>
      </w:r>
    </w:p>
    <w:p>
      <w:pPr>
        <w:spacing w:after="0" w:line="125" w:lineRule="exact"/>
        <w:rPr>
          <w:sz w:val="20"/>
          <w:szCs w:val="20"/>
          <w:color w:val="auto"/>
        </w:rPr>
      </w:pPr>
    </w:p>
    <w:p>
      <w:pPr>
        <w:ind w:right="880"/>
        <w:spacing w:after="0" w:line="287" w:lineRule="auto"/>
        <w:rPr>
          <w:sz w:val="20"/>
          <w:szCs w:val="20"/>
          <w:color w:val="auto"/>
        </w:rPr>
      </w:pPr>
      <w:r>
        <w:rPr>
          <w:rFonts w:ascii="Arial" w:cs="Arial" w:eastAsia="Arial" w:hAnsi="Arial"/>
          <w:sz w:val="18"/>
          <w:szCs w:val="18"/>
          <w:color w:val="auto"/>
        </w:rPr>
        <w:t>Mr. Roche brings to our Board of Directors insights based on his leadership roles and his deep knowledge of our products, markets, customers, culture, and organization.</w:t>
      </w:r>
    </w:p>
    <w:p>
      <w:pPr>
        <w:spacing w:after="0" w:line="44" w:lineRule="exact"/>
        <w:rPr>
          <w:sz w:val="20"/>
          <w:szCs w:val="20"/>
          <w:color w:val="auto"/>
        </w:rPr>
      </w:pPr>
    </w:p>
    <w:p>
      <w:pPr>
        <w:spacing w:after="0"/>
        <w:rPr>
          <w:sz w:val="20"/>
          <w:szCs w:val="20"/>
          <w:color w:val="auto"/>
        </w:rPr>
      </w:pPr>
      <w:r>
        <w:rPr>
          <w:rFonts w:ascii="Arial" w:cs="Arial" w:eastAsia="Arial" w:hAnsi="Arial"/>
          <w:sz w:val="15"/>
          <w:szCs w:val="15"/>
          <w:b w:val="1"/>
          <w:bCs w:val="1"/>
          <w:color w:val="0067B3"/>
        </w:rPr>
        <w:t>OTHER PUBLIC COMPANY BOARDS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color w:val="0067B3"/>
        </w:rPr>
        <w:t xml:space="preserve">Current: </w:t>
      </w:r>
      <w:r>
        <w:rPr>
          <w:rFonts w:ascii="Arial" w:cs="Arial" w:eastAsia="Arial" w:hAnsi="Arial"/>
          <w:sz w:val="18"/>
          <w:szCs w:val="18"/>
          <w:color w:val="000000"/>
        </w:rPr>
        <w:t>None</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0067B3"/>
        </w:rPr>
        <w:t xml:space="preserve">Past 5 Years: </w:t>
      </w:r>
      <w:r>
        <w:rPr>
          <w:rFonts w:ascii="Arial" w:cs="Arial" w:eastAsia="Arial" w:hAnsi="Arial"/>
          <w:sz w:val="18"/>
          <w:szCs w:val="18"/>
          <w:color w:val="000000"/>
        </w:rPr>
        <w:t>Acacia Communications, Inc. (until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-1150620</wp:posOffset>
            </wp:positionH>
            <wp:positionV relativeFrom="paragraph">
              <wp:posOffset>186055</wp:posOffset>
            </wp:positionV>
            <wp:extent cx="6471920" cy="49720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6471920" cy="49720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2540" w:space="320"/>
            <w:col w:w="8380"/>
          </w:cols>
          <w:pgMar w:left="320" w:top="1440" w:right="339" w:bottom="1440" w:gutter="0" w:footer="0" w:header="0"/>
        </w:sectPr>
      </w:pPr>
    </w:p>
    <w:p>
      <w:pPr>
        <w:spacing w:after="0" w:line="358" w:lineRule="exact"/>
        <w:rPr>
          <w:sz w:val="20"/>
          <w:szCs w:val="20"/>
          <w:color w:val="auto"/>
        </w:rPr>
      </w:pPr>
    </w:p>
    <w:p>
      <w:pPr>
        <w:ind w:left="200"/>
        <w:spacing w:after="0"/>
        <w:tabs>
          <w:tab w:leader="none" w:pos="1040" w:val="left"/>
          <w:tab w:leader="none" w:pos="2960" w:val="left"/>
        </w:tabs>
        <w:rPr>
          <w:sz w:val="20"/>
          <w:szCs w:val="20"/>
          <w:color w:val="auto"/>
        </w:rPr>
      </w:pPr>
      <w:r>
        <w:rPr>
          <w:rFonts w:ascii="Arial" w:cs="Arial" w:eastAsia="Arial" w:hAnsi="Arial"/>
          <w:sz w:val="18"/>
          <w:szCs w:val="18"/>
          <w:b w:val="1"/>
          <w:bCs w:val="1"/>
          <w:color w:val="auto"/>
        </w:rPr>
        <w:t xml:space="preserve">Age: </w:t>
      </w:r>
      <w:r>
        <w:rPr>
          <w:rFonts w:ascii="Arial" w:cs="Arial" w:eastAsia="Arial" w:hAnsi="Arial"/>
          <w:sz w:val="18"/>
          <w:szCs w:val="18"/>
          <w:color w:val="auto"/>
        </w:rPr>
        <w:t>65</w:t>
      </w:r>
      <w:r>
        <w:rPr>
          <w:rFonts w:ascii="Arial" w:cs="Arial" w:eastAsia="Arial" w:hAnsi="Arial"/>
          <w:sz w:val="18"/>
          <w:szCs w:val="18"/>
          <w:b w:val="1"/>
          <w:bCs w:val="1"/>
          <w:color w:val="auto"/>
        </w:rPr>
        <w:tab/>
        <w:t xml:space="preserve">Director since: </w:t>
      </w:r>
      <w:r>
        <w:rPr>
          <w:rFonts w:ascii="Arial" w:cs="Arial" w:eastAsia="Arial" w:hAnsi="Arial"/>
          <w:sz w:val="18"/>
          <w:szCs w:val="18"/>
          <w:color w:val="auto"/>
        </w:rPr>
        <w:t>2013</w:t>
      </w:r>
      <w:r>
        <w:rPr>
          <w:rFonts w:ascii="Arial" w:cs="Arial" w:eastAsia="Arial" w:hAnsi="Arial"/>
          <w:sz w:val="18"/>
          <w:szCs w:val="18"/>
          <w:b w:val="1"/>
          <w:bCs w:val="1"/>
          <w:color w:val="auto"/>
        </w:rPr>
        <w:tab/>
        <w:t xml:space="preserve">Committee(s): </w:t>
      </w:r>
      <w:r>
        <w:rPr>
          <w:rFonts w:ascii="Arial" w:cs="Arial" w:eastAsia="Arial" w:hAnsi="Arial"/>
          <w:sz w:val="18"/>
          <w:szCs w:val="18"/>
          <w:color w:val="auto"/>
        </w:rPr>
        <w:t>None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343535</wp:posOffset>
            </wp:positionV>
            <wp:extent cx="7132320" cy="254571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32320" cy="254571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20"/>
        <w:spacing w:after="0"/>
        <w:rPr>
          <w:sz w:val="20"/>
          <w:szCs w:val="20"/>
          <w:color w:val="auto"/>
        </w:rPr>
      </w:pPr>
      <w:r>
        <w:rPr>
          <w:rFonts w:ascii="Arial" w:cs="Arial" w:eastAsia="Arial" w:hAnsi="Arial"/>
          <w:sz w:val="27"/>
          <w:szCs w:val="27"/>
          <w:b w:val="1"/>
          <w:bCs w:val="1"/>
          <w:color w:val="0067B3"/>
        </w:rPr>
        <w:t>Stephen M.</w:t>
      </w:r>
    </w:p>
    <w:p>
      <w:pPr>
        <w:spacing w:after="0" w:line="42" w:lineRule="exact"/>
        <w:rPr>
          <w:sz w:val="20"/>
          <w:szCs w:val="20"/>
          <w:color w:val="auto"/>
        </w:rPr>
      </w:pPr>
    </w:p>
    <w:p>
      <w:pPr>
        <w:ind w:left="20"/>
        <w:spacing w:after="0"/>
        <w:rPr>
          <w:sz w:val="20"/>
          <w:szCs w:val="20"/>
          <w:color w:val="auto"/>
        </w:rPr>
      </w:pPr>
      <w:r>
        <w:rPr>
          <w:rFonts w:ascii="Arial" w:cs="Arial" w:eastAsia="Arial" w:hAnsi="Arial"/>
          <w:sz w:val="27"/>
          <w:szCs w:val="27"/>
          <w:b w:val="1"/>
          <w:bCs w:val="1"/>
          <w:color w:val="0067B3"/>
        </w:rPr>
        <w:t>Jennings</w:t>
      </w:r>
    </w:p>
    <w:p>
      <w:pPr>
        <w:spacing w:after="0" w:line="87" w:lineRule="exact"/>
        <w:rPr>
          <w:sz w:val="20"/>
          <w:szCs w:val="20"/>
          <w:color w:val="auto"/>
        </w:rPr>
      </w:pPr>
    </w:p>
    <w:p>
      <w:pPr>
        <w:ind w:left="20" w:right="100"/>
        <w:spacing w:after="0" w:line="284" w:lineRule="auto"/>
        <w:rPr>
          <w:sz w:val="20"/>
          <w:szCs w:val="20"/>
          <w:color w:val="auto"/>
        </w:rPr>
      </w:pPr>
      <w:r>
        <w:rPr>
          <w:rFonts w:ascii="Arial" w:cs="Arial" w:eastAsia="Arial" w:hAnsi="Arial"/>
          <w:sz w:val="17"/>
          <w:szCs w:val="17"/>
          <w:color w:val="auto"/>
        </w:rPr>
        <w:t>Lead Independent Director Independent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183515</wp:posOffset>
            </wp:positionV>
            <wp:extent cx="659765" cy="50609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659765" cy="50609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spacing w:after="0"/>
        <w:rPr>
          <w:sz w:val="20"/>
          <w:szCs w:val="20"/>
          <w:color w:val="auto"/>
        </w:rPr>
      </w:pPr>
      <w:r>
        <w:rPr>
          <w:rFonts w:ascii="Arial" w:cs="Arial" w:eastAsia="Arial" w:hAnsi="Arial"/>
          <w:sz w:val="15"/>
          <w:szCs w:val="15"/>
          <w:b w:val="1"/>
          <w:bCs w:val="1"/>
          <w:color w:val="0067B3"/>
        </w:rPr>
        <w:t>PROFESSIONAL EXPERIENCE AND BACKGROUND</w:t>
      </w:r>
    </w:p>
    <w:p>
      <w:pPr>
        <w:spacing w:after="0" w:line="125"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Mr. Jennings is a retired senior Strategy Principal of Deloitte LLP (Deloitte), a professional services firm, a role that he served in from 2013 to his retirement in June 2023. During that time, Mr. Jennings also served as a member of the Deloitte U.S. Board of Directors and Deloitte Touche Tohmatsu’s global Board of Directors, each from 2019 to 2023. Before that, Mr. Jennings worked at Monitor Group, LLC, a global professional services firm that provided consulting services to corporations and governmental agencies, most recently serving as managing partner until the firm was acquired by Deloitte in 2013.</w:t>
      </w:r>
    </w:p>
    <w:p>
      <w:pPr>
        <w:spacing w:after="0" w:line="74" w:lineRule="exact"/>
        <w:rPr>
          <w:sz w:val="20"/>
          <w:szCs w:val="20"/>
          <w:color w:val="auto"/>
        </w:rPr>
      </w:pPr>
    </w:p>
    <w:p>
      <w:pPr>
        <w:spacing w:after="0"/>
        <w:rPr>
          <w:sz w:val="20"/>
          <w:szCs w:val="20"/>
          <w:color w:val="auto"/>
        </w:rPr>
      </w:pPr>
      <w:r>
        <w:rPr>
          <w:rFonts w:ascii="Arial" w:cs="Arial" w:eastAsia="Arial" w:hAnsi="Arial"/>
          <w:sz w:val="15"/>
          <w:szCs w:val="15"/>
          <w:b w:val="1"/>
          <w:bCs w:val="1"/>
          <w:color w:val="0067B3"/>
        </w:rPr>
        <w:t>KEY QUALIFICATIONS AND EXPERTISE</w:t>
      </w:r>
    </w:p>
    <w:p>
      <w:pPr>
        <w:spacing w:after="0" w:line="112" w:lineRule="exact"/>
        <w:rPr>
          <w:sz w:val="20"/>
          <w:szCs w:val="20"/>
          <w:color w:val="auto"/>
        </w:rPr>
      </w:pPr>
    </w:p>
    <w:p>
      <w:pPr>
        <w:jc w:val="both"/>
        <w:ind w:right="100"/>
        <w:spacing w:after="0" w:line="268" w:lineRule="auto"/>
        <w:rPr>
          <w:sz w:val="20"/>
          <w:szCs w:val="20"/>
          <w:color w:val="auto"/>
        </w:rPr>
      </w:pPr>
      <w:r>
        <w:rPr>
          <w:rFonts w:ascii="Arial" w:cs="Arial" w:eastAsia="Arial" w:hAnsi="Arial"/>
          <w:sz w:val="18"/>
          <w:szCs w:val="18"/>
          <w:color w:val="auto"/>
        </w:rPr>
        <w:t>Mr. Jennings brings to our Board of Directors extensive experience in corporate governance, enterprise growth, innovation, mergers and acquisitions, organization transformation, and strategy across a diverse set of industries.</w:t>
      </w:r>
    </w:p>
    <w:p>
      <w:pPr>
        <w:spacing w:after="0" w:line="62" w:lineRule="exact"/>
        <w:rPr>
          <w:sz w:val="20"/>
          <w:szCs w:val="20"/>
          <w:color w:val="auto"/>
        </w:rPr>
      </w:pPr>
    </w:p>
    <w:p>
      <w:pPr>
        <w:spacing w:after="0"/>
        <w:rPr>
          <w:sz w:val="20"/>
          <w:szCs w:val="20"/>
          <w:color w:val="auto"/>
        </w:rPr>
      </w:pPr>
      <w:r>
        <w:rPr>
          <w:rFonts w:ascii="Arial" w:cs="Arial" w:eastAsia="Arial" w:hAnsi="Arial"/>
          <w:sz w:val="15"/>
          <w:szCs w:val="15"/>
          <w:b w:val="1"/>
          <w:bCs w:val="1"/>
          <w:color w:val="0067B3"/>
        </w:rPr>
        <w:t>OTHER PUBLIC COMPANY BOARDS</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color w:val="0067B3"/>
        </w:rPr>
        <w:t xml:space="preserve">Current: </w:t>
      </w:r>
      <w:r>
        <w:rPr>
          <w:rFonts w:ascii="Arial" w:cs="Arial" w:eastAsia="Arial" w:hAnsi="Arial"/>
          <w:sz w:val="18"/>
          <w:szCs w:val="18"/>
          <w:color w:val="000000"/>
        </w:rPr>
        <w:t>International Workplace Group plc.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0067B3"/>
        </w:rPr>
        <w:t xml:space="preserve">Past 5 Years: </w:t>
      </w:r>
      <w:r>
        <w:rPr>
          <w:rFonts w:ascii="Arial" w:cs="Arial" w:eastAsia="Arial" w:hAnsi="Arial"/>
          <w:sz w:val="18"/>
          <w:szCs w:val="18"/>
          <w:color w:val="000000"/>
        </w:rPr>
        <w:t>None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-1150620</wp:posOffset>
            </wp:positionH>
            <wp:positionV relativeFrom="paragraph">
              <wp:posOffset>186055</wp:posOffset>
            </wp:positionV>
            <wp:extent cx="6471920" cy="50609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6471920" cy="506095"/>
                    </a:xfrm>
                    <a:prstGeom prst="rect">
                      <a:avLst/>
                    </a:prstGeom>
                    <a:noFill/>
                  </pic:spPr>
                </pic:pic>
              </a:graphicData>
            </a:graphic>
          </wp:anchor>
        </w:drawing>
      </w:r>
    </w:p>
    <w:p>
      <w:pPr>
        <w:spacing w:after="0" w:line="204" w:lineRule="exact"/>
        <w:rPr>
          <w:sz w:val="20"/>
          <w:szCs w:val="20"/>
          <w:color w:val="auto"/>
        </w:rPr>
      </w:pPr>
    </w:p>
    <w:p>
      <w:pPr>
        <w:sectPr>
          <w:pgSz w:w="11900" w:h="16838" w:orient="portrait"/>
          <w:cols w:equalWidth="0" w:num="2">
            <w:col w:w="2140" w:space="720"/>
            <w:col w:w="8380"/>
          </w:cols>
          <w:pgMar w:left="320" w:top="1440" w:right="339" w:bottom="1440" w:gutter="0" w:footer="0" w:header="0"/>
          <w:type w:val="continuous"/>
        </w:sectPr>
      </w:pPr>
    </w:p>
    <w:p>
      <w:pPr>
        <w:spacing w:after="0" w:line="353" w:lineRule="exact"/>
        <w:rPr>
          <w:sz w:val="20"/>
          <w:szCs w:val="20"/>
          <w:color w:val="auto"/>
        </w:rPr>
      </w:pPr>
    </w:p>
    <w:p>
      <w:pPr>
        <w:ind w:left="200"/>
        <w:spacing w:after="0"/>
        <w:tabs>
          <w:tab w:leader="none" w:pos="1040" w:val="left"/>
          <w:tab w:leader="none" w:pos="2960" w:val="left"/>
        </w:tabs>
        <w:rPr>
          <w:sz w:val="20"/>
          <w:szCs w:val="20"/>
          <w:color w:val="auto"/>
        </w:rPr>
      </w:pPr>
      <w:r>
        <w:rPr>
          <w:rFonts w:ascii="Arial" w:cs="Arial" w:eastAsia="Arial" w:hAnsi="Arial"/>
          <w:sz w:val="18"/>
          <w:szCs w:val="18"/>
          <w:b w:val="1"/>
          <w:bCs w:val="1"/>
          <w:color w:val="auto"/>
        </w:rPr>
        <w:t xml:space="preserve">Age: </w:t>
      </w:r>
      <w:r>
        <w:rPr>
          <w:rFonts w:ascii="Arial" w:cs="Arial" w:eastAsia="Arial" w:hAnsi="Arial"/>
          <w:sz w:val="18"/>
          <w:szCs w:val="18"/>
          <w:color w:val="auto"/>
        </w:rPr>
        <w:t>64</w:t>
      </w:r>
      <w:r>
        <w:rPr>
          <w:rFonts w:ascii="Arial" w:cs="Arial" w:eastAsia="Arial" w:hAnsi="Arial"/>
          <w:sz w:val="18"/>
          <w:szCs w:val="18"/>
          <w:b w:val="1"/>
          <w:bCs w:val="1"/>
          <w:color w:val="auto"/>
        </w:rPr>
        <w:tab/>
        <w:t xml:space="preserve">Director since: </w:t>
      </w:r>
      <w:r>
        <w:rPr>
          <w:rFonts w:ascii="Arial" w:cs="Arial" w:eastAsia="Arial" w:hAnsi="Arial"/>
          <w:sz w:val="18"/>
          <w:szCs w:val="18"/>
          <w:color w:val="auto"/>
        </w:rPr>
        <w:t>2023</w:t>
      </w:r>
      <w:r>
        <w:rPr>
          <w:sz w:val="20"/>
          <w:szCs w:val="20"/>
          <w:color w:val="auto"/>
        </w:rPr>
        <w:tab/>
      </w:r>
      <w:r>
        <w:rPr>
          <w:rFonts w:ascii="Arial" w:cs="Arial" w:eastAsia="Arial" w:hAnsi="Arial"/>
          <w:sz w:val="17"/>
          <w:szCs w:val="17"/>
          <w:b w:val="1"/>
          <w:bCs w:val="1"/>
          <w:color w:val="auto"/>
        </w:rPr>
        <w:t xml:space="preserve">Committee(s): </w:t>
      </w:r>
      <w:r>
        <w:rPr>
          <w:rFonts w:ascii="Arial" w:cs="Arial" w:eastAsia="Arial" w:hAnsi="Arial"/>
          <w:sz w:val="17"/>
          <w:szCs w:val="17"/>
          <w:color w:val="auto"/>
        </w:rPr>
        <w:t>Nominating and Corporate Governance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tbl>
      <w:tblPr>
        <w:tblLayout w:type="fixed"/>
        <w:tblInd w:w="0" w:type="dxa"/>
        <w:tblCellMar>
          <w:top w:w="0" w:type="dxa"/>
          <w:left w:w="0" w:type="dxa"/>
          <w:bottom w:w="0" w:type="dxa"/>
          <w:right w:w="0" w:type="dxa"/>
        </w:tblCellMar>
      </w:tblPr>
      <w:tr>
        <w:trPr>
          <w:trHeight w:val="273"/>
        </w:trPr>
        <w:tc>
          <w:tcPr>
            <w:tcW w:w="10800" w:type="dxa"/>
            <w:vAlign w:val="bottom"/>
          </w:tcPr>
          <w:p>
            <w:pPr>
              <w:ind w:left="8980"/>
              <w:spacing w:after="0"/>
              <w:rPr>
                <w:sz w:val="20"/>
                <w:szCs w:val="20"/>
                <w:color w:val="auto"/>
              </w:rPr>
            </w:pPr>
            <w:r>
              <w:rPr>
                <w:rFonts w:ascii="Arial" w:cs="Arial" w:eastAsia="Arial" w:hAnsi="Arial"/>
                <w:sz w:val="16"/>
                <w:szCs w:val="16"/>
                <w:color w:val="0067B3"/>
              </w:rPr>
              <w:t>2026 Proxy Statement</w:t>
            </w:r>
          </w:p>
        </w:tc>
        <w:tc>
          <w:tcPr>
            <w:tcW w:w="440" w:type="dxa"/>
            <w:vAlign w:val="bottom"/>
          </w:tcPr>
          <w:p>
            <w:pPr>
              <w:jc w:val="right"/>
              <w:spacing w:after="0"/>
              <w:rPr>
                <w:sz w:val="20"/>
                <w:szCs w:val="20"/>
                <w:color w:val="auto"/>
              </w:rPr>
            </w:pPr>
            <w:r>
              <w:rPr>
                <w:rFonts w:ascii="Arial" w:cs="Arial" w:eastAsia="Arial" w:hAnsi="Arial"/>
                <w:sz w:val="20"/>
                <w:szCs w:val="20"/>
                <w:b w:val="1"/>
                <w:bCs w:val="1"/>
                <w:color w:val="auto"/>
              </w:rPr>
              <w:t>13</w:t>
            </w:r>
          </w:p>
        </w:tc>
      </w:tr>
      <w:tr>
        <w:trPr>
          <w:trHeight w:val="325"/>
        </w:trPr>
        <w:tc>
          <w:tcPr>
            <w:tcW w:w="1080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type w:val="continuous"/>
        </w:sectPr>
      </w:pPr>
    </w:p>
    <w:bookmarkStart w:id="20" w:name="page21"/>
    <w:bookmarkEnd w:id="20"/>
    <w:tbl>
      <w:tblPr>
        <w:tblLayout w:type="fixed"/>
        <w:tblInd w:w="0" w:type="dxa"/>
        <w:tblCellMar>
          <w:top w:w="0" w:type="dxa"/>
          <w:left w:w="0" w:type="dxa"/>
          <w:bottom w:w="0" w:type="dxa"/>
          <w:right w:w="0" w:type="dxa"/>
        </w:tblCellMar>
      </w:tblPr>
      <w:tr>
        <w:trPr>
          <w:trHeight w:val="447"/>
        </w:trPr>
        <w:tc>
          <w:tcPr>
            <w:tcW w:w="1040" w:type="dxa"/>
            <w:vAlign w:val="bottom"/>
            <w:tcBorders>
              <w:top w:val="single" w:sz="8" w:color="0067B3"/>
            </w:tcBorders>
          </w:tcPr>
          <w:p>
            <w:pPr>
              <w:spacing w:after="0"/>
              <w:rPr>
                <w:sz w:val="24"/>
                <w:szCs w:val="24"/>
                <w:color w:val="auto"/>
              </w:rPr>
            </w:pPr>
          </w:p>
        </w:tc>
        <w:tc>
          <w:tcPr>
            <w:tcW w:w="1600" w:type="dxa"/>
            <w:vAlign w:val="bottom"/>
            <w:tcBorders>
              <w:top w:val="single" w:sz="8" w:color="0067B3"/>
              <w:right w:val="single" w:sz="8" w:color="auto"/>
            </w:tcBorders>
          </w:tcPr>
          <w:p>
            <w:pPr>
              <w:spacing w:after="0"/>
              <w:rPr>
                <w:sz w:val="24"/>
                <w:szCs w:val="24"/>
                <w:color w:val="auto"/>
              </w:rPr>
            </w:pPr>
          </w:p>
        </w:tc>
        <w:tc>
          <w:tcPr>
            <w:tcW w:w="180" w:type="dxa"/>
            <w:vAlign w:val="bottom"/>
            <w:tcBorders>
              <w:top w:val="single" w:sz="8" w:color="0067B3"/>
            </w:tcBorders>
          </w:tcPr>
          <w:p>
            <w:pPr>
              <w:spacing w:after="0"/>
              <w:rPr>
                <w:sz w:val="24"/>
                <w:szCs w:val="24"/>
                <w:color w:val="auto"/>
              </w:rPr>
            </w:pPr>
          </w:p>
        </w:tc>
        <w:tc>
          <w:tcPr>
            <w:tcW w:w="8420" w:type="dxa"/>
            <w:vAlign w:val="bottom"/>
            <w:tcBorders>
              <w:top w:val="single" w:sz="8" w:color="0067B3"/>
            </w:tcBorders>
          </w:tcPr>
          <w:p>
            <w:pPr>
              <w:ind w:left="40"/>
              <w:spacing w:after="0"/>
              <w:rPr>
                <w:sz w:val="20"/>
                <w:szCs w:val="20"/>
                <w:color w:val="auto"/>
              </w:rPr>
            </w:pPr>
            <w:r>
              <w:rPr>
                <w:rFonts w:ascii="Arial" w:cs="Arial" w:eastAsia="Arial" w:hAnsi="Arial"/>
                <w:sz w:val="15"/>
                <w:szCs w:val="15"/>
                <w:b w:val="1"/>
                <w:bCs w:val="1"/>
                <w:color w:val="0067B3"/>
              </w:rPr>
              <w:t>PROFESSIONAL EXPERIENCE AND BACKGROUND</w:t>
            </w:r>
          </w:p>
        </w:tc>
        <w:tc>
          <w:tcPr>
            <w:tcW w:w="0" w:type="dxa"/>
            <w:vAlign w:val="bottom"/>
          </w:tcPr>
          <w:p>
            <w:pPr>
              <w:spacing w:after="0"/>
              <w:rPr>
                <w:sz w:val="1"/>
                <w:szCs w:val="1"/>
                <w:color w:val="auto"/>
              </w:rPr>
            </w:pPr>
          </w:p>
        </w:tc>
      </w:tr>
      <w:tr>
        <w:trPr>
          <w:trHeight w:val="303"/>
        </w:trPr>
        <w:tc>
          <w:tcPr>
            <w:tcW w:w="1040" w:type="dxa"/>
            <w:vAlign w:val="bottom"/>
          </w:tcPr>
          <w:p>
            <w:pPr>
              <w:spacing w:after="0"/>
              <w:rPr>
                <w:sz w:val="24"/>
                <w:szCs w:val="24"/>
                <w:color w:val="auto"/>
              </w:rPr>
            </w:pPr>
          </w:p>
        </w:tc>
        <w:tc>
          <w:tcPr>
            <w:tcW w:w="1600" w:type="dxa"/>
            <w:vAlign w:val="bottom"/>
            <w:tcBorders>
              <w:right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8420" w:type="dxa"/>
            <w:vAlign w:val="bottom"/>
          </w:tcPr>
          <w:p>
            <w:pPr>
              <w:ind w:left="40"/>
              <w:spacing w:after="0"/>
              <w:rPr>
                <w:sz w:val="20"/>
                <w:szCs w:val="20"/>
                <w:color w:val="auto"/>
              </w:rPr>
            </w:pPr>
            <w:r>
              <w:rPr>
                <w:rFonts w:ascii="Arial" w:cs="Arial" w:eastAsia="Arial" w:hAnsi="Arial"/>
                <w:sz w:val="18"/>
                <w:szCs w:val="18"/>
                <w:color w:val="auto"/>
              </w:rPr>
              <w:t>Mr. Andonian is Chief Executive Officer of Andonian Advisory Pte. Ltd., a consulting firm that he founded</w:t>
            </w:r>
          </w:p>
        </w:tc>
        <w:tc>
          <w:tcPr>
            <w:tcW w:w="0" w:type="dxa"/>
            <w:vAlign w:val="bottom"/>
          </w:tcPr>
          <w:p>
            <w:pPr>
              <w:spacing w:after="0"/>
              <w:rPr>
                <w:sz w:val="1"/>
                <w:szCs w:val="1"/>
                <w:color w:val="auto"/>
              </w:rPr>
            </w:pPr>
          </w:p>
        </w:tc>
      </w:tr>
      <w:tr>
        <w:trPr>
          <w:trHeight w:val="216"/>
        </w:trPr>
        <w:tc>
          <w:tcPr>
            <w:tcW w:w="1040" w:type="dxa"/>
            <w:vAlign w:val="bottom"/>
          </w:tcPr>
          <w:p>
            <w:pPr>
              <w:spacing w:after="0"/>
              <w:rPr>
                <w:sz w:val="18"/>
                <w:szCs w:val="18"/>
                <w:color w:val="auto"/>
              </w:rPr>
            </w:pPr>
          </w:p>
        </w:tc>
        <w:tc>
          <w:tcPr>
            <w:tcW w:w="1600" w:type="dxa"/>
            <w:vAlign w:val="bottom"/>
            <w:tcBorders>
              <w:right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8420" w:type="dxa"/>
            <w:vAlign w:val="bottom"/>
          </w:tcPr>
          <w:p>
            <w:pPr>
              <w:ind w:left="40"/>
              <w:spacing w:after="0"/>
              <w:rPr>
                <w:sz w:val="20"/>
                <w:szCs w:val="20"/>
                <w:color w:val="auto"/>
              </w:rPr>
            </w:pPr>
            <w:r>
              <w:rPr>
                <w:rFonts w:ascii="Arial" w:cs="Arial" w:eastAsia="Arial" w:hAnsi="Arial"/>
                <w:sz w:val="18"/>
                <w:szCs w:val="18"/>
                <w:color w:val="auto"/>
              </w:rPr>
              <w:t>in March 2022. In addition, since September 2023, Mr. Andonian has served as Chair of Asia Pacific and</w:t>
            </w:r>
          </w:p>
        </w:tc>
        <w:tc>
          <w:tcPr>
            <w:tcW w:w="0" w:type="dxa"/>
            <w:vAlign w:val="bottom"/>
          </w:tcPr>
          <w:p>
            <w:pPr>
              <w:spacing w:after="0"/>
              <w:rPr>
                <w:sz w:val="1"/>
                <w:szCs w:val="1"/>
                <w:color w:val="auto"/>
              </w:rPr>
            </w:pPr>
          </w:p>
        </w:tc>
      </w:tr>
      <w:tr>
        <w:trPr>
          <w:trHeight w:val="216"/>
        </w:trPr>
        <w:tc>
          <w:tcPr>
            <w:tcW w:w="1040" w:type="dxa"/>
            <w:vAlign w:val="bottom"/>
          </w:tcPr>
          <w:p>
            <w:pPr>
              <w:spacing w:after="0"/>
              <w:rPr>
                <w:sz w:val="18"/>
                <w:szCs w:val="18"/>
                <w:color w:val="auto"/>
              </w:rPr>
            </w:pPr>
          </w:p>
        </w:tc>
        <w:tc>
          <w:tcPr>
            <w:tcW w:w="1600" w:type="dxa"/>
            <w:vAlign w:val="bottom"/>
            <w:tcBorders>
              <w:right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8420" w:type="dxa"/>
            <w:vAlign w:val="bottom"/>
          </w:tcPr>
          <w:p>
            <w:pPr>
              <w:ind w:left="40"/>
              <w:spacing w:after="0"/>
              <w:rPr>
                <w:sz w:val="20"/>
                <w:szCs w:val="20"/>
                <w:color w:val="auto"/>
              </w:rPr>
            </w:pPr>
            <w:r>
              <w:rPr>
                <w:rFonts w:ascii="Arial" w:cs="Arial" w:eastAsia="Arial" w:hAnsi="Arial"/>
                <w:sz w:val="18"/>
                <w:szCs w:val="18"/>
                <w:color w:val="auto"/>
              </w:rPr>
              <w:t>Strategic Advisor at Flagship Pioneering, a biotechnology company. Mr. Andonian has served as Senior</w:t>
            </w:r>
          </w:p>
        </w:tc>
        <w:tc>
          <w:tcPr>
            <w:tcW w:w="0" w:type="dxa"/>
            <w:vAlign w:val="bottom"/>
          </w:tcPr>
          <w:p>
            <w:pPr>
              <w:spacing w:after="0"/>
              <w:rPr>
                <w:sz w:val="1"/>
                <w:szCs w:val="1"/>
                <w:color w:val="auto"/>
              </w:rPr>
            </w:pPr>
          </w:p>
        </w:tc>
      </w:tr>
      <w:tr>
        <w:trPr>
          <w:trHeight w:val="216"/>
        </w:trPr>
        <w:tc>
          <w:tcPr>
            <w:tcW w:w="1040" w:type="dxa"/>
            <w:vAlign w:val="bottom"/>
          </w:tcPr>
          <w:p>
            <w:pPr>
              <w:spacing w:after="0"/>
              <w:rPr>
                <w:sz w:val="18"/>
                <w:szCs w:val="18"/>
                <w:color w:val="auto"/>
              </w:rPr>
            </w:pPr>
          </w:p>
        </w:tc>
        <w:tc>
          <w:tcPr>
            <w:tcW w:w="1600" w:type="dxa"/>
            <w:vAlign w:val="bottom"/>
            <w:tcBorders>
              <w:right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8420" w:type="dxa"/>
            <w:vAlign w:val="bottom"/>
          </w:tcPr>
          <w:p>
            <w:pPr>
              <w:ind w:left="40"/>
              <w:spacing w:after="0"/>
              <w:rPr>
                <w:sz w:val="20"/>
                <w:szCs w:val="20"/>
                <w:color w:val="auto"/>
              </w:rPr>
            </w:pPr>
            <w:r>
              <w:rPr>
                <w:rFonts w:ascii="Arial" w:cs="Arial" w:eastAsia="Arial" w:hAnsi="Arial"/>
                <w:sz w:val="18"/>
                <w:szCs w:val="18"/>
                <w:color w:val="auto"/>
              </w:rPr>
              <w:t>Advisor - Senior Partner Emeritus at McKinsey &amp; Company, a global management consulting company,</w:t>
            </w:r>
          </w:p>
        </w:tc>
        <w:tc>
          <w:tcPr>
            <w:tcW w:w="0" w:type="dxa"/>
            <w:vAlign w:val="bottom"/>
          </w:tcPr>
          <w:p>
            <w:pPr>
              <w:spacing w:after="0"/>
              <w:rPr>
                <w:sz w:val="1"/>
                <w:szCs w:val="1"/>
                <w:color w:val="auto"/>
              </w:rPr>
            </w:pPr>
          </w:p>
        </w:tc>
      </w:tr>
      <w:tr>
        <w:trPr>
          <w:trHeight w:val="216"/>
        </w:trPr>
        <w:tc>
          <w:tcPr>
            <w:tcW w:w="1040" w:type="dxa"/>
            <w:vAlign w:val="bottom"/>
          </w:tcPr>
          <w:p>
            <w:pPr>
              <w:spacing w:after="0"/>
              <w:rPr>
                <w:sz w:val="18"/>
                <w:szCs w:val="18"/>
                <w:color w:val="auto"/>
              </w:rPr>
            </w:pPr>
          </w:p>
        </w:tc>
        <w:tc>
          <w:tcPr>
            <w:tcW w:w="1600" w:type="dxa"/>
            <w:vAlign w:val="bottom"/>
            <w:tcBorders>
              <w:right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8420" w:type="dxa"/>
            <w:vAlign w:val="bottom"/>
          </w:tcPr>
          <w:p>
            <w:pPr>
              <w:ind w:left="40"/>
              <w:spacing w:after="0"/>
              <w:rPr>
                <w:sz w:val="20"/>
                <w:szCs w:val="20"/>
                <w:color w:val="auto"/>
              </w:rPr>
            </w:pPr>
            <w:r>
              <w:rPr>
                <w:rFonts w:ascii="Arial" w:cs="Arial" w:eastAsia="Arial" w:hAnsi="Arial"/>
                <w:sz w:val="18"/>
                <w:szCs w:val="18"/>
                <w:color w:val="auto"/>
              </w:rPr>
              <w:t>since June 2022. Mr. Andonian was previously a Senior Partner at McKinsey &amp; Company, most recently</w:t>
            </w:r>
          </w:p>
        </w:tc>
        <w:tc>
          <w:tcPr>
            <w:tcW w:w="0" w:type="dxa"/>
            <w:vAlign w:val="bottom"/>
          </w:tcPr>
          <w:p>
            <w:pPr>
              <w:spacing w:after="0"/>
              <w:rPr>
                <w:sz w:val="1"/>
                <w:szCs w:val="1"/>
                <w:color w:val="auto"/>
              </w:rPr>
            </w:pPr>
          </w:p>
        </w:tc>
      </w:tr>
      <w:tr>
        <w:trPr>
          <w:trHeight w:val="216"/>
        </w:trPr>
        <w:tc>
          <w:tcPr>
            <w:tcW w:w="1040" w:type="dxa"/>
            <w:vAlign w:val="bottom"/>
          </w:tcPr>
          <w:p>
            <w:pPr>
              <w:spacing w:after="0"/>
              <w:rPr>
                <w:sz w:val="18"/>
                <w:szCs w:val="18"/>
                <w:color w:val="auto"/>
              </w:rPr>
            </w:pPr>
          </w:p>
        </w:tc>
        <w:tc>
          <w:tcPr>
            <w:tcW w:w="1600" w:type="dxa"/>
            <w:vAlign w:val="bottom"/>
            <w:tcBorders>
              <w:right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8420" w:type="dxa"/>
            <w:vAlign w:val="bottom"/>
          </w:tcPr>
          <w:p>
            <w:pPr>
              <w:ind w:left="40"/>
              <w:spacing w:after="0"/>
              <w:rPr>
                <w:sz w:val="20"/>
                <w:szCs w:val="20"/>
                <w:color w:val="auto"/>
              </w:rPr>
            </w:pPr>
            <w:r>
              <w:rPr>
                <w:rFonts w:ascii="Arial" w:cs="Arial" w:eastAsia="Arial" w:hAnsi="Arial"/>
                <w:sz w:val="18"/>
                <w:szCs w:val="18"/>
                <w:color w:val="auto"/>
              </w:rPr>
              <w:t>as managing partner of McKinsey Korea, advising clients across the firm’s Semiconductors, Advanced</w:t>
            </w:r>
          </w:p>
        </w:tc>
        <w:tc>
          <w:tcPr>
            <w:tcW w:w="0" w:type="dxa"/>
            <w:vAlign w:val="bottom"/>
          </w:tcPr>
          <w:p>
            <w:pPr>
              <w:spacing w:after="0"/>
              <w:rPr>
                <w:sz w:val="1"/>
                <w:szCs w:val="1"/>
                <w:color w:val="auto"/>
              </w:rPr>
            </w:pPr>
          </w:p>
        </w:tc>
      </w:tr>
      <w:tr>
        <w:trPr>
          <w:trHeight w:val="216"/>
        </w:trPr>
        <w:tc>
          <w:tcPr>
            <w:tcW w:w="1040" w:type="dxa"/>
            <w:vAlign w:val="bottom"/>
          </w:tcPr>
          <w:p>
            <w:pPr>
              <w:spacing w:after="0"/>
              <w:rPr>
                <w:sz w:val="18"/>
                <w:szCs w:val="18"/>
                <w:color w:val="auto"/>
              </w:rPr>
            </w:pPr>
          </w:p>
        </w:tc>
        <w:tc>
          <w:tcPr>
            <w:tcW w:w="1600" w:type="dxa"/>
            <w:vAlign w:val="bottom"/>
            <w:tcBorders>
              <w:right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8420" w:type="dxa"/>
            <w:vAlign w:val="bottom"/>
          </w:tcPr>
          <w:p>
            <w:pPr>
              <w:ind w:left="40"/>
              <w:spacing w:after="0"/>
              <w:rPr>
                <w:sz w:val="20"/>
                <w:szCs w:val="20"/>
                <w:color w:val="auto"/>
              </w:rPr>
            </w:pPr>
            <w:r>
              <w:rPr>
                <w:rFonts w:ascii="Arial" w:cs="Arial" w:eastAsia="Arial" w:hAnsi="Arial"/>
                <w:sz w:val="18"/>
                <w:szCs w:val="18"/>
                <w:color w:val="auto"/>
              </w:rPr>
              <w:t>Electronics, Automotive &amp; Assembly, Biotechnology, and Aerospace &amp; Defense Practices, from January</w:t>
            </w:r>
          </w:p>
        </w:tc>
        <w:tc>
          <w:tcPr>
            <w:tcW w:w="0" w:type="dxa"/>
            <w:vAlign w:val="bottom"/>
          </w:tcPr>
          <w:p>
            <w:pPr>
              <w:spacing w:after="0"/>
              <w:rPr>
                <w:sz w:val="1"/>
                <w:szCs w:val="1"/>
                <w:color w:val="auto"/>
              </w:rPr>
            </w:pPr>
          </w:p>
        </w:tc>
      </w:tr>
      <w:tr>
        <w:trPr>
          <w:trHeight w:val="216"/>
        </w:trPr>
        <w:tc>
          <w:tcPr>
            <w:tcW w:w="1040" w:type="dxa"/>
            <w:vAlign w:val="bottom"/>
          </w:tcPr>
          <w:p>
            <w:pPr>
              <w:spacing w:after="0"/>
              <w:rPr>
                <w:sz w:val="18"/>
                <w:szCs w:val="18"/>
                <w:color w:val="auto"/>
              </w:rPr>
            </w:pPr>
          </w:p>
        </w:tc>
        <w:tc>
          <w:tcPr>
            <w:tcW w:w="1600" w:type="dxa"/>
            <w:vAlign w:val="bottom"/>
            <w:tcBorders>
              <w:right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8420" w:type="dxa"/>
            <w:vAlign w:val="bottom"/>
          </w:tcPr>
          <w:p>
            <w:pPr>
              <w:ind w:left="40"/>
              <w:spacing w:after="0"/>
              <w:rPr>
                <w:sz w:val="20"/>
                <w:szCs w:val="20"/>
                <w:color w:val="auto"/>
              </w:rPr>
            </w:pPr>
            <w:r>
              <w:rPr>
                <w:rFonts w:ascii="Arial" w:cs="Arial" w:eastAsia="Arial" w:hAnsi="Arial"/>
                <w:sz w:val="18"/>
                <w:szCs w:val="18"/>
                <w:color w:val="auto"/>
              </w:rPr>
              <w:t>2021 until June 2022. He was previously managing partner of McKinsey Japan from January 2016 to</w:t>
            </w:r>
          </w:p>
        </w:tc>
        <w:tc>
          <w:tcPr>
            <w:tcW w:w="0" w:type="dxa"/>
            <w:vAlign w:val="bottom"/>
          </w:tcPr>
          <w:p>
            <w:pPr>
              <w:spacing w:after="0"/>
              <w:rPr>
                <w:sz w:val="1"/>
                <w:szCs w:val="1"/>
                <w:color w:val="auto"/>
              </w:rPr>
            </w:pPr>
          </w:p>
        </w:tc>
      </w:tr>
      <w:tr>
        <w:trPr>
          <w:trHeight w:val="239"/>
        </w:trPr>
        <w:tc>
          <w:tcPr>
            <w:tcW w:w="1040" w:type="dxa"/>
            <w:vAlign w:val="bottom"/>
          </w:tcPr>
          <w:p>
            <w:pPr>
              <w:spacing w:after="0"/>
              <w:rPr>
                <w:sz w:val="20"/>
                <w:szCs w:val="20"/>
                <w:color w:val="auto"/>
              </w:rPr>
            </w:pPr>
          </w:p>
        </w:tc>
        <w:tc>
          <w:tcPr>
            <w:tcW w:w="1600" w:type="dxa"/>
            <w:vAlign w:val="bottom"/>
            <w:tcBorders>
              <w:right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8420" w:type="dxa"/>
            <w:vAlign w:val="bottom"/>
          </w:tcPr>
          <w:p>
            <w:pPr>
              <w:ind w:left="40"/>
              <w:spacing w:after="0"/>
              <w:rPr>
                <w:sz w:val="20"/>
                <w:szCs w:val="20"/>
                <w:color w:val="auto"/>
              </w:rPr>
            </w:pPr>
            <w:r>
              <w:rPr>
                <w:rFonts w:ascii="Arial" w:cs="Arial" w:eastAsia="Arial" w:hAnsi="Arial"/>
                <w:sz w:val="18"/>
                <w:szCs w:val="18"/>
                <w:color w:val="auto"/>
              </w:rPr>
              <w:t>December 2020.</w:t>
            </w:r>
          </w:p>
        </w:tc>
        <w:tc>
          <w:tcPr>
            <w:tcW w:w="0" w:type="dxa"/>
            <w:vAlign w:val="bottom"/>
          </w:tcPr>
          <w:p>
            <w:pPr>
              <w:spacing w:after="0"/>
              <w:rPr>
                <w:sz w:val="1"/>
                <w:szCs w:val="1"/>
                <w:color w:val="auto"/>
              </w:rPr>
            </w:pPr>
          </w:p>
        </w:tc>
      </w:tr>
      <w:tr>
        <w:trPr>
          <w:trHeight w:val="379"/>
        </w:trPr>
        <w:tc>
          <w:tcPr>
            <w:tcW w:w="2640" w:type="dxa"/>
            <w:vAlign w:val="bottom"/>
            <w:tcBorders>
              <w:right w:val="single" w:sz="8" w:color="auto"/>
            </w:tcBorders>
            <w:gridSpan w:val="2"/>
          </w:tcPr>
          <w:p>
            <w:pPr>
              <w:ind w:left="20"/>
              <w:spacing w:after="0"/>
              <w:rPr>
                <w:sz w:val="20"/>
                <w:szCs w:val="20"/>
                <w:color w:val="auto"/>
              </w:rPr>
            </w:pPr>
            <w:r>
              <w:rPr>
                <w:rFonts w:ascii="Arial" w:cs="Arial" w:eastAsia="Arial" w:hAnsi="Arial"/>
                <w:sz w:val="27"/>
                <w:szCs w:val="27"/>
                <w:b w:val="1"/>
                <w:bCs w:val="1"/>
                <w:color w:val="0067B3"/>
              </w:rPr>
              <w:t>André Andonian</w:t>
            </w:r>
          </w:p>
        </w:tc>
        <w:tc>
          <w:tcPr>
            <w:tcW w:w="180" w:type="dxa"/>
            <w:vAlign w:val="bottom"/>
          </w:tcPr>
          <w:p>
            <w:pPr>
              <w:spacing w:after="0"/>
              <w:rPr>
                <w:sz w:val="24"/>
                <w:szCs w:val="24"/>
                <w:color w:val="auto"/>
              </w:rPr>
            </w:pPr>
          </w:p>
        </w:tc>
        <w:tc>
          <w:tcPr>
            <w:tcW w:w="8420" w:type="dxa"/>
            <w:vAlign w:val="bottom"/>
          </w:tcPr>
          <w:p>
            <w:pPr>
              <w:ind w:left="40"/>
              <w:spacing w:after="0"/>
              <w:rPr>
                <w:sz w:val="20"/>
                <w:szCs w:val="20"/>
                <w:color w:val="auto"/>
              </w:rPr>
            </w:pPr>
            <w:r>
              <w:rPr>
                <w:rFonts w:ascii="Arial" w:cs="Arial" w:eastAsia="Arial" w:hAnsi="Arial"/>
                <w:sz w:val="15"/>
                <w:szCs w:val="15"/>
                <w:b w:val="1"/>
                <w:bCs w:val="1"/>
                <w:color w:val="0067B3"/>
              </w:rPr>
              <w:t>KEY QUALIFICATIONS AND EXPERTISE</w:t>
            </w:r>
          </w:p>
        </w:tc>
        <w:tc>
          <w:tcPr>
            <w:tcW w:w="0" w:type="dxa"/>
            <w:vAlign w:val="bottom"/>
          </w:tcPr>
          <w:p>
            <w:pPr>
              <w:spacing w:after="0"/>
              <w:rPr>
                <w:sz w:val="1"/>
                <w:szCs w:val="1"/>
                <w:color w:val="auto"/>
              </w:rPr>
            </w:pPr>
          </w:p>
        </w:tc>
      </w:tr>
      <w:tr>
        <w:trPr>
          <w:trHeight w:val="224"/>
        </w:trPr>
        <w:tc>
          <w:tcPr>
            <w:tcW w:w="2640" w:type="dxa"/>
            <w:vAlign w:val="bottom"/>
            <w:tcBorders>
              <w:right w:val="single" w:sz="8" w:color="auto"/>
            </w:tcBorders>
            <w:gridSpan w:val="2"/>
          </w:tcPr>
          <w:p>
            <w:pPr>
              <w:ind w:left="20"/>
              <w:spacing w:after="0"/>
              <w:rPr>
                <w:sz w:val="20"/>
                <w:szCs w:val="20"/>
                <w:color w:val="auto"/>
              </w:rPr>
            </w:pPr>
            <w:r>
              <w:rPr>
                <w:rFonts w:ascii="Arial" w:cs="Arial" w:eastAsia="Arial" w:hAnsi="Arial"/>
                <w:sz w:val="17"/>
                <w:szCs w:val="17"/>
                <w:color w:val="auto"/>
              </w:rPr>
              <w:t>Independent</w:t>
            </w:r>
          </w:p>
        </w:tc>
        <w:tc>
          <w:tcPr>
            <w:tcW w:w="180" w:type="dxa"/>
            <w:vAlign w:val="bottom"/>
          </w:tcPr>
          <w:p>
            <w:pPr>
              <w:spacing w:after="0"/>
              <w:rPr>
                <w:sz w:val="19"/>
                <w:szCs w:val="19"/>
                <w:color w:val="auto"/>
              </w:rPr>
            </w:pPr>
          </w:p>
        </w:tc>
        <w:tc>
          <w:tcPr>
            <w:tcW w:w="8420" w:type="dxa"/>
            <w:vAlign w:val="bottom"/>
          </w:tcPr>
          <w:p>
            <w:pPr>
              <w:ind w:left="40"/>
              <w:spacing w:after="0"/>
              <w:rPr>
                <w:sz w:val="20"/>
                <w:szCs w:val="20"/>
                <w:color w:val="auto"/>
              </w:rPr>
            </w:pPr>
            <w:r>
              <w:rPr>
                <w:rFonts w:ascii="Arial" w:cs="Arial" w:eastAsia="Arial" w:hAnsi="Arial"/>
                <w:sz w:val="18"/>
                <w:szCs w:val="18"/>
                <w:color w:val="auto"/>
              </w:rPr>
              <w:t>Mr. Andonian brings to our Board of Directors extensive experience in transforming companies into</w:t>
            </w:r>
          </w:p>
        </w:tc>
        <w:tc>
          <w:tcPr>
            <w:tcW w:w="0" w:type="dxa"/>
            <w:vAlign w:val="bottom"/>
          </w:tcPr>
          <w:p>
            <w:pPr>
              <w:spacing w:after="0"/>
              <w:rPr>
                <w:sz w:val="1"/>
                <w:szCs w:val="1"/>
                <w:color w:val="auto"/>
              </w:rPr>
            </w:pPr>
          </w:p>
        </w:tc>
      </w:tr>
      <w:tr>
        <w:trPr>
          <w:trHeight w:val="211"/>
        </w:trPr>
        <w:tc>
          <w:tcPr>
            <w:tcW w:w="1040" w:type="dxa"/>
            <w:vAlign w:val="bottom"/>
          </w:tcPr>
          <w:p>
            <w:pPr>
              <w:spacing w:after="0"/>
              <w:rPr>
                <w:sz w:val="18"/>
                <w:szCs w:val="18"/>
                <w:color w:val="auto"/>
              </w:rPr>
            </w:pPr>
          </w:p>
        </w:tc>
        <w:tc>
          <w:tcPr>
            <w:tcW w:w="1600" w:type="dxa"/>
            <w:vAlign w:val="bottom"/>
            <w:tcBorders>
              <w:right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8420" w:type="dxa"/>
            <w:vAlign w:val="bottom"/>
          </w:tcPr>
          <w:p>
            <w:pPr>
              <w:ind w:left="40"/>
              <w:spacing w:after="0"/>
              <w:rPr>
                <w:sz w:val="20"/>
                <w:szCs w:val="20"/>
                <w:color w:val="auto"/>
              </w:rPr>
            </w:pPr>
            <w:r>
              <w:rPr>
                <w:rFonts w:ascii="Arial" w:cs="Arial" w:eastAsia="Arial" w:hAnsi="Arial"/>
                <w:sz w:val="18"/>
                <w:szCs w:val="18"/>
                <w:color w:val="auto"/>
              </w:rPr>
              <w:t>global leaders in the high-tech, advanced industries, aerospace, biotech, and basic materials sectors,</w:t>
            </w:r>
          </w:p>
        </w:tc>
        <w:tc>
          <w:tcPr>
            <w:tcW w:w="0" w:type="dxa"/>
            <w:vAlign w:val="bottom"/>
          </w:tcPr>
          <w:p>
            <w:pPr>
              <w:spacing w:after="0"/>
              <w:rPr>
                <w:sz w:val="1"/>
                <w:szCs w:val="1"/>
                <w:color w:val="auto"/>
              </w:rPr>
            </w:pPr>
          </w:p>
        </w:tc>
      </w:tr>
      <w:tr>
        <w:trPr>
          <w:trHeight w:val="216"/>
        </w:trPr>
        <w:tc>
          <w:tcPr>
            <w:tcW w:w="1040" w:type="dxa"/>
            <w:vAlign w:val="bottom"/>
          </w:tcPr>
          <w:p>
            <w:pPr>
              <w:spacing w:after="0"/>
              <w:rPr>
                <w:sz w:val="18"/>
                <w:szCs w:val="18"/>
                <w:color w:val="auto"/>
              </w:rPr>
            </w:pPr>
          </w:p>
        </w:tc>
        <w:tc>
          <w:tcPr>
            <w:tcW w:w="1600" w:type="dxa"/>
            <w:vAlign w:val="bottom"/>
            <w:tcBorders>
              <w:right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8420" w:type="dxa"/>
            <w:vAlign w:val="bottom"/>
          </w:tcPr>
          <w:p>
            <w:pPr>
              <w:ind w:left="40"/>
              <w:spacing w:after="0"/>
              <w:rPr>
                <w:sz w:val="20"/>
                <w:szCs w:val="20"/>
                <w:color w:val="auto"/>
              </w:rPr>
            </w:pPr>
            <w:r>
              <w:rPr>
                <w:rFonts w:ascii="Arial" w:cs="Arial" w:eastAsia="Arial" w:hAnsi="Arial"/>
                <w:sz w:val="18"/>
                <w:szCs w:val="18"/>
                <w:color w:val="auto"/>
              </w:rPr>
              <w:t>and in the assessment and development of talent. Mr. Andonian also has deep global executive</w:t>
            </w:r>
          </w:p>
        </w:tc>
        <w:tc>
          <w:tcPr>
            <w:tcW w:w="0" w:type="dxa"/>
            <w:vAlign w:val="bottom"/>
          </w:tcPr>
          <w:p>
            <w:pPr>
              <w:spacing w:after="0"/>
              <w:rPr>
                <w:sz w:val="1"/>
                <w:szCs w:val="1"/>
                <w:color w:val="auto"/>
              </w:rPr>
            </w:pPr>
          </w:p>
        </w:tc>
      </w:tr>
      <w:tr>
        <w:trPr>
          <w:trHeight w:val="216"/>
        </w:trPr>
        <w:tc>
          <w:tcPr>
            <w:tcW w:w="1040" w:type="dxa"/>
            <w:vAlign w:val="bottom"/>
          </w:tcPr>
          <w:p>
            <w:pPr>
              <w:spacing w:after="0"/>
              <w:rPr>
                <w:sz w:val="18"/>
                <w:szCs w:val="18"/>
                <w:color w:val="auto"/>
              </w:rPr>
            </w:pPr>
          </w:p>
        </w:tc>
        <w:tc>
          <w:tcPr>
            <w:tcW w:w="1600" w:type="dxa"/>
            <w:vAlign w:val="bottom"/>
            <w:tcBorders>
              <w:right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8420" w:type="dxa"/>
            <w:vAlign w:val="bottom"/>
          </w:tcPr>
          <w:p>
            <w:pPr>
              <w:ind w:left="40"/>
              <w:spacing w:after="0"/>
              <w:rPr>
                <w:sz w:val="20"/>
                <w:szCs w:val="20"/>
                <w:color w:val="auto"/>
              </w:rPr>
            </w:pPr>
            <w:r>
              <w:rPr>
                <w:rFonts w:ascii="Arial" w:cs="Arial" w:eastAsia="Arial" w:hAnsi="Arial"/>
                <w:sz w:val="18"/>
                <w:szCs w:val="18"/>
                <w:color w:val="auto"/>
              </w:rPr>
              <w:t>leadership experience, previously holding executive leadership roles at McKinsey across Europe, the</w:t>
            </w:r>
          </w:p>
        </w:tc>
        <w:tc>
          <w:tcPr>
            <w:tcW w:w="0" w:type="dxa"/>
            <w:vAlign w:val="bottom"/>
          </w:tcPr>
          <w:p>
            <w:pPr>
              <w:spacing w:after="0"/>
              <w:rPr>
                <w:sz w:val="1"/>
                <w:szCs w:val="1"/>
                <w:color w:val="auto"/>
              </w:rPr>
            </w:pPr>
          </w:p>
        </w:tc>
      </w:tr>
      <w:tr>
        <w:trPr>
          <w:trHeight w:val="216"/>
        </w:trPr>
        <w:tc>
          <w:tcPr>
            <w:tcW w:w="1040" w:type="dxa"/>
            <w:vAlign w:val="bottom"/>
          </w:tcPr>
          <w:p>
            <w:pPr>
              <w:spacing w:after="0"/>
              <w:rPr>
                <w:sz w:val="18"/>
                <w:szCs w:val="18"/>
                <w:color w:val="auto"/>
              </w:rPr>
            </w:pPr>
          </w:p>
        </w:tc>
        <w:tc>
          <w:tcPr>
            <w:tcW w:w="1600" w:type="dxa"/>
            <w:vAlign w:val="bottom"/>
            <w:tcBorders>
              <w:right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8420" w:type="dxa"/>
            <w:vAlign w:val="bottom"/>
          </w:tcPr>
          <w:p>
            <w:pPr>
              <w:ind w:left="40"/>
              <w:spacing w:after="0"/>
              <w:rPr>
                <w:sz w:val="20"/>
                <w:szCs w:val="20"/>
                <w:color w:val="auto"/>
              </w:rPr>
            </w:pPr>
            <w:r>
              <w:rPr>
                <w:rFonts w:ascii="Arial" w:cs="Arial" w:eastAsia="Arial" w:hAnsi="Arial"/>
                <w:sz w:val="18"/>
                <w:szCs w:val="18"/>
                <w:color w:val="auto"/>
              </w:rPr>
              <w:t>United States, and Asia over a 30-year career. Further, Mr. Andonian brings significant experience</w:t>
            </w:r>
          </w:p>
        </w:tc>
        <w:tc>
          <w:tcPr>
            <w:tcW w:w="0" w:type="dxa"/>
            <w:vAlign w:val="bottom"/>
          </w:tcPr>
          <w:p>
            <w:pPr>
              <w:spacing w:after="0"/>
              <w:rPr>
                <w:sz w:val="1"/>
                <w:szCs w:val="1"/>
                <w:color w:val="auto"/>
              </w:rPr>
            </w:pPr>
          </w:p>
        </w:tc>
      </w:tr>
      <w:tr>
        <w:trPr>
          <w:trHeight w:val="216"/>
        </w:trPr>
        <w:tc>
          <w:tcPr>
            <w:tcW w:w="1040" w:type="dxa"/>
            <w:vAlign w:val="bottom"/>
          </w:tcPr>
          <w:p>
            <w:pPr>
              <w:spacing w:after="0"/>
              <w:rPr>
                <w:sz w:val="18"/>
                <w:szCs w:val="18"/>
                <w:color w:val="auto"/>
              </w:rPr>
            </w:pPr>
          </w:p>
        </w:tc>
        <w:tc>
          <w:tcPr>
            <w:tcW w:w="1600" w:type="dxa"/>
            <w:vAlign w:val="bottom"/>
            <w:tcBorders>
              <w:right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8420" w:type="dxa"/>
            <w:vAlign w:val="bottom"/>
          </w:tcPr>
          <w:p>
            <w:pPr>
              <w:ind w:left="40"/>
              <w:spacing w:after="0"/>
              <w:rPr>
                <w:sz w:val="20"/>
                <w:szCs w:val="20"/>
                <w:color w:val="auto"/>
              </w:rPr>
            </w:pPr>
            <w:r>
              <w:rPr>
                <w:rFonts w:ascii="Arial" w:cs="Arial" w:eastAsia="Arial" w:hAnsi="Arial"/>
                <w:sz w:val="18"/>
                <w:szCs w:val="18"/>
                <w:color w:val="auto"/>
              </w:rPr>
              <w:t>working with senior leaders of companies around the world and across a multitude of industries on a</w:t>
            </w:r>
          </w:p>
        </w:tc>
        <w:tc>
          <w:tcPr>
            <w:tcW w:w="0" w:type="dxa"/>
            <w:vAlign w:val="bottom"/>
          </w:tcPr>
          <w:p>
            <w:pPr>
              <w:spacing w:after="0"/>
              <w:rPr>
                <w:sz w:val="1"/>
                <w:szCs w:val="1"/>
                <w:color w:val="auto"/>
              </w:rPr>
            </w:pPr>
          </w:p>
        </w:tc>
      </w:tr>
      <w:tr>
        <w:trPr>
          <w:trHeight w:val="239"/>
        </w:trPr>
        <w:tc>
          <w:tcPr>
            <w:tcW w:w="1040" w:type="dxa"/>
            <w:vAlign w:val="bottom"/>
          </w:tcPr>
          <w:p>
            <w:pPr>
              <w:spacing w:after="0"/>
              <w:rPr>
                <w:sz w:val="20"/>
                <w:szCs w:val="20"/>
                <w:color w:val="auto"/>
              </w:rPr>
            </w:pPr>
          </w:p>
        </w:tc>
        <w:tc>
          <w:tcPr>
            <w:tcW w:w="1600" w:type="dxa"/>
            <w:vAlign w:val="bottom"/>
            <w:tcBorders>
              <w:right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8420" w:type="dxa"/>
            <w:vAlign w:val="bottom"/>
          </w:tcPr>
          <w:p>
            <w:pPr>
              <w:ind w:left="40"/>
              <w:spacing w:after="0"/>
              <w:rPr>
                <w:sz w:val="20"/>
                <w:szCs w:val="20"/>
                <w:color w:val="auto"/>
              </w:rPr>
            </w:pPr>
            <w:r>
              <w:rPr>
                <w:rFonts w:ascii="Arial" w:cs="Arial" w:eastAsia="Arial" w:hAnsi="Arial"/>
                <w:sz w:val="18"/>
                <w:szCs w:val="18"/>
                <w:color w:val="auto"/>
              </w:rPr>
              <w:t>broad range of strategic and operational issues, including driving board effectiveness.</w:t>
            </w:r>
          </w:p>
        </w:tc>
        <w:tc>
          <w:tcPr>
            <w:tcW w:w="0" w:type="dxa"/>
            <w:vAlign w:val="bottom"/>
          </w:tcPr>
          <w:p>
            <w:pPr>
              <w:spacing w:after="0"/>
              <w:rPr>
                <w:sz w:val="1"/>
                <w:szCs w:val="1"/>
                <w:color w:val="auto"/>
              </w:rPr>
            </w:pPr>
          </w:p>
        </w:tc>
      </w:tr>
      <w:tr>
        <w:trPr>
          <w:trHeight w:val="295"/>
        </w:trPr>
        <w:tc>
          <w:tcPr>
            <w:tcW w:w="1040" w:type="dxa"/>
            <w:vAlign w:val="bottom"/>
          </w:tcPr>
          <w:p>
            <w:pPr>
              <w:spacing w:after="0"/>
              <w:rPr>
                <w:sz w:val="24"/>
                <w:szCs w:val="24"/>
                <w:color w:val="auto"/>
              </w:rPr>
            </w:pPr>
          </w:p>
        </w:tc>
        <w:tc>
          <w:tcPr>
            <w:tcW w:w="1600" w:type="dxa"/>
            <w:vAlign w:val="bottom"/>
            <w:tcBorders>
              <w:right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8420" w:type="dxa"/>
            <w:vAlign w:val="bottom"/>
          </w:tcPr>
          <w:p>
            <w:pPr>
              <w:ind w:left="40"/>
              <w:spacing w:after="0"/>
              <w:rPr>
                <w:sz w:val="20"/>
                <w:szCs w:val="20"/>
                <w:color w:val="auto"/>
              </w:rPr>
            </w:pPr>
            <w:r>
              <w:rPr>
                <w:rFonts w:ascii="Arial" w:cs="Arial" w:eastAsia="Arial" w:hAnsi="Arial"/>
                <w:sz w:val="15"/>
                <w:szCs w:val="15"/>
                <w:b w:val="1"/>
                <w:bCs w:val="1"/>
                <w:color w:val="0067B3"/>
              </w:rPr>
              <w:t>OTHER PUBLIC COMPANY BOARDS</w:t>
            </w:r>
          </w:p>
        </w:tc>
        <w:tc>
          <w:tcPr>
            <w:tcW w:w="0" w:type="dxa"/>
            <w:vAlign w:val="bottom"/>
          </w:tcPr>
          <w:p>
            <w:pPr>
              <w:spacing w:after="0"/>
              <w:rPr>
                <w:sz w:val="1"/>
                <w:szCs w:val="1"/>
                <w:color w:val="auto"/>
              </w:rPr>
            </w:pPr>
          </w:p>
        </w:tc>
      </w:tr>
      <w:tr>
        <w:trPr>
          <w:trHeight w:val="290"/>
        </w:trPr>
        <w:tc>
          <w:tcPr>
            <w:tcW w:w="1040" w:type="dxa"/>
            <w:vAlign w:val="bottom"/>
          </w:tcPr>
          <w:p>
            <w:pPr>
              <w:spacing w:after="0"/>
              <w:rPr>
                <w:sz w:val="24"/>
                <w:szCs w:val="24"/>
                <w:color w:val="auto"/>
              </w:rPr>
            </w:pPr>
          </w:p>
        </w:tc>
        <w:tc>
          <w:tcPr>
            <w:tcW w:w="1600" w:type="dxa"/>
            <w:vAlign w:val="bottom"/>
            <w:tcBorders>
              <w:right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8420" w:type="dxa"/>
            <w:vAlign w:val="bottom"/>
          </w:tcPr>
          <w:p>
            <w:pPr>
              <w:ind w:left="40"/>
              <w:spacing w:after="0"/>
              <w:rPr>
                <w:sz w:val="20"/>
                <w:szCs w:val="20"/>
                <w:color w:val="auto"/>
              </w:rPr>
            </w:pPr>
            <w:r>
              <w:rPr>
                <w:rFonts w:ascii="Arial" w:cs="Arial" w:eastAsia="Arial" w:hAnsi="Arial"/>
                <w:sz w:val="18"/>
                <w:szCs w:val="18"/>
                <w:color w:val="0067B3"/>
              </w:rPr>
              <w:t xml:space="preserve">Current: </w:t>
            </w:r>
            <w:r>
              <w:rPr>
                <w:rFonts w:ascii="Arial" w:cs="Arial" w:eastAsia="Arial" w:hAnsi="Arial"/>
                <w:sz w:val="18"/>
                <w:szCs w:val="18"/>
                <w:color w:val="000000"/>
              </w:rPr>
              <w:t>AEM Holdings Ltd. (SGX:AWK)</w:t>
            </w:r>
          </w:p>
        </w:tc>
        <w:tc>
          <w:tcPr>
            <w:tcW w:w="0" w:type="dxa"/>
            <w:vAlign w:val="bottom"/>
          </w:tcPr>
          <w:p>
            <w:pPr>
              <w:spacing w:after="0"/>
              <w:rPr>
                <w:sz w:val="1"/>
                <w:szCs w:val="1"/>
                <w:color w:val="auto"/>
              </w:rPr>
            </w:pPr>
          </w:p>
        </w:tc>
      </w:tr>
      <w:tr>
        <w:trPr>
          <w:trHeight w:val="239"/>
        </w:trPr>
        <w:tc>
          <w:tcPr>
            <w:tcW w:w="1040" w:type="dxa"/>
            <w:vAlign w:val="bottom"/>
          </w:tcPr>
          <w:p>
            <w:pPr>
              <w:spacing w:after="0"/>
              <w:rPr>
                <w:sz w:val="20"/>
                <w:szCs w:val="20"/>
                <w:color w:val="auto"/>
              </w:rPr>
            </w:pPr>
          </w:p>
        </w:tc>
        <w:tc>
          <w:tcPr>
            <w:tcW w:w="1600" w:type="dxa"/>
            <w:vAlign w:val="bottom"/>
            <w:tcBorders>
              <w:right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8420" w:type="dxa"/>
            <w:vAlign w:val="bottom"/>
          </w:tcPr>
          <w:p>
            <w:pPr>
              <w:ind w:left="40"/>
              <w:spacing w:after="0"/>
              <w:rPr>
                <w:sz w:val="20"/>
                <w:szCs w:val="20"/>
                <w:color w:val="auto"/>
              </w:rPr>
            </w:pPr>
            <w:r>
              <w:rPr>
                <w:rFonts w:ascii="Arial" w:cs="Arial" w:eastAsia="Arial" w:hAnsi="Arial"/>
                <w:sz w:val="18"/>
                <w:szCs w:val="18"/>
                <w:color w:val="0067B3"/>
              </w:rPr>
              <w:t xml:space="preserve">Past 5 Years: </w:t>
            </w:r>
            <w:r>
              <w:rPr>
                <w:rFonts w:ascii="Arial" w:cs="Arial" w:eastAsia="Arial" w:hAnsi="Arial"/>
                <w:sz w:val="18"/>
                <w:szCs w:val="18"/>
                <w:color w:val="000000"/>
              </w:rPr>
              <w:t>None</w:t>
            </w:r>
          </w:p>
        </w:tc>
        <w:tc>
          <w:tcPr>
            <w:tcW w:w="0" w:type="dxa"/>
            <w:vAlign w:val="bottom"/>
          </w:tcPr>
          <w:p>
            <w:pPr>
              <w:spacing w:after="0"/>
              <w:rPr>
                <w:sz w:val="1"/>
                <w:szCs w:val="1"/>
                <w:color w:val="auto"/>
              </w:rPr>
            </w:pPr>
          </w:p>
        </w:tc>
      </w:tr>
      <w:tr>
        <w:trPr>
          <w:trHeight w:val="279"/>
        </w:trPr>
        <w:tc>
          <w:tcPr>
            <w:tcW w:w="1040" w:type="dxa"/>
            <w:vAlign w:val="bottom"/>
          </w:tcPr>
          <w:p>
            <w:pPr>
              <w:spacing w:after="0"/>
              <w:rPr>
                <w:sz w:val="24"/>
                <w:szCs w:val="24"/>
                <w:color w:val="auto"/>
              </w:rPr>
            </w:pPr>
          </w:p>
        </w:tc>
        <w:tc>
          <w:tcPr>
            <w:tcW w:w="1600" w:type="dxa"/>
            <w:vAlign w:val="bottom"/>
            <w:tcBorders>
              <w:right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8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6"/>
        </w:trPr>
        <w:tc>
          <w:tcPr>
            <w:tcW w:w="1040" w:type="dxa"/>
            <w:vAlign w:val="bottom"/>
            <w:vMerge w:val="restart"/>
            <w:shd w:val="clear" w:color="auto" w:fill="E2E6F4"/>
          </w:tcPr>
          <w:p>
            <w:pPr>
              <w:ind w:left="200"/>
              <w:spacing w:after="0"/>
              <w:rPr>
                <w:sz w:val="20"/>
                <w:szCs w:val="20"/>
                <w:color w:val="auto"/>
              </w:rPr>
            </w:pPr>
            <w:r>
              <w:rPr>
                <w:rFonts w:ascii="Arial" w:cs="Arial" w:eastAsia="Arial" w:hAnsi="Arial"/>
                <w:sz w:val="18"/>
                <w:szCs w:val="18"/>
                <w:b w:val="1"/>
                <w:bCs w:val="1"/>
                <w:color w:val="auto"/>
              </w:rPr>
              <w:t xml:space="preserve">Age: </w:t>
            </w:r>
            <w:r>
              <w:rPr>
                <w:rFonts w:ascii="Arial" w:cs="Arial" w:eastAsia="Arial" w:hAnsi="Arial"/>
                <w:sz w:val="18"/>
                <w:szCs w:val="18"/>
                <w:color w:val="auto"/>
              </w:rPr>
              <w:t>63</w:t>
            </w:r>
          </w:p>
        </w:tc>
        <w:tc>
          <w:tcPr>
            <w:tcW w:w="1780" w:type="dxa"/>
            <w:vAlign w:val="bottom"/>
            <w:gridSpan w:val="2"/>
            <w:vMerge w:val="restart"/>
            <w:shd w:val="clear" w:color="auto" w:fill="E2E6F4"/>
          </w:tcPr>
          <w:p>
            <w:pPr>
              <w:ind w:left="20"/>
              <w:spacing w:after="0"/>
              <w:rPr>
                <w:sz w:val="20"/>
                <w:szCs w:val="20"/>
                <w:color w:val="auto"/>
              </w:rPr>
            </w:pPr>
            <w:r>
              <w:rPr>
                <w:rFonts w:ascii="Arial" w:cs="Arial" w:eastAsia="Arial" w:hAnsi="Arial"/>
                <w:sz w:val="18"/>
                <w:szCs w:val="18"/>
                <w:b w:val="1"/>
                <w:bCs w:val="1"/>
                <w:color w:val="auto"/>
              </w:rPr>
              <w:t xml:space="preserve">Director since: </w:t>
            </w:r>
            <w:r>
              <w:rPr>
                <w:rFonts w:ascii="Arial" w:cs="Arial" w:eastAsia="Arial" w:hAnsi="Arial"/>
                <w:sz w:val="18"/>
                <w:szCs w:val="18"/>
                <w:color w:val="auto"/>
              </w:rPr>
              <w:t>2022</w:t>
            </w:r>
          </w:p>
        </w:tc>
        <w:tc>
          <w:tcPr>
            <w:tcW w:w="8420" w:type="dxa"/>
            <w:vAlign w:val="bottom"/>
            <w:shd w:val="clear" w:color="auto" w:fill="E2E6F4"/>
          </w:tcPr>
          <w:p>
            <w:pPr>
              <w:ind w:left="160"/>
              <w:spacing w:after="0"/>
              <w:rPr>
                <w:sz w:val="20"/>
                <w:szCs w:val="20"/>
                <w:color w:val="auto"/>
              </w:rPr>
            </w:pPr>
            <w:r>
              <w:rPr>
                <w:rFonts w:ascii="Arial" w:cs="Arial" w:eastAsia="Arial" w:hAnsi="Arial"/>
                <w:sz w:val="18"/>
                <w:szCs w:val="18"/>
                <w:b w:val="1"/>
                <w:bCs w:val="1"/>
                <w:color w:val="auto"/>
              </w:rPr>
              <w:t xml:space="preserve">Committee(s): </w:t>
            </w:r>
            <w:r>
              <w:rPr>
                <w:rFonts w:ascii="Arial" w:cs="Arial" w:eastAsia="Arial" w:hAnsi="Arial"/>
                <w:sz w:val="18"/>
                <w:szCs w:val="18"/>
                <w:color w:val="auto"/>
              </w:rPr>
              <w:t>Compensation and Talent;</w:t>
            </w:r>
          </w:p>
        </w:tc>
        <w:tc>
          <w:tcPr>
            <w:tcW w:w="0" w:type="dxa"/>
            <w:vAlign w:val="bottom"/>
          </w:tcPr>
          <w:p>
            <w:pPr>
              <w:spacing w:after="0"/>
              <w:rPr>
                <w:sz w:val="1"/>
                <w:szCs w:val="1"/>
                <w:color w:val="auto"/>
              </w:rPr>
            </w:pPr>
          </w:p>
        </w:tc>
      </w:tr>
      <w:tr>
        <w:trPr>
          <w:trHeight w:val="139"/>
        </w:trPr>
        <w:tc>
          <w:tcPr>
            <w:tcW w:w="1040" w:type="dxa"/>
            <w:vAlign w:val="bottom"/>
            <w:vMerge w:val="continue"/>
            <w:shd w:val="clear" w:color="auto" w:fill="E2E6F4"/>
          </w:tcPr>
          <w:p>
            <w:pPr>
              <w:spacing w:after="0"/>
              <w:rPr>
                <w:sz w:val="12"/>
                <w:szCs w:val="12"/>
                <w:color w:val="auto"/>
              </w:rPr>
            </w:pPr>
          </w:p>
        </w:tc>
        <w:tc>
          <w:tcPr>
            <w:tcW w:w="1780" w:type="dxa"/>
            <w:vAlign w:val="bottom"/>
            <w:gridSpan w:val="2"/>
            <w:vMerge w:val="continue"/>
            <w:shd w:val="clear" w:color="auto" w:fill="E2E6F4"/>
          </w:tcPr>
          <w:p>
            <w:pPr>
              <w:spacing w:after="0"/>
              <w:rPr>
                <w:sz w:val="12"/>
                <w:szCs w:val="12"/>
                <w:color w:val="auto"/>
              </w:rPr>
            </w:pPr>
          </w:p>
        </w:tc>
        <w:tc>
          <w:tcPr>
            <w:tcW w:w="8420" w:type="dxa"/>
            <w:vAlign w:val="bottom"/>
            <w:vMerge w:val="restart"/>
            <w:shd w:val="clear" w:color="auto" w:fill="E2E6F4"/>
          </w:tcPr>
          <w:p>
            <w:pPr>
              <w:ind w:left="160"/>
              <w:spacing w:after="0"/>
              <w:rPr>
                <w:sz w:val="20"/>
                <w:szCs w:val="20"/>
                <w:color w:val="auto"/>
              </w:rPr>
            </w:pPr>
            <w:r>
              <w:rPr>
                <w:rFonts w:ascii="Arial" w:cs="Arial" w:eastAsia="Arial" w:hAnsi="Arial"/>
                <w:sz w:val="18"/>
                <w:szCs w:val="18"/>
                <w:color w:val="auto"/>
              </w:rPr>
              <w:t>Corporate Development</w:t>
            </w:r>
          </w:p>
        </w:tc>
        <w:tc>
          <w:tcPr>
            <w:tcW w:w="0" w:type="dxa"/>
            <w:vAlign w:val="bottom"/>
          </w:tcPr>
          <w:p>
            <w:pPr>
              <w:spacing w:after="0"/>
              <w:rPr>
                <w:sz w:val="1"/>
                <w:szCs w:val="1"/>
                <w:color w:val="auto"/>
              </w:rPr>
            </w:pPr>
          </w:p>
        </w:tc>
      </w:tr>
      <w:tr>
        <w:trPr>
          <w:trHeight w:val="100"/>
        </w:trPr>
        <w:tc>
          <w:tcPr>
            <w:tcW w:w="1040" w:type="dxa"/>
            <w:vAlign w:val="bottom"/>
            <w:shd w:val="clear" w:color="auto" w:fill="E2E6F4"/>
          </w:tcPr>
          <w:p>
            <w:pPr>
              <w:spacing w:after="0"/>
              <w:rPr>
                <w:sz w:val="8"/>
                <w:szCs w:val="8"/>
                <w:color w:val="auto"/>
              </w:rPr>
            </w:pPr>
          </w:p>
        </w:tc>
        <w:tc>
          <w:tcPr>
            <w:tcW w:w="1600" w:type="dxa"/>
            <w:vAlign w:val="bottom"/>
            <w:tcBorders>
              <w:right w:val="single" w:sz="8" w:color="E2E6F4"/>
            </w:tcBorders>
            <w:shd w:val="clear" w:color="auto" w:fill="E2E6F4"/>
          </w:tcPr>
          <w:p>
            <w:pPr>
              <w:spacing w:after="0"/>
              <w:rPr>
                <w:sz w:val="8"/>
                <w:szCs w:val="8"/>
                <w:color w:val="auto"/>
              </w:rPr>
            </w:pPr>
          </w:p>
        </w:tc>
        <w:tc>
          <w:tcPr>
            <w:tcW w:w="180" w:type="dxa"/>
            <w:vAlign w:val="bottom"/>
            <w:shd w:val="clear" w:color="auto" w:fill="E2E6F4"/>
          </w:tcPr>
          <w:p>
            <w:pPr>
              <w:spacing w:after="0"/>
              <w:rPr>
                <w:sz w:val="8"/>
                <w:szCs w:val="8"/>
                <w:color w:val="auto"/>
              </w:rPr>
            </w:pPr>
          </w:p>
        </w:tc>
        <w:tc>
          <w:tcPr>
            <w:tcW w:w="8420" w:type="dxa"/>
            <w:vAlign w:val="bottom"/>
            <w:vMerge w:val="continue"/>
            <w:shd w:val="clear" w:color="auto" w:fill="E2E6F4"/>
          </w:tcPr>
          <w:p>
            <w:pPr>
              <w:spacing w:after="0"/>
              <w:rPr>
                <w:sz w:val="8"/>
                <w:szCs w:val="8"/>
                <w:color w:val="auto"/>
              </w:rPr>
            </w:pPr>
          </w:p>
        </w:tc>
        <w:tc>
          <w:tcPr>
            <w:tcW w:w="0" w:type="dxa"/>
            <w:vAlign w:val="bottom"/>
          </w:tcPr>
          <w:p>
            <w:pPr>
              <w:spacing w:after="0"/>
              <w:rPr>
                <w:sz w:val="1"/>
                <w:szCs w:val="1"/>
                <w:color w:val="auto"/>
              </w:rPr>
            </w:pPr>
          </w:p>
        </w:tc>
      </w:tr>
      <w:tr>
        <w:trPr>
          <w:trHeight w:val="185"/>
        </w:trPr>
        <w:tc>
          <w:tcPr>
            <w:tcW w:w="1040" w:type="dxa"/>
            <w:vAlign w:val="bottom"/>
            <w:shd w:val="clear" w:color="auto" w:fill="E2E6F4"/>
          </w:tcPr>
          <w:p>
            <w:pPr>
              <w:spacing w:after="0"/>
              <w:rPr>
                <w:sz w:val="16"/>
                <w:szCs w:val="16"/>
                <w:color w:val="auto"/>
              </w:rPr>
            </w:pPr>
          </w:p>
        </w:tc>
        <w:tc>
          <w:tcPr>
            <w:tcW w:w="1600" w:type="dxa"/>
            <w:vAlign w:val="bottom"/>
            <w:tcBorders>
              <w:right w:val="single" w:sz="8" w:color="E2E6F4"/>
            </w:tcBorders>
            <w:shd w:val="clear" w:color="auto" w:fill="E2E6F4"/>
          </w:tcPr>
          <w:p>
            <w:pPr>
              <w:spacing w:after="0"/>
              <w:rPr>
                <w:sz w:val="16"/>
                <w:szCs w:val="16"/>
                <w:color w:val="auto"/>
              </w:rPr>
            </w:pPr>
          </w:p>
        </w:tc>
        <w:tc>
          <w:tcPr>
            <w:tcW w:w="180" w:type="dxa"/>
            <w:vAlign w:val="bottom"/>
            <w:shd w:val="clear" w:color="auto" w:fill="E2E6F4"/>
          </w:tcPr>
          <w:p>
            <w:pPr>
              <w:spacing w:after="0"/>
              <w:rPr>
                <w:sz w:val="16"/>
                <w:szCs w:val="16"/>
                <w:color w:val="auto"/>
              </w:rPr>
            </w:pPr>
          </w:p>
        </w:tc>
        <w:tc>
          <w:tcPr>
            <w:tcW w:w="8420" w:type="dxa"/>
            <w:vAlign w:val="bottom"/>
            <w:shd w:val="clear" w:color="auto" w:fill="E2E6F4"/>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1040" w:type="dxa"/>
            <w:vAlign w:val="bottom"/>
            <w:tcBorders>
              <w:bottom w:val="single" w:sz="8" w:color="0067B3"/>
            </w:tcBorders>
          </w:tcPr>
          <w:p>
            <w:pPr>
              <w:spacing w:after="0"/>
              <w:rPr>
                <w:sz w:val="20"/>
                <w:szCs w:val="20"/>
                <w:color w:val="auto"/>
              </w:rPr>
            </w:pPr>
          </w:p>
        </w:tc>
        <w:tc>
          <w:tcPr>
            <w:tcW w:w="1600" w:type="dxa"/>
            <w:vAlign w:val="bottom"/>
            <w:tcBorders>
              <w:bottom w:val="single" w:sz="8" w:color="0067B3"/>
            </w:tcBorders>
          </w:tcPr>
          <w:p>
            <w:pPr>
              <w:spacing w:after="0"/>
              <w:rPr>
                <w:sz w:val="20"/>
                <w:szCs w:val="20"/>
                <w:color w:val="auto"/>
              </w:rPr>
            </w:pPr>
          </w:p>
        </w:tc>
        <w:tc>
          <w:tcPr>
            <w:tcW w:w="180" w:type="dxa"/>
            <w:vAlign w:val="bottom"/>
            <w:tcBorders>
              <w:bottom w:val="single" w:sz="8" w:color="0067B3"/>
            </w:tcBorders>
          </w:tcPr>
          <w:p>
            <w:pPr>
              <w:spacing w:after="0"/>
              <w:rPr>
                <w:sz w:val="20"/>
                <w:szCs w:val="20"/>
                <w:color w:val="auto"/>
              </w:rPr>
            </w:pPr>
          </w:p>
        </w:tc>
        <w:tc>
          <w:tcPr>
            <w:tcW w:w="8420" w:type="dxa"/>
            <w:vAlign w:val="bottom"/>
            <w:tcBorders>
              <w:bottom w:val="single" w:sz="8" w:color="0067B3"/>
            </w:tcBorders>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116205</wp:posOffset>
            </wp:positionH>
            <wp:positionV relativeFrom="paragraph">
              <wp:posOffset>-4148455</wp:posOffset>
            </wp:positionV>
            <wp:extent cx="1440180" cy="144018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1440180" cy="1440180"/>
                    </a:xfrm>
                    <a:prstGeom prst="rect">
                      <a:avLst/>
                    </a:prstGeom>
                    <a:noFill/>
                  </pic:spPr>
                </pic:pic>
              </a:graphicData>
            </a:graphic>
          </wp:anchor>
        </w:drawing>
        <w:drawing>
          <wp:anchor simplePos="0" relativeHeight="251657728" behindDoc="1" locked="0" layoutInCell="0" allowOverlap="1">
            <wp:simplePos x="0" y="0"/>
            <wp:positionH relativeFrom="column">
              <wp:posOffset>5105400</wp:posOffset>
            </wp:positionH>
            <wp:positionV relativeFrom="paragraph">
              <wp:posOffset>-556895</wp:posOffset>
            </wp:positionV>
            <wp:extent cx="1894205" cy="20574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1894205" cy="205740"/>
                    </a:xfrm>
                    <a:prstGeom prst="rect">
                      <a:avLst/>
                    </a:prstGeom>
                    <a:noFill/>
                  </pic:spPr>
                </pic:pic>
              </a:graphicData>
            </a:graphic>
          </wp:anchor>
        </w:drawing>
        <w:drawing>
          <wp:anchor simplePos="0" relativeHeight="251657728" behindDoc="1" locked="0" layoutInCell="0" allowOverlap="1">
            <wp:simplePos x="0" y="0"/>
            <wp:positionH relativeFrom="column">
              <wp:posOffset>116205</wp:posOffset>
            </wp:positionH>
            <wp:positionV relativeFrom="paragraph">
              <wp:posOffset>0</wp:posOffset>
            </wp:positionV>
            <wp:extent cx="1560195" cy="362585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1560195" cy="3625850"/>
                    </a:xfrm>
                    <a:prstGeom prst="rect">
                      <a:avLst/>
                    </a:prstGeom>
                    <a:noFill/>
                  </pic:spPr>
                </pic:pic>
              </a:graphicData>
            </a:graphic>
          </wp:anchor>
        </w:drawing>
      </w:r>
    </w:p>
    <w:p>
      <w:pPr>
        <w:sectPr>
          <w:pgSz w:w="11900" w:h="16838" w:orient="portrait"/>
          <w:cols w:equalWidth="0" w:num="1">
            <w:col w:w="11240"/>
          </w:cols>
          <w:pgMar w:left="320" w:top="1200" w:right="339" w:bottom="786"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ind w:left="20"/>
        <w:spacing w:after="0" w:line="289" w:lineRule="auto"/>
        <w:rPr>
          <w:sz w:val="20"/>
          <w:szCs w:val="20"/>
          <w:color w:val="auto"/>
        </w:rPr>
      </w:pPr>
      <w:r>
        <w:rPr>
          <w:rFonts w:ascii="Arial" w:cs="Arial" w:eastAsia="Arial" w:hAnsi="Arial"/>
          <w:sz w:val="27"/>
          <w:szCs w:val="27"/>
          <w:b w:val="1"/>
          <w:bCs w:val="1"/>
          <w:color w:val="0067B3"/>
        </w:rPr>
        <w:t>Edward H. Frank, Ph.D.</w:t>
      </w:r>
    </w:p>
    <w:p>
      <w:pPr>
        <w:spacing w:after="0" w:line="2" w:lineRule="exact"/>
        <w:rPr>
          <w:sz w:val="20"/>
          <w:szCs w:val="20"/>
          <w:color w:val="auto"/>
        </w:rPr>
      </w:pPr>
    </w:p>
    <w:p>
      <w:pPr>
        <w:ind w:left="20"/>
        <w:spacing w:after="0"/>
        <w:rPr>
          <w:sz w:val="20"/>
          <w:szCs w:val="20"/>
          <w:color w:val="auto"/>
        </w:rPr>
      </w:pPr>
      <w:r>
        <w:rPr>
          <w:rFonts w:ascii="Arial" w:cs="Arial" w:eastAsia="Arial" w:hAnsi="Arial"/>
          <w:sz w:val="17"/>
          <w:szCs w:val="17"/>
          <w:color w:val="auto"/>
        </w:rPr>
        <w:t>Independent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1450340</wp:posOffset>
            </wp:positionV>
            <wp:extent cx="659765" cy="50546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659765" cy="50546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90" w:lineRule="exact"/>
        <w:rPr>
          <w:sz w:val="20"/>
          <w:szCs w:val="20"/>
          <w:color w:val="auto"/>
        </w:rPr>
      </w:pPr>
    </w:p>
    <w:p>
      <w:pPr>
        <w:spacing w:after="0"/>
        <w:rPr>
          <w:sz w:val="20"/>
          <w:szCs w:val="20"/>
          <w:color w:val="auto"/>
        </w:rPr>
      </w:pPr>
      <w:r>
        <w:rPr>
          <w:rFonts w:ascii="Arial" w:cs="Arial" w:eastAsia="Arial" w:hAnsi="Arial"/>
          <w:sz w:val="15"/>
          <w:szCs w:val="15"/>
          <w:b w:val="1"/>
          <w:bCs w:val="1"/>
          <w:color w:val="0067B3"/>
        </w:rPr>
        <w:t>PROFESSIONAL EXPERIENCE AND BACKGROUND</w:t>
      </w:r>
    </w:p>
    <w:p>
      <w:pPr>
        <w:spacing w:after="0" w:line="125"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Since September 2022, Dr. Frank has been the Executive Chair of Gradient Technologies, Inc., a security technologies startup, focused on identity and access management, and was co-founder and CEO of Cloud Parity Inc., a voice of the customer startup, from January 2014 through August 2016. From May 2009 to October 2013, Dr. Frank held the position of Vice President, Macintosh Hardware Systems Engineering at Apple Inc., a company that designs, manufactures, and markets electronic devices. Prior to his tenure at Apple, Dr. Frank served as Corporate Vice President, Research and Development, of Broadcom Corp. Dr. Frank was founding CEO of Epigram, Inc., a developer of integrated circuits and software for home networking, which Broadcom acquired in 1999, and was a Distinguished Engineer at Sun Microsystems, Inc. Since 2000, Dr. Frank has been a Trustee of Carnegie Mellon University and served as vice-chair from 2015 through 2021. Dr. Frank has served on the board of directors of Metallica’s All Within My Hands Foundation since July 2017, where he also served as Executive Director (pro bono) from July 2017 through December 2021. He is a member of the National Academy of Engineering and a Fellow of the IEEE.</w:t>
      </w:r>
    </w:p>
    <w:p>
      <w:pPr>
        <w:spacing w:after="0" w:line="79" w:lineRule="exact"/>
        <w:rPr>
          <w:sz w:val="20"/>
          <w:szCs w:val="20"/>
          <w:color w:val="auto"/>
        </w:rPr>
      </w:pPr>
    </w:p>
    <w:p>
      <w:pPr>
        <w:spacing w:after="0"/>
        <w:rPr>
          <w:sz w:val="20"/>
          <w:szCs w:val="20"/>
          <w:color w:val="auto"/>
        </w:rPr>
      </w:pPr>
      <w:r>
        <w:rPr>
          <w:rFonts w:ascii="Arial" w:cs="Arial" w:eastAsia="Arial" w:hAnsi="Arial"/>
          <w:sz w:val="15"/>
          <w:szCs w:val="15"/>
          <w:b w:val="1"/>
          <w:bCs w:val="1"/>
          <w:color w:val="0067B3"/>
        </w:rPr>
        <w:t>KEY QUALIFICATIONS AND EXPERTISE</w:t>
      </w:r>
    </w:p>
    <w:p>
      <w:pPr>
        <w:spacing w:after="0" w:line="112" w:lineRule="exact"/>
        <w:rPr>
          <w:sz w:val="20"/>
          <w:szCs w:val="20"/>
          <w:color w:val="auto"/>
        </w:rPr>
      </w:pPr>
    </w:p>
    <w:p>
      <w:pPr>
        <w:ind w:right="200"/>
        <w:spacing w:after="0" w:line="262" w:lineRule="auto"/>
        <w:rPr>
          <w:sz w:val="20"/>
          <w:szCs w:val="20"/>
          <w:color w:val="auto"/>
        </w:rPr>
      </w:pPr>
      <w:r>
        <w:rPr>
          <w:rFonts w:ascii="Arial" w:cs="Arial" w:eastAsia="Arial" w:hAnsi="Arial"/>
          <w:sz w:val="18"/>
          <w:szCs w:val="18"/>
          <w:color w:val="auto"/>
        </w:rPr>
        <w:t>Dr. Frank brings to our Board of Directors substantial experience in the design, manufacture, sale, and marketing of semiconductors for a broad set of markets, including many of the markets we service, and brings extensive executive leadership experience. Dr. Frank also brings significant cybersecurity experience to our Board of Directors.</w:t>
      </w:r>
    </w:p>
    <w:p>
      <w:pPr>
        <w:spacing w:after="0" w:line="68" w:lineRule="exact"/>
        <w:rPr>
          <w:sz w:val="20"/>
          <w:szCs w:val="20"/>
          <w:color w:val="auto"/>
        </w:rPr>
      </w:pPr>
    </w:p>
    <w:p>
      <w:pPr>
        <w:spacing w:after="0"/>
        <w:rPr>
          <w:sz w:val="20"/>
          <w:szCs w:val="20"/>
          <w:color w:val="auto"/>
        </w:rPr>
      </w:pPr>
      <w:r>
        <w:rPr>
          <w:rFonts w:ascii="Arial" w:cs="Arial" w:eastAsia="Arial" w:hAnsi="Arial"/>
          <w:sz w:val="15"/>
          <w:szCs w:val="15"/>
          <w:b w:val="1"/>
          <w:bCs w:val="1"/>
          <w:color w:val="0067B3"/>
        </w:rPr>
        <w:t>OTHER PUBLIC COMPANY BOARDS</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color w:val="0067B3"/>
        </w:rPr>
        <w:t xml:space="preserve">Current: </w:t>
      </w:r>
      <w:r>
        <w:rPr>
          <w:rFonts w:ascii="Arial" w:cs="Arial" w:eastAsia="Arial" w:hAnsi="Arial"/>
          <w:sz w:val="18"/>
          <w:szCs w:val="18"/>
          <w:color w:val="000000"/>
        </w:rPr>
        <w:t>SiTime Corp.; Rocket Lab USA, Inc.; Blaize Holdings,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0067B3"/>
        </w:rPr>
        <w:t xml:space="preserve">Past 5 Years: </w:t>
      </w:r>
      <w:r>
        <w:rPr>
          <w:rFonts w:ascii="Arial" w:cs="Arial" w:eastAsia="Arial" w:hAnsi="Arial"/>
          <w:sz w:val="18"/>
          <w:szCs w:val="18"/>
          <w:color w:val="000000"/>
        </w:rPr>
        <w:t>Marvell Technology, Inc. (until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-1150620</wp:posOffset>
            </wp:positionH>
            <wp:positionV relativeFrom="paragraph">
              <wp:posOffset>186055</wp:posOffset>
            </wp:positionV>
            <wp:extent cx="6471920" cy="50546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6471920" cy="50546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2240" w:space="620"/>
            <w:col w:w="8380"/>
          </w:cols>
          <w:pgMar w:left="320" w:top="1200" w:right="339" w:bottom="786" w:gutter="0" w:footer="0" w:header="0"/>
          <w:type w:val="continuous"/>
        </w:sectPr>
      </w:pPr>
    </w:p>
    <w:p>
      <w:pPr>
        <w:spacing w:after="0" w:line="358" w:lineRule="exact"/>
        <w:rPr>
          <w:sz w:val="20"/>
          <w:szCs w:val="20"/>
          <w:color w:val="auto"/>
        </w:rPr>
      </w:pPr>
    </w:p>
    <w:p>
      <w:pPr>
        <w:ind w:left="200"/>
        <w:spacing w:after="0"/>
        <w:tabs>
          <w:tab w:leader="none" w:pos="1040" w:val="left"/>
          <w:tab w:leader="none" w:pos="2960" w:val="left"/>
        </w:tabs>
        <w:rPr>
          <w:sz w:val="20"/>
          <w:szCs w:val="20"/>
          <w:color w:val="auto"/>
        </w:rPr>
      </w:pPr>
      <w:r>
        <w:rPr>
          <w:rFonts w:ascii="Arial" w:cs="Arial" w:eastAsia="Arial" w:hAnsi="Arial"/>
          <w:sz w:val="18"/>
          <w:szCs w:val="18"/>
          <w:b w:val="1"/>
          <w:bCs w:val="1"/>
          <w:color w:val="auto"/>
        </w:rPr>
        <w:t xml:space="preserve">Age: </w:t>
      </w:r>
      <w:r>
        <w:rPr>
          <w:rFonts w:ascii="Arial" w:cs="Arial" w:eastAsia="Arial" w:hAnsi="Arial"/>
          <w:sz w:val="18"/>
          <w:szCs w:val="18"/>
          <w:color w:val="auto"/>
        </w:rPr>
        <w:t>69</w:t>
      </w:r>
      <w:r>
        <w:rPr>
          <w:rFonts w:ascii="Arial" w:cs="Arial" w:eastAsia="Arial" w:hAnsi="Arial"/>
          <w:sz w:val="18"/>
          <w:szCs w:val="18"/>
          <w:b w:val="1"/>
          <w:bCs w:val="1"/>
          <w:color w:val="auto"/>
        </w:rPr>
        <w:tab/>
        <w:t xml:space="preserve">Director since: </w:t>
      </w:r>
      <w:r>
        <w:rPr>
          <w:rFonts w:ascii="Arial" w:cs="Arial" w:eastAsia="Arial" w:hAnsi="Arial"/>
          <w:sz w:val="18"/>
          <w:szCs w:val="18"/>
          <w:color w:val="auto"/>
        </w:rPr>
        <w:t>2014</w:t>
      </w:r>
      <w:r>
        <w:rPr>
          <w:sz w:val="20"/>
          <w:szCs w:val="20"/>
          <w:color w:val="auto"/>
        </w:rPr>
        <w:tab/>
      </w:r>
      <w:r>
        <w:rPr>
          <w:rFonts w:ascii="Arial" w:cs="Arial" w:eastAsia="Arial" w:hAnsi="Arial"/>
          <w:sz w:val="17"/>
          <w:szCs w:val="17"/>
          <w:b w:val="1"/>
          <w:bCs w:val="1"/>
          <w:color w:val="auto"/>
        </w:rPr>
        <w:t xml:space="preserve">Committee(s): </w:t>
      </w:r>
      <w:r>
        <w:rPr>
          <w:rFonts w:ascii="Arial" w:cs="Arial" w:eastAsia="Arial" w:hAnsi="Arial"/>
          <w:sz w:val="17"/>
          <w:szCs w:val="17"/>
          <w:color w:val="auto"/>
        </w:rPr>
        <w:t>Compensation and Talent; Corporate Development</w:t>
      </w:r>
    </w:p>
    <w:p>
      <w:pPr>
        <w:sectPr>
          <w:pgSz w:w="11900" w:h="16838" w:orient="portrait"/>
          <w:cols w:equalWidth="0" w:num="1">
            <w:col w:w="11240"/>
          </w:cols>
          <w:pgMar w:left="320" w:top="1200" w:right="339" w:bottom="786"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left="640" w:hanging="614"/>
        <w:spacing w:after="0"/>
        <w:tabs>
          <w:tab w:leader="none" w:pos="640" w:val="left"/>
        </w:tabs>
        <w:numPr>
          <w:ilvl w:val="0"/>
          <w:numId w:val="25"/>
        </w:numPr>
        <w:rPr>
          <w:rFonts w:ascii="Arial" w:cs="Arial" w:eastAsia="Arial" w:hAnsi="Arial"/>
          <w:sz w:val="20"/>
          <w:szCs w:val="20"/>
          <w:b w:val="1"/>
          <w:bCs w:val="1"/>
          <w:color w:val="auto"/>
        </w:rPr>
      </w:pPr>
      <w:r>
        <w:rPr>
          <w:rFonts w:ascii="Arial" w:cs="Arial" w:eastAsia="Arial" w:hAnsi="Arial"/>
          <w:sz w:val="16"/>
          <w:szCs w:val="16"/>
          <w:color w:val="6D6E71"/>
        </w:rPr>
        <w:t>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194310</wp:posOffset>
            </wp:positionV>
            <wp:extent cx="7157720" cy="425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0" w:right="339" w:bottom="786" w:gutter="0" w:footer="0" w:header="0"/>
          <w:type w:val="continuous"/>
        </w:sectPr>
      </w:pPr>
    </w:p>
    <w:bookmarkStart w:id="21" w:name="page22"/>
    <w:bookmarkEnd w:id="2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319405</wp:posOffset>
            </wp:positionH>
            <wp:positionV relativeFrom="page">
              <wp:posOffset>808990</wp:posOffset>
            </wp:positionV>
            <wp:extent cx="1440180" cy="143129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clrChange>
                        <a:clrFrom>
                          <a:srgbClr val="FFFFFF"/>
                        </a:clrFrom>
                        <a:clrTo>
                          <a:srgbClr val="FFFFFF">
                            <a:alpha val="0"/>
                          </a:srgbClr>
                        </a:clrTo>
                      </a:clrChange>
                      <a:extLst>
                        <a:ext uri="{28A0092B-C50C-407E-A947-70E740481C1C}"/>
                      </a:extLst>
                    </a:blip>
                    <a:srcRect/>
                    <a:stretch>
                      <a:fillRect/>
                    </a:stretch>
                  </pic:blipFill>
                  <pic:spPr bwMode="auto">
                    <a:xfrm>
                      <a:off x="0" y="0"/>
                      <a:ext cx="1440180" cy="14312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spacing w:after="0"/>
        <w:rPr>
          <w:sz w:val="20"/>
          <w:szCs w:val="20"/>
          <w:color w:val="auto"/>
        </w:rPr>
      </w:pPr>
      <w:r>
        <w:rPr>
          <w:rFonts w:ascii="Arial" w:cs="Arial" w:eastAsia="Arial" w:hAnsi="Arial"/>
          <w:sz w:val="26"/>
          <w:szCs w:val="26"/>
          <w:b w:val="1"/>
          <w:bCs w:val="1"/>
          <w:color w:val="0067B3"/>
        </w:rPr>
        <w:t>Karen M. Golz</w:t>
      </w:r>
    </w:p>
    <w:p>
      <w:pPr>
        <w:spacing w:after="0" w:line="127" w:lineRule="exact"/>
        <w:rPr>
          <w:sz w:val="20"/>
          <w:szCs w:val="20"/>
          <w:color w:val="auto"/>
        </w:rPr>
      </w:pPr>
    </w:p>
    <w:p>
      <w:pPr>
        <w:spacing w:after="0"/>
        <w:rPr>
          <w:sz w:val="20"/>
          <w:szCs w:val="20"/>
          <w:color w:val="auto"/>
        </w:rPr>
      </w:pPr>
      <w:r>
        <w:rPr>
          <w:rFonts w:ascii="Arial" w:cs="Arial" w:eastAsia="Arial" w:hAnsi="Arial"/>
          <w:sz w:val="17"/>
          <w:szCs w:val="17"/>
          <w:color w:val="auto"/>
        </w:rPr>
        <w:t>Independent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978535</wp:posOffset>
            </wp:positionV>
            <wp:extent cx="659765" cy="50609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659765" cy="50609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b w:val="1"/>
          <w:bCs w:val="1"/>
          <w:color w:val="0067B3"/>
        </w:rPr>
        <w:t>PROFESSIONAL EXPERIENCE AND BACKGROUND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-1810385</wp:posOffset>
            </wp:positionH>
            <wp:positionV relativeFrom="paragraph">
              <wp:posOffset>-259715</wp:posOffset>
            </wp:positionV>
            <wp:extent cx="7132320" cy="295719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32320" cy="2957195"/>
                    </a:xfrm>
                    <a:prstGeom prst="rect">
                      <a:avLst/>
                    </a:prstGeom>
                    <a:noFill/>
                  </pic:spPr>
                </pic:pic>
              </a:graphicData>
            </a:graphic>
          </wp:anchor>
        </w:drawing>
      </w:r>
    </w:p>
    <w:p>
      <w:pPr>
        <w:spacing w:after="0" w:line="105" w:lineRule="exact"/>
        <w:rPr>
          <w:sz w:val="20"/>
          <w:szCs w:val="20"/>
          <w:color w:val="auto"/>
        </w:rPr>
      </w:pPr>
    </w:p>
    <w:p>
      <w:pPr>
        <w:ind w:right="100"/>
        <w:spacing w:after="0" w:line="271" w:lineRule="auto"/>
        <w:rPr>
          <w:sz w:val="20"/>
          <w:szCs w:val="20"/>
          <w:color w:val="auto"/>
        </w:rPr>
      </w:pPr>
      <w:r>
        <w:rPr>
          <w:rFonts w:ascii="Arial" w:cs="Arial" w:eastAsia="Arial" w:hAnsi="Arial"/>
          <w:sz w:val="17"/>
          <w:szCs w:val="17"/>
          <w:color w:val="auto"/>
        </w:rPr>
        <w:t>Ms. Golz is a retired Partner of Ernst &amp; Young LLP (EY), a public accounting firm, where she was Global Vice Chair, Japan from 2016 to 2017 and Global Vice Chair, Professional Practice from 2010 to 2016. Ms. Golz also served on EY’s Global Risk Management Executive Committee, which was charged with risk management across EY’s global network, from 2008 to 2016. Ms. Golz currently serves as Senior Advisor to The Boston Consulting Group’s Audit and Risk Committee, a role she has held since August 2017, and as a Principal for K.M. Golz Associates, LLC, a consulting services company, since August 2017. Ms. Golz also sits on the board of trustees of the University of Illinois Foundation. Ms. Golz is a NACD Board Leadership Fellow and also earned the National Association of Corporate Directors (NACD) CERT Certificate in Cybersecurity Oversight from Carnegie Mellon University.</w:t>
      </w:r>
    </w:p>
    <w:p>
      <w:pPr>
        <w:spacing w:after="0" w:line="65" w:lineRule="exact"/>
        <w:rPr>
          <w:sz w:val="20"/>
          <w:szCs w:val="20"/>
          <w:color w:val="auto"/>
        </w:rPr>
      </w:pPr>
    </w:p>
    <w:p>
      <w:pPr>
        <w:spacing w:after="0"/>
        <w:rPr>
          <w:sz w:val="20"/>
          <w:szCs w:val="20"/>
          <w:color w:val="auto"/>
        </w:rPr>
      </w:pPr>
      <w:r>
        <w:rPr>
          <w:rFonts w:ascii="Arial" w:cs="Arial" w:eastAsia="Arial" w:hAnsi="Arial"/>
          <w:sz w:val="15"/>
          <w:szCs w:val="15"/>
          <w:b w:val="1"/>
          <w:bCs w:val="1"/>
          <w:color w:val="0067B3"/>
        </w:rPr>
        <w:t>KEY QUALIFICATIONS AND EXPERTISE</w:t>
      </w:r>
    </w:p>
    <w:p>
      <w:pPr>
        <w:spacing w:after="0" w:line="125" w:lineRule="exact"/>
        <w:rPr>
          <w:sz w:val="20"/>
          <w:szCs w:val="20"/>
          <w:color w:val="auto"/>
        </w:rPr>
      </w:pPr>
    </w:p>
    <w:p>
      <w:pPr>
        <w:ind w:right="300"/>
        <w:spacing w:after="0" w:line="268" w:lineRule="auto"/>
        <w:rPr>
          <w:sz w:val="20"/>
          <w:szCs w:val="20"/>
          <w:color w:val="auto"/>
        </w:rPr>
      </w:pPr>
      <w:r>
        <w:rPr>
          <w:rFonts w:ascii="Arial" w:cs="Arial" w:eastAsia="Arial" w:hAnsi="Arial"/>
          <w:sz w:val="18"/>
          <w:szCs w:val="18"/>
          <w:color w:val="auto"/>
        </w:rPr>
        <w:t>Ms. Golz brings to our Board of Directors accounting and audit expertise, deep enterprise risk management experience, and extensive experience helping large organizations successfully navigate the complexities of international trade and regulation.</w:t>
      </w:r>
    </w:p>
    <w:p>
      <w:pPr>
        <w:spacing w:after="0" w:line="62" w:lineRule="exact"/>
        <w:rPr>
          <w:sz w:val="20"/>
          <w:szCs w:val="20"/>
          <w:color w:val="auto"/>
        </w:rPr>
      </w:pPr>
    </w:p>
    <w:p>
      <w:pPr>
        <w:spacing w:after="0"/>
        <w:rPr>
          <w:sz w:val="20"/>
          <w:szCs w:val="20"/>
          <w:color w:val="auto"/>
        </w:rPr>
      </w:pPr>
      <w:r>
        <w:rPr>
          <w:rFonts w:ascii="Arial" w:cs="Arial" w:eastAsia="Arial" w:hAnsi="Arial"/>
          <w:sz w:val="15"/>
          <w:szCs w:val="15"/>
          <w:b w:val="1"/>
          <w:bCs w:val="1"/>
          <w:color w:val="0067B3"/>
        </w:rPr>
        <w:t>OTHER PUBLIC COMPANY BOARDS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color w:val="0067B3"/>
        </w:rPr>
        <w:t xml:space="preserve">Current: </w:t>
      </w:r>
      <w:r>
        <w:rPr>
          <w:rFonts w:ascii="Arial" w:cs="Arial" w:eastAsia="Arial" w:hAnsi="Arial"/>
          <w:sz w:val="18"/>
          <w:szCs w:val="18"/>
          <w:color w:val="000000"/>
        </w:rPr>
        <w:t>iRobot Corporation</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0067B3"/>
        </w:rPr>
        <w:t xml:space="preserve">Past 5 Years: </w:t>
      </w:r>
      <w:r>
        <w:rPr>
          <w:rFonts w:ascii="Arial" w:cs="Arial" w:eastAsia="Arial" w:hAnsi="Arial"/>
          <w:sz w:val="18"/>
          <w:szCs w:val="18"/>
          <w:color w:val="000000"/>
        </w:rPr>
        <w:t>Aspen Technology, Inc. (until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-1150620</wp:posOffset>
            </wp:positionH>
            <wp:positionV relativeFrom="paragraph">
              <wp:posOffset>186055</wp:posOffset>
            </wp:positionV>
            <wp:extent cx="6471920" cy="50609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6471920" cy="50609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2120" w:space="720"/>
            <w:col w:w="8360"/>
          </w:cols>
          <w:pgMar w:left="340" w:top="1440" w:right="359" w:bottom="1440" w:gutter="0" w:footer="0" w:header="0"/>
        </w:sectPr>
      </w:pPr>
    </w:p>
    <w:p>
      <w:pPr>
        <w:spacing w:after="0" w:line="358" w:lineRule="exact"/>
        <w:rPr>
          <w:sz w:val="20"/>
          <w:szCs w:val="20"/>
          <w:color w:val="auto"/>
        </w:rPr>
      </w:pPr>
    </w:p>
    <w:p>
      <w:pPr>
        <w:ind w:left="180"/>
        <w:spacing w:after="0"/>
        <w:tabs>
          <w:tab w:leader="none" w:pos="1020" w:val="left"/>
          <w:tab w:leader="none" w:pos="2940" w:val="left"/>
        </w:tabs>
        <w:rPr>
          <w:sz w:val="20"/>
          <w:szCs w:val="20"/>
          <w:color w:val="auto"/>
        </w:rPr>
      </w:pPr>
      <w:r>
        <w:rPr>
          <w:rFonts w:ascii="Arial" w:cs="Arial" w:eastAsia="Arial" w:hAnsi="Arial"/>
          <w:sz w:val="18"/>
          <w:szCs w:val="18"/>
          <w:b w:val="1"/>
          <w:bCs w:val="1"/>
          <w:color w:val="auto"/>
        </w:rPr>
        <w:t xml:space="preserve">Age: </w:t>
      </w:r>
      <w:r>
        <w:rPr>
          <w:rFonts w:ascii="Arial" w:cs="Arial" w:eastAsia="Arial" w:hAnsi="Arial"/>
          <w:sz w:val="18"/>
          <w:szCs w:val="18"/>
          <w:color w:val="auto"/>
        </w:rPr>
        <w:t>71</w:t>
      </w:r>
      <w:r>
        <w:rPr>
          <w:rFonts w:ascii="Arial" w:cs="Arial" w:eastAsia="Arial" w:hAnsi="Arial"/>
          <w:sz w:val="18"/>
          <w:szCs w:val="18"/>
          <w:b w:val="1"/>
          <w:bCs w:val="1"/>
          <w:color w:val="auto"/>
        </w:rPr>
        <w:tab/>
        <w:t xml:space="preserve">Director since: </w:t>
      </w:r>
      <w:r>
        <w:rPr>
          <w:rFonts w:ascii="Arial" w:cs="Arial" w:eastAsia="Arial" w:hAnsi="Arial"/>
          <w:sz w:val="18"/>
          <w:szCs w:val="18"/>
          <w:color w:val="auto"/>
        </w:rPr>
        <w:t>2018</w:t>
      </w:r>
      <w:r>
        <w:rPr>
          <w:rFonts w:ascii="Arial" w:cs="Arial" w:eastAsia="Arial" w:hAnsi="Arial"/>
          <w:sz w:val="18"/>
          <w:szCs w:val="18"/>
          <w:b w:val="1"/>
          <w:bCs w:val="1"/>
          <w:color w:val="auto"/>
        </w:rPr>
        <w:tab/>
        <w:t xml:space="preserve">Committee(s): </w:t>
      </w:r>
      <w:r>
        <w:rPr>
          <w:rFonts w:ascii="Arial" w:cs="Arial" w:eastAsia="Arial" w:hAnsi="Arial"/>
          <w:sz w:val="18"/>
          <w:szCs w:val="18"/>
          <w:color w:val="auto"/>
        </w:rPr>
        <w:t>Audit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351790</wp:posOffset>
            </wp:positionV>
            <wp:extent cx="7132320" cy="323151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32320" cy="3231515"/>
                    </a:xfrm>
                    <a:prstGeom prst="rect">
                      <a:avLst/>
                    </a:prstGeom>
                    <a:noFill/>
                  </pic:spPr>
                </pic:pic>
              </a:graphicData>
            </a:graphic>
          </wp:anchor>
        </w:drawing>
      </w:r>
    </w:p>
    <w:p>
      <w:pPr>
        <w:sectPr>
          <w:pgSz w:w="11900" w:h="16838" w:orient="portrait"/>
          <w:cols w:equalWidth="0" w:num="1">
            <w:col w:w="11200"/>
          </w:cols>
          <w:pgMar w:left="340" w:top="1440" w:right="35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ind w:right="200"/>
        <w:spacing w:after="0" w:line="289" w:lineRule="auto"/>
        <w:rPr>
          <w:sz w:val="20"/>
          <w:szCs w:val="20"/>
          <w:color w:val="auto"/>
        </w:rPr>
      </w:pPr>
      <w:r>
        <w:rPr>
          <w:rFonts w:ascii="Arial" w:cs="Arial" w:eastAsia="Arial" w:hAnsi="Arial"/>
          <w:sz w:val="27"/>
          <w:szCs w:val="27"/>
          <w:b w:val="1"/>
          <w:bCs w:val="1"/>
          <w:color w:val="0067B3"/>
        </w:rPr>
        <w:t>Peter B. Henry, Ph.D.</w:t>
      </w:r>
    </w:p>
    <w:p>
      <w:pPr>
        <w:spacing w:after="0" w:line="2" w:lineRule="exact"/>
        <w:rPr>
          <w:sz w:val="20"/>
          <w:szCs w:val="20"/>
          <w:color w:val="auto"/>
        </w:rPr>
      </w:pPr>
    </w:p>
    <w:p>
      <w:pPr>
        <w:spacing w:after="0"/>
        <w:rPr>
          <w:sz w:val="20"/>
          <w:szCs w:val="20"/>
          <w:color w:val="auto"/>
        </w:rPr>
      </w:pPr>
      <w:r>
        <w:rPr>
          <w:rFonts w:ascii="Arial" w:cs="Arial" w:eastAsia="Arial" w:hAnsi="Arial"/>
          <w:sz w:val="17"/>
          <w:szCs w:val="17"/>
          <w:color w:val="auto"/>
        </w:rPr>
        <w:t>Independent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1038860</wp:posOffset>
            </wp:positionV>
            <wp:extent cx="659765" cy="50546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659765" cy="50546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spacing w:after="0"/>
        <w:rPr>
          <w:sz w:val="20"/>
          <w:szCs w:val="20"/>
          <w:color w:val="auto"/>
        </w:rPr>
      </w:pPr>
      <w:r>
        <w:rPr>
          <w:rFonts w:ascii="Arial" w:cs="Arial" w:eastAsia="Arial" w:hAnsi="Arial"/>
          <w:sz w:val="15"/>
          <w:szCs w:val="15"/>
          <w:b w:val="1"/>
          <w:bCs w:val="1"/>
          <w:color w:val="0067B3"/>
        </w:rPr>
        <w:t>PROFESSIONAL EXPERIENCE AND BACKGROUND</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color w:val="auto"/>
        </w:rPr>
        <w:t>Dr. Henry has served as the Class of 1984 Senior Fellow at Stanford University’s Hoover Institution and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Senior Fellow at Stanford’s Freeman Spogli Institute for International Studies since September 2022.</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Previously, Dr. Henry served at New York University’s Leonard N. Stern School of Business as</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William R. Berkley Professor of Economics and Finance from January 2018 through August 2022 and as</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Dean from January 2010 through December 2017. Before that, Dr. Henry was the Konosuke Matsushita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Professor of International Economics at the Stanford University Graduate School of Business. Dr. Henry</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currently serves as Chair of the Board of the National Bureau of Economic Research and is a member of</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the Council on Foreign Relations. In addition, Dr. Henry leads the Ph.D. Excellence Initiative (PhDEI), 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post-baccalaureate program designed to address underrepresentation in economics by mentoring</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exceptional students from underrepresented backgrounds interested in pursuing doctoral studies in the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field. For his founding and leadership of the PhDEI, Dr. Henry received the 2022 Impactful Mentoring</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Award from the American Economic Association.</w:t>
      </w:r>
    </w:p>
    <w:p>
      <w:pPr>
        <w:spacing w:after="0" w:line="98" w:lineRule="exact"/>
        <w:rPr>
          <w:sz w:val="20"/>
          <w:szCs w:val="20"/>
          <w:color w:val="auto"/>
        </w:rPr>
      </w:pPr>
    </w:p>
    <w:p>
      <w:pPr>
        <w:spacing w:after="0"/>
        <w:rPr>
          <w:sz w:val="20"/>
          <w:szCs w:val="20"/>
          <w:color w:val="auto"/>
        </w:rPr>
      </w:pPr>
      <w:r>
        <w:rPr>
          <w:rFonts w:ascii="Arial" w:cs="Arial" w:eastAsia="Arial" w:hAnsi="Arial"/>
          <w:sz w:val="15"/>
          <w:szCs w:val="15"/>
          <w:b w:val="1"/>
          <w:bCs w:val="1"/>
          <w:color w:val="0067B3"/>
        </w:rPr>
        <w:t>KEY QUALIFICATIONS AND EXPERTISE</w:t>
      </w:r>
    </w:p>
    <w:p>
      <w:pPr>
        <w:spacing w:after="0" w:line="112" w:lineRule="exact"/>
        <w:rPr>
          <w:sz w:val="20"/>
          <w:szCs w:val="20"/>
          <w:color w:val="auto"/>
        </w:rPr>
      </w:pPr>
    </w:p>
    <w:p>
      <w:pPr>
        <w:ind w:right="180"/>
        <w:spacing w:after="0" w:line="287" w:lineRule="auto"/>
        <w:rPr>
          <w:sz w:val="20"/>
          <w:szCs w:val="20"/>
          <w:color w:val="auto"/>
        </w:rPr>
      </w:pPr>
      <w:r>
        <w:rPr>
          <w:rFonts w:ascii="Arial" w:cs="Arial" w:eastAsia="Arial" w:hAnsi="Arial"/>
          <w:sz w:val="18"/>
          <w:szCs w:val="18"/>
          <w:color w:val="auto"/>
        </w:rPr>
        <w:t>Dr. Henry brings to our Board of Directors extensive foreign affairs, global economics, and international finance experience.</w:t>
      </w:r>
    </w:p>
    <w:p>
      <w:pPr>
        <w:spacing w:after="0" w:line="44" w:lineRule="exact"/>
        <w:rPr>
          <w:sz w:val="20"/>
          <w:szCs w:val="20"/>
          <w:color w:val="auto"/>
        </w:rPr>
      </w:pPr>
    </w:p>
    <w:p>
      <w:pPr>
        <w:spacing w:after="0"/>
        <w:rPr>
          <w:sz w:val="20"/>
          <w:szCs w:val="20"/>
          <w:color w:val="auto"/>
        </w:rPr>
      </w:pPr>
      <w:r>
        <w:rPr>
          <w:rFonts w:ascii="Arial" w:cs="Arial" w:eastAsia="Arial" w:hAnsi="Arial"/>
          <w:sz w:val="15"/>
          <w:szCs w:val="15"/>
          <w:b w:val="1"/>
          <w:bCs w:val="1"/>
          <w:color w:val="0067B3"/>
        </w:rPr>
        <w:t>OTHER PUBLIC COMPANY BOARDS</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color w:val="0067B3"/>
        </w:rPr>
        <w:t xml:space="preserve">Current: </w:t>
      </w:r>
      <w:r>
        <w:rPr>
          <w:rFonts w:ascii="Arial" w:cs="Arial" w:eastAsia="Arial" w:hAnsi="Arial"/>
          <w:sz w:val="18"/>
          <w:szCs w:val="18"/>
          <w:color w:val="000000"/>
        </w:rPr>
        <w:t>Citigroup, Inc.; Nike,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0067B3"/>
        </w:rPr>
        <w:t xml:space="preserve">Past 5 Years: </w:t>
      </w:r>
      <w:r>
        <w:rPr>
          <w:rFonts w:ascii="Arial" w:cs="Arial" w:eastAsia="Arial" w:hAnsi="Arial"/>
          <w:sz w:val="18"/>
          <w:szCs w:val="18"/>
          <w:color w:val="000000"/>
        </w:rPr>
        <w:t>None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-1150620</wp:posOffset>
            </wp:positionH>
            <wp:positionV relativeFrom="paragraph">
              <wp:posOffset>186055</wp:posOffset>
            </wp:positionV>
            <wp:extent cx="6471920" cy="50546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6471920" cy="50546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2120" w:space="720"/>
            <w:col w:w="8360"/>
          </w:cols>
          <w:pgMar w:left="340" w:top="1440" w:right="359" w:bottom="1440" w:gutter="0" w:footer="0" w:header="0"/>
          <w:type w:val="continuous"/>
        </w:sectPr>
      </w:pPr>
    </w:p>
    <w:p>
      <w:pPr>
        <w:spacing w:after="0" w:line="358" w:lineRule="exact"/>
        <w:rPr>
          <w:sz w:val="20"/>
          <w:szCs w:val="20"/>
          <w:color w:val="auto"/>
        </w:rPr>
      </w:pPr>
    </w:p>
    <w:p>
      <w:pPr>
        <w:ind w:left="180"/>
        <w:spacing w:after="0"/>
        <w:tabs>
          <w:tab w:leader="none" w:pos="1020" w:val="left"/>
          <w:tab w:leader="none" w:pos="2940" w:val="left"/>
        </w:tabs>
        <w:rPr>
          <w:sz w:val="20"/>
          <w:szCs w:val="20"/>
          <w:color w:val="auto"/>
        </w:rPr>
      </w:pPr>
      <w:r>
        <w:rPr>
          <w:rFonts w:ascii="Arial" w:cs="Arial" w:eastAsia="Arial" w:hAnsi="Arial"/>
          <w:sz w:val="18"/>
          <w:szCs w:val="18"/>
          <w:b w:val="1"/>
          <w:bCs w:val="1"/>
          <w:color w:val="auto"/>
        </w:rPr>
        <w:t xml:space="preserve">Age: </w:t>
      </w:r>
      <w:r>
        <w:rPr>
          <w:rFonts w:ascii="Arial" w:cs="Arial" w:eastAsia="Arial" w:hAnsi="Arial"/>
          <w:sz w:val="18"/>
          <w:szCs w:val="18"/>
          <w:color w:val="auto"/>
        </w:rPr>
        <w:t>56</w:t>
      </w:r>
      <w:r>
        <w:rPr>
          <w:rFonts w:ascii="Arial" w:cs="Arial" w:eastAsia="Arial" w:hAnsi="Arial"/>
          <w:sz w:val="18"/>
          <w:szCs w:val="18"/>
          <w:b w:val="1"/>
          <w:bCs w:val="1"/>
          <w:color w:val="auto"/>
        </w:rPr>
        <w:tab/>
        <w:t xml:space="preserve">Director since: </w:t>
      </w:r>
      <w:r>
        <w:rPr>
          <w:rFonts w:ascii="Arial" w:cs="Arial" w:eastAsia="Arial" w:hAnsi="Arial"/>
          <w:sz w:val="18"/>
          <w:szCs w:val="18"/>
          <w:color w:val="auto"/>
        </w:rPr>
        <w:t>2023</w:t>
      </w:r>
      <w:r>
        <w:rPr>
          <w:sz w:val="20"/>
          <w:szCs w:val="20"/>
          <w:color w:val="auto"/>
        </w:rPr>
        <w:tab/>
      </w:r>
      <w:r>
        <w:rPr>
          <w:rFonts w:ascii="Arial" w:cs="Arial" w:eastAsia="Arial" w:hAnsi="Arial"/>
          <w:sz w:val="17"/>
          <w:szCs w:val="17"/>
          <w:b w:val="1"/>
          <w:bCs w:val="1"/>
          <w:color w:val="auto"/>
        </w:rPr>
        <w:t xml:space="preserve">Committee(s): </w:t>
      </w:r>
      <w:r>
        <w:rPr>
          <w:rFonts w:ascii="Arial" w:cs="Arial" w:eastAsia="Arial" w:hAnsi="Arial"/>
          <w:sz w:val="17"/>
          <w:szCs w:val="17"/>
          <w:color w:val="auto"/>
        </w:rPr>
        <w:t>Audit; Corporate Development</w:t>
      </w:r>
    </w:p>
    <w:p>
      <w:pPr>
        <w:sectPr>
          <w:pgSz w:w="11900" w:h="16838" w:orient="portrait"/>
          <w:cols w:equalWidth="0" w:num="1">
            <w:col w:w="11200"/>
          </w:cols>
          <w:pgMar w:left="340" w:top="1440" w:right="35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ind w:left="8960"/>
        <w:spacing w:after="0"/>
        <w:tabs>
          <w:tab w:leader="none" w:pos="10960" w:val="left"/>
        </w:tabs>
        <w:rPr>
          <w:sz w:val="20"/>
          <w:szCs w:val="20"/>
          <w:color w:val="auto"/>
        </w:rPr>
      </w:pPr>
      <w:r>
        <w:rPr>
          <w:rFonts w:ascii="Arial" w:cs="Arial" w:eastAsia="Arial" w:hAnsi="Arial"/>
          <w:sz w:val="16"/>
          <w:szCs w:val="16"/>
          <w:color w:val="0067B3"/>
        </w:rPr>
        <w:t>2026 Proxy Statement</w:t>
      </w:r>
      <w:r>
        <w:rPr>
          <w:sz w:val="20"/>
          <w:szCs w:val="20"/>
          <w:color w:val="auto"/>
        </w:rPr>
        <w:tab/>
      </w:r>
      <w:r>
        <w:rPr>
          <w:rFonts w:ascii="Arial" w:cs="Arial" w:eastAsia="Arial" w:hAnsi="Arial"/>
          <w:sz w:val="19"/>
          <w:szCs w:val="19"/>
          <w:b w:val="1"/>
          <w:bCs w:val="1"/>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232410</wp:posOffset>
            </wp:positionV>
            <wp:extent cx="7157720" cy="425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40" w:top="1440" w:right="359" w:bottom="1440" w:gutter="0" w:footer="0" w:header="0"/>
          <w:type w:val="continuous"/>
        </w:sectPr>
      </w:pPr>
    </w:p>
    <w:bookmarkStart w:id="22" w:name="page23"/>
    <w:bookmarkEnd w:id="22"/>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319405</wp:posOffset>
            </wp:positionH>
            <wp:positionV relativeFrom="page">
              <wp:posOffset>791845</wp:posOffset>
            </wp:positionV>
            <wp:extent cx="1560195" cy="307721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1560195" cy="3077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Arial" w:cs="Arial" w:eastAsia="Arial" w:hAnsi="Arial"/>
          <w:sz w:val="27"/>
          <w:szCs w:val="27"/>
          <w:b w:val="1"/>
          <w:bCs w:val="1"/>
          <w:color w:val="0067B3"/>
        </w:rPr>
        <w:t>Mercedes Johnson</w:t>
      </w:r>
    </w:p>
    <w:p>
      <w:pPr>
        <w:spacing w:after="0" w:line="115" w:lineRule="exact"/>
        <w:rPr>
          <w:sz w:val="20"/>
          <w:szCs w:val="20"/>
          <w:color w:val="auto"/>
        </w:rPr>
      </w:pPr>
    </w:p>
    <w:p>
      <w:pPr>
        <w:spacing w:after="0"/>
        <w:rPr>
          <w:sz w:val="20"/>
          <w:szCs w:val="20"/>
          <w:color w:val="auto"/>
        </w:rPr>
      </w:pPr>
      <w:r>
        <w:rPr>
          <w:rFonts w:ascii="Arial" w:cs="Arial" w:eastAsia="Arial" w:hAnsi="Arial"/>
          <w:sz w:val="17"/>
          <w:szCs w:val="17"/>
          <w:color w:val="auto"/>
        </w:rPr>
        <w:t>Independent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1107440</wp:posOffset>
            </wp:positionV>
            <wp:extent cx="659765" cy="50609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659765" cy="50609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b w:val="1"/>
          <w:bCs w:val="1"/>
          <w:color w:val="0067B3"/>
        </w:rPr>
        <w:t>PROFESSIONAL EXPERIENCE AND BACKGROUND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-1810385</wp:posOffset>
            </wp:positionH>
            <wp:positionV relativeFrom="paragraph">
              <wp:posOffset>-259715</wp:posOffset>
            </wp:positionV>
            <wp:extent cx="7132320" cy="171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105"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Ms. Johnson served as interim Chief Financial Officer of Intersil Corporation, a semiconductor company, from April 2013 to September 2013, as Vice President and Chief Financial Officer at Tri Alpha Energy, Inc. (now TAE Technologies, Inc.), a fusion power company, from 2010 to 2011, and as Senior Vice President and Chief Financial Officer of Avago Technologies Limited (now Broadcom Inc.), a semiconductor manufacturing company from December 2005 to August 2008. Prior to joining Avago, Ms. Johnson was Senior Vice President, Finance, of Lam Research Corporation, a supplier of wafer fabrication equipment and related services to the semiconductor industry, from June 2004 to January 2005 and Chief Financial Officer of Lam from May 1997 to May 2004.</w:t>
      </w:r>
    </w:p>
    <w:p>
      <w:pPr>
        <w:spacing w:after="0" w:line="76" w:lineRule="exact"/>
        <w:rPr>
          <w:sz w:val="20"/>
          <w:szCs w:val="20"/>
          <w:color w:val="auto"/>
        </w:rPr>
      </w:pPr>
    </w:p>
    <w:p>
      <w:pPr>
        <w:spacing w:after="0"/>
        <w:rPr>
          <w:sz w:val="20"/>
          <w:szCs w:val="20"/>
          <w:color w:val="auto"/>
        </w:rPr>
      </w:pPr>
      <w:r>
        <w:rPr>
          <w:rFonts w:ascii="Arial" w:cs="Arial" w:eastAsia="Arial" w:hAnsi="Arial"/>
          <w:sz w:val="15"/>
          <w:szCs w:val="15"/>
          <w:b w:val="1"/>
          <w:bCs w:val="1"/>
          <w:color w:val="0067B3"/>
        </w:rPr>
        <w:t>KEY QUALIFICATIONS AND EXPERTISE</w:t>
      </w:r>
    </w:p>
    <w:p>
      <w:pPr>
        <w:spacing w:after="0" w:line="125"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Ms. Johnson brings to our Board of Directors extensive executive experience in finance, accounting, corporate development, corporate governance, management, and operations. Ms. Johnson provides our Board of Directors with valuable industry experience as a former senior financial executive at semiconductor and semiconductor equipment companies as well as numerous directorships at public global technology companies.</w:t>
      </w:r>
    </w:p>
    <w:p>
      <w:pPr>
        <w:spacing w:after="0" w:line="71" w:lineRule="exact"/>
        <w:rPr>
          <w:sz w:val="20"/>
          <w:szCs w:val="20"/>
          <w:color w:val="auto"/>
        </w:rPr>
      </w:pPr>
    </w:p>
    <w:p>
      <w:pPr>
        <w:spacing w:after="0"/>
        <w:rPr>
          <w:sz w:val="20"/>
          <w:szCs w:val="20"/>
          <w:color w:val="auto"/>
        </w:rPr>
      </w:pPr>
      <w:r>
        <w:rPr>
          <w:rFonts w:ascii="Arial" w:cs="Arial" w:eastAsia="Arial" w:hAnsi="Arial"/>
          <w:sz w:val="15"/>
          <w:szCs w:val="15"/>
          <w:b w:val="1"/>
          <w:bCs w:val="1"/>
          <w:color w:val="0067B3"/>
        </w:rPr>
        <w:t>OTHER PUBLIC COMPANY BOARDS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color w:val="0067B3"/>
        </w:rPr>
        <w:t xml:space="preserve">Current: </w:t>
      </w:r>
      <w:r>
        <w:rPr>
          <w:rFonts w:ascii="Arial" w:cs="Arial" w:eastAsia="Arial" w:hAnsi="Arial"/>
          <w:sz w:val="18"/>
          <w:szCs w:val="18"/>
          <w:color w:val="000000"/>
        </w:rPr>
        <w:t>Teradyne, Inc.; Synopsys,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0067B3"/>
        </w:rPr>
        <w:t xml:space="preserve">Past 5 Years: </w:t>
      </w:r>
      <w:r>
        <w:rPr>
          <w:rFonts w:ascii="Arial" w:cs="Arial" w:eastAsia="Arial" w:hAnsi="Arial"/>
          <w:sz w:val="18"/>
          <w:szCs w:val="18"/>
          <w:color w:val="000000"/>
        </w:rPr>
        <w:t>Maxim Integrated Products, Inc. (until 2021); Millicom International Cellular SA (until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-1150620</wp:posOffset>
            </wp:positionH>
            <wp:positionV relativeFrom="paragraph">
              <wp:posOffset>186055</wp:posOffset>
            </wp:positionV>
            <wp:extent cx="6471920" cy="50609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6471920" cy="50609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2460" w:space="380"/>
            <w:col w:w="8340"/>
          </w:cols>
          <w:pgMar w:left="340" w:top="1440" w:right="379" w:bottom="1440" w:gutter="0" w:footer="0" w:header="0"/>
        </w:sectPr>
      </w:pPr>
    </w:p>
    <w:p>
      <w:pPr>
        <w:spacing w:after="0" w:line="358" w:lineRule="exact"/>
        <w:rPr>
          <w:sz w:val="20"/>
          <w:szCs w:val="20"/>
          <w:color w:val="auto"/>
        </w:rPr>
      </w:pPr>
    </w:p>
    <w:p>
      <w:pPr>
        <w:ind w:left="180"/>
        <w:spacing w:after="0"/>
        <w:tabs>
          <w:tab w:leader="none" w:pos="1020" w:val="left"/>
          <w:tab w:leader="none" w:pos="2940" w:val="left"/>
        </w:tabs>
        <w:rPr>
          <w:sz w:val="20"/>
          <w:szCs w:val="20"/>
          <w:color w:val="auto"/>
        </w:rPr>
      </w:pPr>
      <w:r>
        <w:rPr>
          <w:rFonts w:ascii="Arial" w:cs="Arial" w:eastAsia="Arial" w:hAnsi="Arial"/>
          <w:sz w:val="18"/>
          <w:szCs w:val="18"/>
          <w:b w:val="1"/>
          <w:bCs w:val="1"/>
          <w:color w:val="auto"/>
        </w:rPr>
        <w:t xml:space="preserve">Age: </w:t>
      </w:r>
      <w:r>
        <w:rPr>
          <w:rFonts w:ascii="Arial" w:cs="Arial" w:eastAsia="Arial" w:hAnsi="Arial"/>
          <w:sz w:val="18"/>
          <w:szCs w:val="18"/>
          <w:color w:val="auto"/>
        </w:rPr>
        <w:t>71</w:t>
      </w:r>
      <w:r>
        <w:rPr>
          <w:rFonts w:ascii="Arial" w:cs="Arial" w:eastAsia="Arial" w:hAnsi="Arial"/>
          <w:sz w:val="18"/>
          <w:szCs w:val="18"/>
          <w:b w:val="1"/>
          <w:bCs w:val="1"/>
          <w:color w:val="auto"/>
        </w:rPr>
        <w:tab/>
        <w:t xml:space="preserve">Director since: </w:t>
      </w:r>
      <w:r>
        <w:rPr>
          <w:rFonts w:ascii="Arial" w:cs="Arial" w:eastAsia="Arial" w:hAnsi="Arial"/>
          <w:sz w:val="18"/>
          <w:szCs w:val="18"/>
          <w:color w:val="auto"/>
        </w:rPr>
        <w:t>2021</w:t>
      </w:r>
      <w:r>
        <w:rPr>
          <w:rFonts w:ascii="Arial" w:cs="Arial" w:eastAsia="Arial" w:hAnsi="Arial"/>
          <w:sz w:val="18"/>
          <w:szCs w:val="18"/>
          <w:b w:val="1"/>
          <w:bCs w:val="1"/>
          <w:color w:val="auto"/>
        </w:rPr>
        <w:tab/>
        <w:t xml:space="preserve">Committee(s): </w:t>
      </w:r>
      <w:r>
        <w:rPr>
          <w:rFonts w:ascii="Arial" w:cs="Arial" w:eastAsia="Arial" w:hAnsi="Arial"/>
          <w:sz w:val="18"/>
          <w:szCs w:val="18"/>
          <w:color w:val="auto"/>
        </w:rPr>
        <w:t>Audit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351790</wp:posOffset>
            </wp:positionV>
            <wp:extent cx="7132320" cy="318008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32320" cy="3180080"/>
                    </a:xfrm>
                    <a:prstGeom prst="rect">
                      <a:avLst/>
                    </a:prstGeom>
                    <a:noFill/>
                  </pic:spPr>
                </pic:pic>
              </a:graphicData>
            </a:graphic>
          </wp:anchor>
        </w:drawing>
      </w:r>
    </w:p>
    <w:p>
      <w:pPr>
        <w:sectPr>
          <w:pgSz w:w="11900" w:h="16838" w:orient="portrait"/>
          <w:cols w:equalWidth="0" w:num="1">
            <w:col w:w="11180"/>
          </w:cols>
          <w:pgMar w:left="340" w:top="1440" w:right="37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right="100"/>
        <w:spacing w:after="0" w:line="340" w:lineRule="auto"/>
        <w:rPr>
          <w:sz w:val="20"/>
          <w:szCs w:val="20"/>
          <w:color w:val="auto"/>
        </w:rPr>
      </w:pPr>
      <w:r>
        <w:rPr>
          <w:rFonts w:ascii="Arial" w:cs="Arial" w:eastAsia="Arial" w:hAnsi="Arial"/>
          <w:sz w:val="26"/>
          <w:szCs w:val="26"/>
          <w:b w:val="1"/>
          <w:bCs w:val="1"/>
          <w:color w:val="0067B3"/>
        </w:rPr>
        <w:t>Yoky Matsuoka, Ph.D.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1040765</wp:posOffset>
            </wp:positionV>
            <wp:extent cx="659765" cy="50546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659765" cy="50546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spacing w:after="0"/>
        <w:rPr>
          <w:sz w:val="20"/>
          <w:szCs w:val="20"/>
          <w:color w:val="auto"/>
        </w:rPr>
      </w:pPr>
      <w:r>
        <w:rPr>
          <w:rFonts w:ascii="Arial" w:cs="Arial" w:eastAsia="Arial" w:hAnsi="Arial"/>
          <w:sz w:val="15"/>
          <w:szCs w:val="15"/>
          <w:b w:val="1"/>
          <w:bCs w:val="1"/>
          <w:color w:val="0067B3"/>
        </w:rPr>
        <w:t>PROFESSIONAL EXPERIENCE AND BACKGROUND</w:t>
      </w:r>
    </w:p>
    <w:p>
      <w:pPr>
        <w:spacing w:after="0" w:line="125"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Dr. Matsuoka has served as an executive officer of Panasonic Holdings Corporation responsible for global innovation and new businesses, since October 2019. Prior to joining Panasonic, Dr. Matsuoka created innovative technology and solutions at leading technology companies, including as Vice President at Google’s Healthcare, Chief Technology Officer at Google/Nest, and Head of Innovation and Co-Founder of Google X. She also served as a senior executive at Apple’s Healthcare and Chief Executive Officer of Quanttus, a wearable health technology startup. Prior to her work in Silicon Valley, Dr. Matsuoka was an endowed professor at Carnegie Mellon University and the University of Washington with expertise in the areas of AI, robotics, and neuroscience.</w:t>
      </w:r>
    </w:p>
    <w:p>
      <w:pPr>
        <w:spacing w:after="0" w:line="76" w:lineRule="exact"/>
        <w:rPr>
          <w:sz w:val="20"/>
          <w:szCs w:val="20"/>
          <w:color w:val="auto"/>
        </w:rPr>
      </w:pPr>
    </w:p>
    <w:p>
      <w:pPr>
        <w:spacing w:after="0"/>
        <w:rPr>
          <w:sz w:val="20"/>
          <w:szCs w:val="20"/>
          <w:color w:val="auto"/>
        </w:rPr>
      </w:pPr>
      <w:r>
        <w:rPr>
          <w:rFonts w:ascii="Arial" w:cs="Arial" w:eastAsia="Arial" w:hAnsi="Arial"/>
          <w:sz w:val="15"/>
          <w:szCs w:val="15"/>
          <w:b w:val="1"/>
          <w:bCs w:val="1"/>
          <w:color w:val="0067B3"/>
        </w:rPr>
        <w:t>KEY QUALIFICATIONS AND EXPERTISE</w:t>
      </w:r>
    </w:p>
    <w:p>
      <w:pPr>
        <w:spacing w:after="0" w:line="112"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Dr. Matsuoka brings to our Board of Directors significant experience in robotics, artificial intelligence, and consumer product innovation, with a career spanning academia and industry. She provides valuable perspective to the Board of Directors through her experience in building and overseeing new technologies at scale. Her academic and research background has contributed to the development of technologies across healthcare, consumer electronics, and advanced research initiatives.</w:t>
      </w:r>
    </w:p>
    <w:p>
      <w:pPr>
        <w:spacing w:after="0" w:line="71" w:lineRule="exact"/>
        <w:rPr>
          <w:sz w:val="20"/>
          <w:szCs w:val="20"/>
          <w:color w:val="auto"/>
        </w:rPr>
      </w:pPr>
    </w:p>
    <w:p>
      <w:pPr>
        <w:spacing w:after="0"/>
        <w:rPr>
          <w:sz w:val="20"/>
          <w:szCs w:val="20"/>
          <w:color w:val="auto"/>
        </w:rPr>
      </w:pPr>
      <w:r>
        <w:rPr>
          <w:rFonts w:ascii="Arial" w:cs="Arial" w:eastAsia="Arial" w:hAnsi="Arial"/>
          <w:sz w:val="15"/>
          <w:szCs w:val="15"/>
          <w:b w:val="1"/>
          <w:bCs w:val="1"/>
          <w:color w:val="0067B3"/>
        </w:rPr>
        <w:t>OTHER PUBLIC COMPANY BOARDS</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color w:val="0067B3"/>
        </w:rPr>
        <w:t xml:space="preserve">Current: </w:t>
      </w:r>
      <w:r>
        <w:rPr>
          <w:rFonts w:ascii="Arial" w:cs="Arial" w:eastAsia="Arial" w:hAnsi="Arial"/>
          <w:sz w:val="18"/>
          <w:szCs w:val="18"/>
          <w:color w:val="000000"/>
        </w:rPr>
        <w:t>None</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0067B3"/>
        </w:rPr>
        <w:t xml:space="preserve">Past 5 Years: </w:t>
      </w:r>
      <w:r>
        <w:rPr>
          <w:rFonts w:ascii="Arial" w:cs="Arial" w:eastAsia="Arial" w:hAnsi="Arial"/>
          <w:sz w:val="18"/>
          <w:szCs w:val="18"/>
          <w:color w:val="000000"/>
        </w:rPr>
        <w:t>HP, Inc. (until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-1150620</wp:posOffset>
            </wp:positionH>
            <wp:positionV relativeFrom="paragraph">
              <wp:posOffset>271780</wp:posOffset>
            </wp:positionV>
            <wp:extent cx="6471920" cy="50546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6471920" cy="50546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2120" w:space="720"/>
            <w:col w:w="8340"/>
          </w:cols>
          <w:pgMar w:left="340" w:top="1440" w:right="379" w:bottom="1440" w:gutter="0" w:footer="0" w:header="0"/>
          <w:type w:val="continuous"/>
        </w:sectPr>
      </w:pPr>
    </w:p>
    <w:p>
      <w:pPr>
        <w:spacing w:after="0" w:line="200" w:lineRule="exact"/>
        <w:rPr>
          <w:sz w:val="20"/>
          <w:szCs w:val="20"/>
          <w:color w:val="auto"/>
        </w:rPr>
      </w:pPr>
    </w:p>
    <w:p>
      <w:pPr>
        <w:spacing w:after="0" w:line="293" w:lineRule="exact"/>
        <w:rPr>
          <w:sz w:val="20"/>
          <w:szCs w:val="20"/>
          <w:color w:val="auto"/>
        </w:rPr>
      </w:pPr>
    </w:p>
    <w:p>
      <w:pPr>
        <w:ind w:left="180"/>
        <w:spacing w:after="0"/>
        <w:tabs>
          <w:tab w:leader="none" w:pos="1020" w:val="left"/>
          <w:tab w:leader="none" w:pos="2940" w:val="left"/>
        </w:tabs>
        <w:rPr>
          <w:sz w:val="20"/>
          <w:szCs w:val="20"/>
          <w:color w:val="auto"/>
        </w:rPr>
      </w:pPr>
      <w:r>
        <w:rPr>
          <w:rFonts w:ascii="Arial" w:cs="Arial" w:eastAsia="Arial" w:hAnsi="Arial"/>
          <w:sz w:val="18"/>
          <w:szCs w:val="18"/>
          <w:b w:val="1"/>
          <w:bCs w:val="1"/>
          <w:color w:val="auto"/>
        </w:rPr>
        <w:t xml:space="preserve">Age: </w:t>
      </w:r>
      <w:r>
        <w:rPr>
          <w:rFonts w:ascii="Arial" w:cs="Arial" w:eastAsia="Arial" w:hAnsi="Arial"/>
          <w:sz w:val="18"/>
          <w:szCs w:val="18"/>
          <w:color w:val="auto"/>
        </w:rPr>
        <w:t>54</w:t>
      </w:r>
      <w:r>
        <w:rPr>
          <w:rFonts w:ascii="Arial" w:cs="Arial" w:eastAsia="Arial" w:hAnsi="Arial"/>
          <w:sz w:val="18"/>
          <w:szCs w:val="18"/>
          <w:b w:val="1"/>
          <w:bCs w:val="1"/>
          <w:color w:val="auto"/>
        </w:rPr>
        <w:tab/>
        <w:t xml:space="preserve">Director since: </w:t>
      </w:r>
      <w:r>
        <w:rPr>
          <w:rFonts w:ascii="Arial" w:cs="Arial" w:eastAsia="Arial" w:hAnsi="Arial"/>
          <w:sz w:val="18"/>
          <w:szCs w:val="18"/>
          <w:color w:val="auto"/>
        </w:rPr>
        <w:t>2026</w:t>
      </w:r>
      <w:r>
        <w:rPr>
          <w:rFonts w:ascii="Arial" w:cs="Arial" w:eastAsia="Arial" w:hAnsi="Arial"/>
          <w:sz w:val="18"/>
          <w:szCs w:val="18"/>
          <w:b w:val="1"/>
          <w:bCs w:val="1"/>
          <w:color w:val="auto"/>
        </w:rPr>
        <w:tab/>
        <w:t xml:space="preserve">Committee(s): </w:t>
      </w:r>
      <w:r>
        <w:rPr>
          <w:rFonts w:ascii="Arial" w:cs="Arial" w:eastAsia="Arial" w:hAnsi="Arial"/>
          <w:sz w:val="18"/>
          <w:szCs w:val="18"/>
          <w:color w:val="auto"/>
        </w:rPr>
        <w:t>Corporate Development</w:t>
      </w:r>
    </w:p>
    <w:p>
      <w:pPr>
        <w:sectPr>
          <w:pgSz w:w="11900" w:h="16838" w:orient="portrait"/>
          <w:cols w:equalWidth="0" w:num="1">
            <w:col w:w="11180"/>
          </w:cols>
          <w:pgMar w:left="340" w:top="1440" w:right="37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ind w:left="620" w:hanging="614"/>
        <w:spacing w:after="0"/>
        <w:tabs>
          <w:tab w:leader="none" w:pos="620" w:val="left"/>
        </w:tabs>
        <w:numPr>
          <w:ilvl w:val="0"/>
          <w:numId w:val="26"/>
        </w:numPr>
        <w:rPr>
          <w:rFonts w:ascii="Arial" w:cs="Arial" w:eastAsia="Arial" w:hAnsi="Arial"/>
          <w:sz w:val="20"/>
          <w:szCs w:val="20"/>
          <w:b w:val="1"/>
          <w:bCs w:val="1"/>
          <w:color w:val="auto"/>
        </w:rPr>
      </w:pPr>
      <w:r>
        <w:rPr>
          <w:rFonts w:ascii="Arial" w:cs="Arial" w:eastAsia="Arial" w:hAnsi="Arial"/>
          <w:sz w:val="16"/>
          <w:szCs w:val="16"/>
          <w:color w:val="6D6E71"/>
        </w:rPr>
        <w:t>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194310</wp:posOffset>
            </wp:positionV>
            <wp:extent cx="7157720" cy="425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40" w:top="1440" w:right="379" w:bottom="1440" w:gutter="0" w:footer="0" w:header="0"/>
          <w:type w:val="continuous"/>
        </w:sectPr>
      </w:pPr>
    </w:p>
    <w:bookmarkStart w:id="23" w:name="page24"/>
    <w:bookmarkEnd w:id="2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319405</wp:posOffset>
            </wp:positionH>
            <wp:positionV relativeFrom="page">
              <wp:posOffset>808990</wp:posOffset>
            </wp:positionV>
            <wp:extent cx="1440180" cy="144018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clrChange>
                        <a:clrFrom>
                          <a:srgbClr val="FFFFFF"/>
                        </a:clrFrom>
                        <a:clrTo>
                          <a:srgbClr val="FFFFFF">
                            <a:alpha val="0"/>
                          </a:srgbClr>
                        </a:clrTo>
                      </a:clrChange>
                      <a:extLst>
                        <a:ext uri="{28A0092B-C50C-407E-A947-70E740481C1C}"/>
                      </a:extLst>
                    </a:blip>
                    <a:srcRect/>
                    <a:stretch>
                      <a:fillRect/>
                    </a:stretch>
                  </pic:blipFill>
                  <pic:spPr bwMode="auto">
                    <a:xfrm>
                      <a:off x="0" y="0"/>
                      <a:ext cx="1440180" cy="14401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20"/>
        <w:spacing w:after="0"/>
        <w:rPr>
          <w:sz w:val="20"/>
          <w:szCs w:val="20"/>
          <w:color w:val="auto"/>
        </w:rPr>
      </w:pPr>
      <w:r>
        <w:rPr>
          <w:rFonts w:ascii="Arial" w:cs="Arial" w:eastAsia="Arial" w:hAnsi="Arial"/>
          <w:sz w:val="27"/>
          <w:szCs w:val="27"/>
          <w:b w:val="1"/>
          <w:bCs w:val="1"/>
          <w:color w:val="0067B3"/>
        </w:rPr>
        <w:t>Ray Stata</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b w:val="1"/>
          <w:bCs w:val="1"/>
          <w:color w:val="0067B3"/>
        </w:rPr>
        <w:t>PROFESSIONAL EXPERIENCE AND BACKGROUND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-1810385</wp:posOffset>
            </wp:positionH>
            <wp:positionV relativeFrom="paragraph">
              <wp:posOffset>-259715</wp:posOffset>
            </wp:positionV>
            <wp:extent cx="7132320" cy="213423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132320" cy="2134235"/>
                    </a:xfrm>
                    <a:prstGeom prst="rect">
                      <a:avLst/>
                    </a:prstGeom>
                    <a:noFill/>
                  </pic:spPr>
                </pic:pic>
              </a:graphicData>
            </a:graphic>
          </wp:anchor>
        </w:drawing>
      </w:r>
    </w:p>
    <w:p>
      <w:pPr>
        <w:spacing w:after="0" w:line="105" w:lineRule="exact"/>
        <w:rPr>
          <w:sz w:val="20"/>
          <w:szCs w:val="20"/>
          <w:color w:val="auto"/>
        </w:rPr>
      </w:pPr>
    </w:p>
    <w:p>
      <w:pPr>
        <w:jc w:val="both"/>
        <w:ind w:right="60"/>
        <w:spacing w:after="0" w:line="268" w:lineRule="auto"/>
        <w:rPr>
          <w:sz w:val="20"/>
          <w:szCs w:val="20"/>
          <w:color w:val="auto"/>
        </w:rPr>
      </w:pPr>
      <w:r>
        <w:rPr>
          <w:rFonts w:ascii="Arial" w:cs="Arial" w:eastAsia="Arial" w:hAnsi="Arial"/>
          <w:sz w:val="18"/>
          <w:szCs w:val="18"/>
          <w:color w:val="auto"/>
        </w:rPr>
        <w:t>Mr. Stata is our co-founder and served as an executive officer from our inception in 1965 until April 2012, including as our CEO from 1973 to November 1996 and as our President from 1971 to November 1991. Mr. Stata also served as the Chair of our Board of Directors from 1973 until March 2022.</w:t>
      </w:r>
    </w:p>
    <w:p>
      <w:pPr>
        <w:spacing w:after="0" w:line="62" w:lineRule="exact"/>
        <w:rPr>
          <w:sz w:val="20"/>
          <w:szCs w:val="20"/>
          <w:color w:val="auto"/>
        </w:rPr>
      </w:pPr>
    </w:p>
    <w:p>
      <w:pPr>
        <w:spacing w:after="0"/>
        <w:rPr>
          <w:sz w:val="20"/>
          <w:szCs w:val="20"/>
          <w:color w:val="auto"/>
        </w:rPr>
      </w:pPr>
      <w:r>
        <w:rPr>
          <w:rFonts w:ascii="Arial" w:cs="Arial" w:eastAsia="Arial" w:hAnsi="Arial"/>
          <w:sz w:val="15"/>
          <w:szCs w:val="15"/>
          <w:b w:val="1"/>
          <w:bCs w:val="1"/>
          <w:color w:val="0067B3"/>
        </w:rPr>
        <w:t>KEY QUALIFICATIONS AND EXPERTISE</w:t>
      </w:r>
    </w:p>
    <w:p>
      <w:pPr>
        <w:spacing w:after="0" w:line="125" w:lineRule="exact"/>
        <w:rPr>
          <w:sz w:val="20"/>
          <w:szCs w:val="20"/>
          <w:color w:val="auto"/>
        </w:rPr>
      </w:pPr>
    </w:p>
    <w:p>
      <w:pPr>
        <w:ind w:right="300"/>
        <w:spacing w:after="0" w:line="268" w:lineRule="auto"/>
        <w:rPr>
          <w:sz w:val="20"/>
          <w:szCs w:val="20"/>
          <w:color w:val="auto"/>
        </w:rPr>
      </w:pPr>
      <w:r>
        <w:rPr>
          <w:rFonts w:ascii="Arial" w:cs="Arial" w:eastAsia="Arial" w:hAnsi="Arial"/>
          <w:sz w:val="18"/>
          <w:szCs w:val="18"/>
          <w:color w:val="auto"/>
        </w:rPr>
        <w:t>Mr. Stata brings to our Board of Directors 60 years of experience and leadership in the semiconductor industry, including as our founder, our former Chair of the Board of Directors for 48 years, our former CEO for 23 years, and our former President for 20 years.</w:t>
      </w:r>
    </w:p>
    <w:p>
      <w:pPr>
        <w:spacing w:after="0" w:line="62" w:lineRule="exact"/>
        <w:rPr>
          <w:sz w:val="20"/>
          <w:szCs w:val="20"/>
          <w:color w:val="auto"/>
        </w:rPr>
      </w:pPr>
    </w:p>
    <w:p>
      <w:pPr>
        <w:spacing w:after="0"/>
        <w:rPr>
          <w:sz w:val="20"/>
          <w:szCs w:val="20"/>
          <w:color w:val="auto"/>
        </w:rPr>
      </w:pPr>
      <w:r>
        <w:rPr>
          <w:rFonts w:ascii="Arial" w:cs="Arial" w:eastAsia="Arial" w:hAnsi="Arial"/>
          <w:sz w:val="15"/>
          <w:szCs w:val="15"/>
          <w:b w:val="1"/>
          <w:bCs w:val="1"/>
          <w:color w:val="0067B3"/>
        </w:rPr>
        <w:t>OTHER PUBLIC COMPANY BOARDS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color w:val="0067B3"/>
        </w:rPr>
        <w:t xml:space="preserve">Current: </w:t>
      </w:r>
      <w:r>
        <w:rPr>
          <w:rFonts w:ascii="Arial" w:cs="Arial" w:eastAsia="Arial" w:hAnsi="Arial"/>
          <w:sz w:val="18"/>
          <w:szCs w:val="18"/>
          <w:color w:val="000000"/>
        </w:rPr>
        <w:t>None</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0067B3"/>
        </w:rPr>
        <w:t xml:space="preserve">Past 5 Years: </w:t>
      </w:r>
      <w:r>
        <w:rPr>
          <w:rFonts w:ascii="Arial" w:cs="Arial" w:eastAsia="Arial" w:hAnsi="Arial"/>
          <w:sz w:val="18"/>
          <w:szCs w:val="18"/>
          <w:color w:val="000000"/>
        </w:rPr>
        <w:t>None</w:t>
      </w:r>
    </w:p>
    <w:p>
      <w:pPr>
        <w:spacing w:after="0" w:line="200" w:lineRule="exact"/>
        <w:rPr>
          <w:sz w:val="20"/>
          <w:szCs w:val="20"/>
          <w:color w:val="auto"/>
        </w:rPr>
      </w:pPr>
    </w:p>
    <w:p>
      <w:pPr>
        <w:sectPr>
          <w:pgSz w:w="11900" w:h="16838" w:orient="portrait"/>
          <w:cols w:equalWidth="0" w:num="2">
            <w:col w:w="2140" w:space="720"/>
            <w:col w:w="8380"/>
          </w:cols>
          <w:pgMar w:left="320" w:top="1440" w:right="339" w:bottom="1440" w:gutter="0" w:footer="0" w:header="0"/>
        </w:sectPr>
      </w:pPr>
    </w:p>
    <w:p>
      <w:pPr>
        <w:spacing w:after="0" w:line="93" w:lineRule="exact"/>
        <w:rPr>
          <w:sz w:val="20"/>
          <w:szCs w:val="20"/>
          <w:color w:val="auto"/>
        </w:rPr>
      </w:pPr>
    </w:p>
    <w:tbl>
      <w:tblPr>
        <w:tblLayout w:type="fixed"/>
        <w:tblInd w:w="0" w:type="dxa"/>
        <w:tblCellMar>
          <w:top w:w="0" w:type="dxa"/>
          <w:left w:w="0" w:type="dxa"/>
          <w:bottom w:w="0" w:type="dxa"/>
          <w:right w:w="0" w:type="dxa"/>
        </w:tblCellMar>
      </w:tblPr>
      <w:tr>
        <w:trPr>
          <w:trHeight w:val="512"/>
        </w:trPr>
        <w:tc>
          <w:tcPr>
            <w:tcW w:w="1040" w:type="dxa"/>
            <w:vAlign w:val="bottom"/>
            <w:shd w:val="clear" w:color="auto" w:fill="E2E6F4"/>
          </w:tcPr>
          <w:p>
            <w:pPr>
              <w:ind w:left="200"/>
              <w:spacing w:after="0"/>
              <w:rPr>
                <w:sz w:val="20"/>
                <w:szCs w:val="20"/>
                <w:color w:val="auto"/>
              </w:rPr>
            </w:pPr>
            <w:r>
              <w:rPr>
                <w:rFonts w:ascii="Arial" w:cs="Arial" w:eastAsia="Arial" w:hAnsi="Arial"/>
                <w:sz w:val="18"/>
                <w:szCs w:val="18"/>
                <w:b w:val="1"/>
                <w:bCs w:val="1"/>
                <w:color w:val="auto"/>
              </w:rPr>
              <w:t xml:space="preserve">Age: </w:t>
            </w:r>
            <w:r>
              <w:rPr>
                <w:rFonts w:ascii="Arial" w:cs="Arial" w:eastAsia="Arial" w:hAnsi="Arial"/>
                <w:sz w:val="18"/>
                <w:szCs w:val="18"/>
                <w:color w:val="auto"/>
              </w:rPr>
              <w:t>91</w:t>
            </w:r>
          </w:p>
        </w:tc>
        <w:tc>
          <w:tcPr>
            <w:tcW w:w="1780" w:type="dxa"/>
            <w:vAlign w:val="bottom"/>
            <w:gridSpan w:val="2"/>
            <w:shd w:val="clear" w:color="auto" w:fill="E2E6F4"/>
          </w:tcPr>
          <w:p>
            <w:pPr>
              <w:ind w:left="20"/>
              <w:spacing w:after="0"/>
              <w:rPr>
                <w:sz w:val="20"/>
                <w:szCs w:val="20"/>
                <w:color w:val="auto"/>
              </w:rPr>
            </w:pPr>
            <w:r>
              <w:rPr>
                <w:rFonts w:ascii="Arial" w:cs="Arial" w:eastAsia="Arial" w:hAnsi="Arial"/>
                <w:sz w:val="18"/>
                <w:szCs w:val="18"/>
                <w:b w:val="1"/>
                <w:bCs w:val="1"/>
                <w:color w:val="auto"/>
              </w:rPr>
              <w:t xml:space="preserve">Director since: </w:t>
            </w:r>
            <w:r>
              <w:rPr>
                <w:rFonts w:ascii="Arial" w:cs="Arial" w:eastAsia="Arial" w:hAnsi="Arial"/>
                <w:sz w:val="18"/>
                <w:szCs w:val="18"/>
                <w:color w:val="auto"/>
              </w:rPr>
              <w:t>1965</w:t>
            </w:r>
          </w:p>
        </w:tc>
        <w:tc>
          <w:tcPr>
            <w:tcW w:w="8120" w:type="dxa"/>
            <w:vAlign w:val="bottom"/>
            <w:shd w:val="clear" w:color="auto" w:fill="E2E6F4"/>
          </w:tcPr>
          <w:p>
            <w:pPr>
              <w:ind w:left="160"/>
              <w:spacing w:after="0"/>
              <w:rPr>
                <w:sz w:val="20"/>
                <w:szCs w:val="20"/>
                <w:color w:val="auto"/>
              </w:rPr>
            </w:pPr>
            <w:r>
              <w:rPr>
                <w:rFonts w:ascii="Arial" w:cs="Arial" w:eastAsia="Arial" w:hAnsi="Arial"/>
                <w:sz w:val="18"/>
                <w:szCs w:val="18"/>
                <w:b w:val="1"/>
                <w:bCs w:val="1"/>
                <w:color w:val="auto"/>
              </w:rPr>
              <w:t xml:space="preserve">Committee(s): </w:t>
            </w:r>
            <w:r>
              <w:rPr>
                <w:rFonts w:ascii="Arial" w:cs="Arial" w:eastAsia="Arial" w:hAnsi="Arial"/>
                <w:sz w:val="18"/>
                <w:szCs w:val="18"/>
                <w:color w:val="auto"/>
              </w:rPr>
              <w:t>None</w:t>
            </w:r>
          </w:p>
        </w:tc>
        <w:tc>
          <w:tcPr>
            <w:tcW w:w="300" w:type="dxa"/>
            <w:vAlign w:val="bottom"/>
            <w:shd w:val="clear" w:color="auto" w:fill="E2E6F4"/>
          </w:tcPr>
          <w:p>
            <w:pPr>
              <w:spacing w:after="0"/>
              <w:rPr>
                <w:sz w:val="24"/>
                <w:szCs w:val="24"/>
                <w:color w:val="auto"/>
              </w:rPr>
            </w:pPr>
          </w:p>
        </w:tc>
        <w:tc>
          <w:tcPr>
            <w:tcW w:w="0" w:type="dxa"/>
            <w:vAlign w:val="bottom"/>
          </w:tcPr>
          <w:p>
            <w:pPr>
              <w:spacing w:after="0"/>
              <w:rPr>
                <w:sz w:val="1"/>
                <w:szCs w:val="1"/>
                <w:color w:val="auto"/>
              </w:rPr>
            </w:pPr>
          </w:p>
        </w:tc>
      </w:tr>
      <w:tr>
        <w:trPr>
          <w:trHeight w:val="285"/>
        </w:trPr>
        <w:tc>
          <w:tcPr>
            <w:tcW w:w="1040" w:type="dxa"/>
            <w:vAlign w:val="bottom"/>
            <w:shd w:val="clear" w:color="auto" w:fill="E2E6F4"/>
          </w:tcPr>
          <w:p>
            <w:pPr>
              <w:spacing w:after="0"/>
              <w:rPr>
                <w:sz w:val="24"/>
                <w:szCs w:val="24"/>
                <w:color w:val="auto"/>
              </w:rPr>
            </w:pPr>
          </w:p>
        </w:tc>
        <w:tc>
          <w:tcPr>
            <w:tcW w:w="1600" w:type="dxa"/>
            <w:vAlign w:val="bottom"/>
            <w:tcBorders>
              <w:right w:val="single" w:sz="8" w:color="E2E6F4"/>
            </w:tcBorders>
            <w:shd w:val="clear" w:color="auto" w:fill="E2E6F4"/>
          </w:tcPr>
          <w:p>
            <w:pPr>
              <w:spacing w:after="0"/>
              <w:rPr>
                <w:sz w:val="24"/>
                <w:szCs w:val="24"/>
                <w:color w:val="auto"/>
              </w:rPr>
            </w:pPr>
          </w:p>
        </w:tc>
        <w:tc>
          <w:tcPr>
            <w:tcW w:w="180" w:type="dxa"/>
            <w:vAlign w:val="bottom"/>
            <w:shd w:val="clear" w:color="auto" w:fill="E2E6F4"/>
          </w:tcPr>
          <w:p>
            <w:pPr>
              <w:spacing w:after="0"/>
              <w:rPr>
                <w:sz w:val="24"/>
                <w:szCs w:val="24"/>
                <w:color w:val="auto"/>
              </w:rPr>
            </w:pPr>
          </w:p>
        </w:tc>
        <w:tc>
          <w:tcPr>
            <w:tcW w:w="8120" w:type="dxa"/>
            <w:vAlign w:val="bottom"/>
            <w:shd w:val="clear" w:color="auto" w:fill="E2E6F4"/>
          </w:tcPr>
          <w:p>
            <w:pPr>
              <w:spacing w:after="0"/>
              <w:rPr>
                <w:sz w:val="24"/>
                <w:szCs w:val="24"/>
                <w:color w:val="auto"/>
              </w:rPr>
            </w:pPr>
          </w:p>
        </w:tc>
        <w:tc>
          <w:tcPr>
            <w:tcW w:w="300" w:type="dxa"/>
            <w:vAlign w:val="bottom"/>
            <w:shd w:val="clear" w:color="auto" w:fill="E2E6F4"/>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1040" w:type="dxa"/>
            <w:vAlign w:val="bottom"/>
            <w:tcBorders>
              <w:bottom w:val="single" w:sz="8" w:color="0067B3"/>
            </w:tcBorders>
          </w:tcPr>
          <w:p>
            <w:pPr>
              <w:spacing w:after="0"/>
              <w:rPr>
                <w:sz w:val="20"/>
                <w:szCs w:val="20"/>
                <w:color w:val="auto"/>
              </w:rPr>
            </w:pPr>
          </w:p>
        </w:tc>
        <w:tc>
          <w:tcPr>
            <w:tcW w:w="1600" w:type="dxa"/>
            <w:vAlign w:val="bottom"/>
            <w:tcBorders>
              <w:bottom w:val="single" w:sz="8" w:color="0067B3"/>
            </w:tcBorders>
          </w:tcPr>
          <w:p>
            <w:pPr>
              <w:spacing w:after="0"/>
              <w:rPr>
                <w:sz w:val="20"/>
                <w:szCs w:val="20"/>
                <w:color w:val="auto"/>
              </w:rPr>
            </w:pPr>
          </w:p>
        </w:tc>
        <w:tc>
          <w:tcPr>
            <w:tcW w:w="180" w:type="dxa"/>
            <w:vAlign w:val="bottom"/>
            <w:tcBorders>
              <w:bottom w:val="single" w:sz="8" w:color="0067B3"/>
            </w:tcBorders>
          </w:tcPr>
          <w:p>
            <w:pPr>
              <w:spacing w:after="0"/>
              <w:rPr>
                <w:sz w:val="20"/>
                <w:szCs w:val="20"/>
                <w:color w:val="auto"/>
              </w:rPr>
            </w:pPr>
          </w:p>
        </w:tc>
        <w:tc>
          <w:tcPr>
            <w:tcW w:w="8120" w:type="dxa"/>
            <w:vAlign w:val="bottom"/>
            <w:tcBorders>
              <w:bottom w:val="single" w:sz="8" w:color="0067B3"/>
            </w:tcBorders>
          </w:tcPr>
          <w:p>
            <w:pPr>
              <w:spacing w:after="0"/>
              <w:rPr>
                <w:sz w:val="20"/>
                <w:szCs w:val="20"/>
                <w:color w:val="auto"/>
              </w:rPr>
            </w:pPr>
          </w:p>
        </w:tc>
        <w:tc>
          <w:tcPr>
            <w:tcW w:w="300" w:type="dxa"/>
            <w:vAlign w:val="bottom"/>
            <w:tcBorders>
              <w:bottom w:val="single" w:sz="8" w:color="0067B3"/>
            </w:tcBorders>
          </w:tcPr>
          <w:p>
            <w:pPr>
              <w:spacing w:after="0"/>
              <w:rPr>
                <w:sz w:val="20"/>
                <w:szCs w:val="20"/>
                <w:color w:val="auto"/>
              </w:rPr>
            </w:pPr>
          </w:p>
        </w:tc>
        <w:tc>
          <w:tcPr>
            <w:tcW w:w="0" w:type="dxa"/>
            <w:vAlign w:val="bottom"/>
          </w:tcPr>
          <w:p>
            <w:pPr>
              <w:spacing w:after="0"/>
              <w:rPr>
                <w:sz w:val="1"/>
                <w:szCs w:val="1"/>
                <w:color w:val="auto"/>
              </w:rPr>
            </w:pPr>
          </w:p>
        </w:tc>
      </w:tr>
      <w:tr>
        <w:trPr>
          <w:trHeight w:val="420"/>
        </w:trPr>
        <w:tc>
          <w:tcPr>
            <w:tcW w:w="1040" w:type="dxa"/>
            <w:vAlign w:val="bottom"/>
          </w:tcPr>
          <w:p>
            <w:pPr>
              <w:spacing w:after="0"/>
              <w:rPr>
                <w:sz w:val="24"/>
                <w:szCs w:val="24"/>
                <w:color w:val="auto"/>
              </w:rPr>
            </w:pPr>
          </w:p>
        </w:tc>
        <w:tc>
          <w:tcPr>
            <w:tcW w:w="1600" w:type="dxa"/>
            <w:vAlign w:val="bottom"/>
            <w:tcBorders>
              <w:right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8120" w:type="dxa"/>
            <w:vAlign w:val="bottom"/>
          </w:tcPr>
          <w:p>
            <w:pPr>
              <w:ind w:left="40"/>
              <w:spacing w:after="0"/>
              <w:rPr>
                <w:sz w:val="20"/>
                <w:szCs w:val="20"/>
                <w:color w:val="auto"/>
              </w:rPr>
            </w:pPr>
            <w:r>
              <w:rPr>
                <w:rFonts w:ascii="Arial" w:cs="Arial" w:eastAsia="Arial" w:hAnsi="Arial"/>
                <w:sz w:val="15"/>
                <w:szCs w:val="15"/>
                <w:b w:val="1"/>
                <w:bCs w:val="1"/>
                <w:color w:val="0067B3"/>
              </w:rPr>
              <w:t>PROFESSIONAL EXPERIENCE AND BACKGROUND</w:t>
            </w:r>
          </w:p>
        </w:tc>
        <w:tc>
          <w:tcPr>
            <w:tcW w:w="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3"/>
        </w:trPr>
        <w:tc>
          <w:tcPr>
            <w:tcW w:w="1040" w:type="dxa"/>
            <w:vAlign w:val="bottom"/>
          </w:tcPr>
          <w:p>
            <w:pPr>
              <w:spacing w:after="0"/>
              <w:rPr>
                <w:sz w:val="24"/>
                <w:szCs w:val="24"/>
                <w:color w:val="auto"/>
              </w:rPr>
            </w:pPr>
          </w:p>
        </w:tc>
        <w:tc>
          <w:tcPr>
            <w:tcW w:w="1600" w:type="dxa"/>
            <w:vAlign w:val="bottom"/>
            <w:tcBorders>
              <w:right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8420" w:type="dxa"/>
            <w:vAlign w:val="bottom"/>
            <w:gridSpan w:val="2"/>
          </w:tcPr>
          <w:p>
            <w:pPr>
              <w:ind w:left="40"/>
              <w:spacing w:after="0"/>
              <w:rPr>
                <w:sz w:val="20"/>
                <w:szCs w:val="20"/>
                <w:color w:val="auto"/>
              </w:rPr>
            </w:pPr>
            <w:r>
              <w:rPr>
                <w:rFonts w:ascii="Arial" w:cs="Arial" w:eastAsia="Arial" w:hAnsi="Arial"/>
                <w:sz w:val="18"/>
                <w:szCs w:val="18"/>
                <w:color w:val="auto"/>
              </w:rPr>
              <w:t>Ms. Wainer served as Executive Vice President, Rapid and Molecular Diagnostics at Abbott Laboratories</w:t>
            </w:r>
          </w:p>
        </w:tc>
        <w:tc>
          <w:tcPr>
            <w:tcW w:w="0" w:type="dxa"/>
            <w:vAlign w:val="bottom"/>
          </w:tcPr>
          <w:p>
            <w:pPr>
              <w:spacing w:after="0"/>
              <w:rPr>
                <w:sz w:val="1"/>
                <w:szCs w:val="1"/>
                <w:color w:val="auto"/>
              </w:rPr>
            </w:pPr>
          </w:p>
        </w:tc>
      </w:tr>
      <w:tr>
        <w:trPr>
          <w:trHeight w:val="216"/>
        </w:trPr>
        <w:tc>
          <w:tcPr>
            <w:tcW w:w="1040" w:type="dxa"/>
            <w:vAlign w:val="bottom"/>
          </w:tcPr>
          <w:p>
            <w:pPr>
              <w:spacing w:after="0"/>
              <w:rPr>
                <w:sz w:val="18"/>
                <w:szCs w:val="18"/>
                <w:color w:val="auto"/>
              </w:rPr>
            </w:pPr>
          </w:p>
        </w:tc>
        <w:tc>
          <w:tcPr>
            <w:tcW w:w="1600" w:type="dxa"/>
            <w:vAlign w:val="bottom"/>
            <w:tcBorders>
              <w:right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8420" w:type="dxa"/>
            <w:vAlign w:val="bottom"/>
            <w:gridSpan w:val="2"/>
          </w:tcPr>
          <w:p>
            <w:pPr>
              <w:ind w:left="40"/>
              <w:spacing w:after="0"/>
              <w:rPr>
                <w:sz w:val="20"/>
                <w:szCs w:val="20"/>
                <w:color w:val="auto"/>
              </w:rPr>
            </w:pPr>
            <w:r>
              <w:rPr>
                <w:rFonts w:ascii="Arial" w:cs="Arial" w:eastAsia="Arial" w:hAnsi="Arial"/>
                <w:sz w:val="18"/>
                <w:szCs w:val="18"/>
                <w:color w:val="auto"/>
              </w:rPr>
              <w:t>(Abbott), a medical devices and health care company, from 2019 to February 2025. During her nearly 22</w:t>
            </w:r>
          </w:p>
        </w:tc>
        <w:tc>
          <w:tcPr>
            <w:tcW w:w="0" w:type="dxa"/>
            <w:vAlign w:val="bottom"/>
          </w:tcPr>
          <w:p>
            <w:pPr>
              <w:spacing w:after="0"/>
              <w:rPr>
                <w:sz w:val="1"/>
                <w:szCs w:val="1"/>
                <w:color w:val="auto"/>
              </w:rPr>
            </w:pPr>
          </w:p>
        </w:tc>
      </w:tr>
      <w:tr>
        <w:trPr>
          <w:trHeight w:val="216"/>
        </w:trPr>
        <w:tc>
          <w:tcPr>
            <w:tcW w:w="1040" w:type="dxa"/>
            <w:vAlign w:val="bottom"/>
          </w:tcPr>
          <w:p>
            <w:pPr>
              <w:spacing w:after="0"/>
              <w:rPr>
                <w:sz w:val="18"/>
                <w:szCs w:val="18"/>
                <w:color w:val="auto"/>
              </w:rPr>
            </w:pPr>
          </w:p>
        </w:tc>
        <w:tc>
          <w:tcPr>
            <w:tcW w:w="1600" w:type="dxa"/>
            <w:vAlign w:val="bottom"/>
            <w:tcBorders>
              <w:right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8120" w:type="dxa"/>
            <w:vAlign w:val="bottom"/>
          </w:tcPr>
          <w:p>
            <w:pPr>
              <w:ind w:left="40"/>
              <w:spacing w:after="0"/>
              <w:rPr>
                <w:sz w:val="20"/>
                <w:szCs w:val="20"/>
                <w:color w:val="auto"/>
              </w:rPr>
            </w:pPr>
            <w:r>
              <w:rPr>
                <w:rFonts w:ascii="Arial" w:cs="Arial" w:eastAsia="Arial" w:hAnsi="Arial"/>
                <w:sz w:val="18"/>
                <w:szCs w:val="18"/>
                <w:color w:val="auto"/>
              </w:rPr>
              <w:t>years at Abbott, Ms. Wainer served in roles of increasing responsibility including as President, Abbott</w:t>
            </w: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40" w:type="dxa"/>
            <w:vAlign w:val="bottom"/>
          </w:tcPr>
          <w:p>
            <w:pPr>
              <w:spacing w:after="0"/>
              <w:rPr>
                <w:sz w:val="18"/>
                <w:szCs w:val="18"/>
                <w:color w:val="auto"/>
              </w:rPr>
            </w:pPr>
          </w:p>
        </w:tc>
        <w:tc>
          <w:tcPr>
            <w:tcW w:w="1600" w:type="dxa"/>
            <w:vAlign w:val="bottom"/>
            <w:tcBorders>
              <w:right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8120" w:type="dxa"/>
            <w:vAlign w:val="bottom"/>
          </w:tcPr>
          <w:p>
            <w:pPr>
              <w:ind w:left="40"/>
              <w:spacing w:after="0"/>
              <w:rPr>
                <w:sz w:val="20"/>
                <w:szCs w:val="20"/>
                <w:color w:val="auto"/>
              </w:rPr>
            </w:pPr>
            <w:r>
              <w:rPr>
                <w:rFonts w:ascii="Arial" w:cs="Arial" w:eastAsia="Arial" w:hAnsi="Arial"/>
                <w:sz w:val="18"/>
                <w:szCs w:val="18"/>
                <w:color w:val="auto"/>
              </w:rPr>
              <w:t>Molecular Diagnostics, from 2015 to 2019, President, Abbott Animal Health, from 2011 to 2014, and</w:t>
            </w: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40" w:type="dxa"/>
            <w:vAlign w:val="bottom"/>
          </w:tcPr>
          <w:p>
            <w:pPr>
              <w:spacing w:after="0"/>
              <w:rPr>
                <w:sz w:val="18"/>
                <w:szCs w:val="18"/>
                <w:color w:val="auto"/>
              </w:rPr>
            </w:pPr>
          </w:p>
        </w:tc>
        <w:tc>
          <w:tcPr>
            <w:tcW w:w="1600" w:type="dxa"/>
            <w:vAlign w:val="bottom"/>
            <w:tcBorders>
              <w:right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8420" w:type="dxa"/>
            <w:vAlign w:val="bottom"/>
            <w:gridSpan w:val="2"/>
          </w:tcPr>
          <w:p>
            <w:pPr>
              <w:ind w:left="40"/>
              <w:spacing w:after="0"/>
              <w:rPr>
                <w:sz w:val="20"/>
                <w:szCs w:val="20"/>
                <w:color w:val="auto"/>
              </w:rPr>
            </w:pPr>
            <w:r>
              <w:rPr>
                <w:rFonts w:ascii="Arial" w:cs="Arial" w:eastAsia="Arial" w:hAnsi="Arial"/>
                <w:sz w:val="18"/>
                <w:szCs w:val="18"/>
                <w:color w:val="auto"/>
                <w:w w:val="99"/>
              </w:rPr>
              <w:t>Divisional Vice President/General Manager, Abbott Renal Care, from 2009 to 2011. Ms. Wainer serves as</w:t>
            </w:r>
          </w:p>
        </w:tc>
        <w:tc>
          <w:tcPr>
            <w:tcW w:w="0" w:type="dxa"/>
            <w:vAlign w:val="bottom"/>
          </w:tcPr>
          <w:p>
            <w:pPr>
              <w:spacing w:after="0"/>
              <w:rPr>
                <w:sz w:val="1"/>
                <w:szCs w:val="1"/>
                <w:color w:val="auto"/>
              </w:rPr>
            </w:pPr>
          </w:p>
        </w:tc>
      </w:tr>
      <w:tr>
        <w:trPr>
          <w:trHeight w:val="239"/>
        </w:trPr>
        <w:tc>
          <w:tcPr>
            <w:tcW w:w="1040" w:type="dxa"/>
            <w:vAlign w:val="bottom"/>
          </w:tcPr>
          <w:p>
            <w:pPr>
              <w:spacing w:after="0"/>
              <w:rPr>
                <w:sz w:val="20"/>
                <w:szCs w:val="20"/>
                <w:color w:val="auto"/>
              </w:rPr>
            </w:pPr>
          </w:p>
        </w:tc>
        <w:tc>
          <w:tcPr>
            <w:tcW w:w="1600" w:type="dxa"/>
            <w:vAlign w:val="bottom"/>
            <w:tcBorders>
              <w:right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8120" w:type="dxa"/>
            <w:vAlign w:val="bottom"/>
          </w:tcPr>
          <w:p>
            <w:pPr>
              <w:ind w:left="40"/>
              <w:spacing w:after="0"/>
              <w:rPr>
                <w:sz w:val="20"/>
                <w:szCs w:val="20"/>
                <w:color w:val="auto"/>
              </w:rPr>
            </w:pPr>
            <w:r>
              <w:rPr>
                <w:rFonts w:ascii="Arial" w:cs="Arial" w:eastAsia="Arial" w:hAnsi="Arial"/>
                <w:sz w:val="18"/>
                <w:szCs w:val="18"/>
                <w:color w:val="auto"/>
              </w:rPr>
              <w:t>a member of the Board of Trustees of the Goodman Theatre.</w:t>
            </w:r>
          </w:p>
        </w:tc>
        <w:tc>
          <w:tcPr>
            <w:tcW w:w="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95"/>
        </w:trPr>
        <w:tc>
          <w:tcPr>
            <w:tcW w:w="1040" w:type="dxa"/>
            <w:vAlign w:val="bottom"/>
          </w:tcPr>
          <w:p>
            <w:pPr>
              <w:spacing w:after="0"/>
              <w:rPr>
                <w:sz w:val="24"/>
                <w:szCs w:val="24"/>
                <w:color w:val="auto"/>
              </w:rPr>
            </w:pPr>
          </w:p>
        </w:tc>
        <w:tc>
          <w:tcPr>
            <w:tcW w:w="1600" w:type="dxa"/>
            <w:vAlign w:val="bottom"/>
            <w:tcBorders>
              <w:right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8120" w:type="dxa"/>
            <w:vAlign w:val="bottom"/>
          </w:tcPr>
          <w:p>
            <w:pPr>
              <w:ind w:left="40"/>
              <w:spacing w:after="0"/>
              <w:rPr>
                <w:sz w:val="20"/>
                <w:szCs w:val="20"/>
                <w:color w:val="auto"/>
              </w:rPr>
            </w:pPr>
            <w:r>
              <w:rPr>
                <w:rFonts w:ascii="Arial" w:cs="Arial" w:eastAsia="Arial" w:hAnsi="Arial"/>
                <w:sz w:val="15"/>
                <w:szCs w:val="15"/>
                <w:b w:val="1"/>
                <w:bCs w:val="1"/>
                <w:color w:val="0067B3"/>
              </w:rPr>
              <w:t>KEY QUALIFICATIONS AND EXPERTISE</w:t>
            </w:r>
          </w:p>
        </w:tc>
        <w:tc>
          <w:tcPr>
            <w:tcW w:w="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0"/>
        </w:trPr>
        <w:tc>
          <w:tcPr>
            <w:tcW w:w="1040" w:type="dxa"/>
            <w:vAlign w:val="bottom"/>
          </w:tcPr>
          <w:p>
            <w:pPr>
              <w:spacing w:after="0"/>
              <w:rPr>
                <w:sz w:val="24"/>
                <w:szCs w:val="24"/>
                <w:color w:val="auto"/>
              </w:rPr>
            </w:pPr>
          </w:p>
        </w:tc>
        <w:tc>
          <w:tcPr>
            <w:tcW w:w="1600" w:type="dxa"/>
            <w:vAlign w:val="bottom"/>
            <w:tcBorders>
              <w:right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8120" w:type="dxa"/>
            <w:vAlign w:val="bottom"/>
          </w:tcPr>
          <w:p>
            <w:pPr>
              <w:ind w:left="40"/>
              <w:spacing w:after="0"/>
              <w:rPr>
                <w:sz w:val="20"/>
                <w:szCs w:val="20"/>
                <w:color w:val="auto"/>
              </w:rPr>
            </w:pPr>
            <w:r>
              <w:rPr>
                <w:rFonts w:ascii="Arial" w:cs="Arial" w:eastAsia="Arial" w:hAnsi="Arial"/>
                <w:sz w:val="18"/>
                <w:szCs w:val="18"/>
                <w:color w:val="auto"/>
              </w:rPr>
              <w:t>Ms. Wainer brings to our Board of Directors deep expertise leading innovative businesses in the</w:t>
            </w:r>
          </w:p>
        </w:tc>
        <w:tc>
          <w:tcPr>
            <w:tcW w:w="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640" w:type="dxa"/>
            <w:vAlign w:val="bottom"/>
            <w:tcBorders>
              <w:right w:val="single" w:sz="8" w:color="auto"/>
            </w:tcBorders>
            <w:gridSpan w:val="2"/>
            <w:vMerge w:val="restart"/>
          </w:tcPr>
          <w:p>
            <w:pPr>
              <w:ind w:left="20"/>
              <w:spacing w:after="0"/>
              <w:rPr>
                <w:sz w:val="20"/>
                <w:szCs w:val="20"/>
                <w:color w:val="auto"/>
              </w:rPr>
            </w:pPr>
            <w:r>
              <w:rPr>
                <w:rFonts w:ascii="Arial" w:cs="Arial" w:eastAsia="Arial" w:hAnsi="Arial"/>
                <w:sz w:val="27"/>
                <w:szCs w:val="27"/>
                <w:b w:val="1"/>
                <w:bCs w:val="1"/>
                <w:color w:val="0067B3"/>
              </w:rPr>
              <w:t>Andrea F. Wainer</w:t>
            </w:r>
          </w:p>
        </w:tc>
        <w:tc>
          <w:tcPr>
            <w:tcW w:w="180" w:type="dxa"/>
            <w:vAlign w:val="bottom"/>
          </w:tcPr>
          <w:p>
            <w:pPr>
              <w:spacing w:after="0"/>
              <w:rPr>
                <w:sz w:val="18"/>
                <w:szCs w:val="18"/>
                <w:color w:val="auto"/>
              </w:rPr>
            </w:pPr>
          </w:p>
        </w:tc>
        <w:tc>
          <w:tcPr>
            <w:tcW w:w="8420" w:type="dxa"/>
            <w:vAlign w:val="bottom"/>
            <w:gridSpan w:val="2"/>
          </w:tcPr>
          <w:p>
            <w:pPr>
              <w:ind w:left="40"/>
              <w:spacing w:after="0"/>
              <w:rPr>
                <w:sz w:val="20"/>
                <w:szCs w:val="20"/>
                <w:color w:val="auto"/>
              </w:rPr>
            </w:pPr>
            <w:r>
              <w:rPr>
                <w:rFonts w:ascii="Arial" w:cs="Arial" w:eastAsia="Arial" w:hAnsi="Arial"/>
                <w:sz w:val="18"/>
                <w:szCs w:val="18"/>
                <w:color w:val="auto"/>
              </w:rPr>
              <w:t>diagnostics and pharmaceutical industries, including significant experience with complex commercial and</w:t>
            </w:r>
          </w:p>
        </w:tc>
        <w:tc>
          <w:tcPr>
            <w:tcW w:w="0" w:type="dxa"/>
            <w:vAlign w:val="bottom"/>
          </w:tcPr>
          <w:p>
            <w:pPr>
              <w:spacing w:after="0"/>
              <w:rPr>
                <w:sz w:val="1"/>
                <w:szCs w:val="1"/>
                <w:color w:val="auto"/>
              </w:rPr>
            </w:pPr>
          </w:p>
        </w:tc>
      </w:tr>
      <w:tr>
        <w:trPr>
          <w:trHeight w:val="239"/>
        </w:trPr>
        <w:tc>
          <w:tcPr>
            <w:tcW w:w="2640" w:type="dxa"/>
            <w:vAlign w:val="bottom"/>
            <w:tcBorders>
              <w:right w:val="single" w:sz="8" w:color="auto"/>
            </w:tcBorders>
            <w:gridSpan w:val="2"/>
            <w:vMerge w:val="continue"/>
          </w:tcPr>
          <w:p>
            <w:pPr>
              <w:spacing w:after="0"/>
              <w:rPr>
                <w:sz w:val="20"/>
                <w:szCs w:val="20"/>
                <w:color w:val="auto"/>
              </w:rPr>
            </w:pPr>
          </w:p>
        </w:tc>
        <w:tc>
          <w:tcPr>
            <w:tcW w:w="180" w:type="dxa"/>
            <w:vAlign w:val="bottom"/>
          </w:tcPr>
          <w:p>
            <w:pPr>
              <w:spacing w:after="0"/>
              <w:rPr>
                <w:sz w:val="20"/>
                <w:szCs w:val="20"/>
                <w:color w:val="auto"/>
              </w:rPr>
            </w:pPr>
          </w:p>
        </w:tc>
        <w:tc>
          <w:tcPr>
            <w:tcW w:w="8120" w:type="dxa"/>
            <w:vAlign w:val="bottom"/>
          </w:tcPr>
          <w:p>
            <w:pPr>
              <w:ind w:left="40"/>
              <w:spacing w:after="0"/>
              <w:rPr>
                <w:sz w:val="20"/>
                <w:szCs w:val="20"/>
                <w:color w:val="auto"/>
              </w:rPr>
            </w:pPr>
            <w:r>
              <w:rPr>
                <w:rFonts w:ascii="Arial" w:cs="Arial" w:eastAsia="Arial" w:hAnsi="Arial"/>
                <w:sz w:val="18"/>
                <w:szCs w:val="18"/>
                <w:color w:val="auto"/>
              </w:rPr>
              <w:t>manufacturing operations and continuous improvement.</w:t>
            </w:r>
          </w:p>
        </w:tc>
        <w:tc>
          <w:tcPr>
            <w:tcW w:w="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95"/>
        </w:trPr>
        <w:tc>
          <w:tcPr>
            <w:tcW w:w="2640" w:type="dxa"/>
            <w:vAlign w:val="bottom"/>
            <w:tcBorders>
              <w:right w:val="single" w:sz="8" w:color="auto"/>
            </w:tcBorders>
            <w:gridSpan w:val="2"/>
          </w:tcPr>
          <w:p>
            <w:pPr>
              <w:ind w:left="20"/>
              <w:spacing w:after="0"/>
              <w:rPr>
                <w:sz w:val="20"/>
                <w:szCs w:val="20"/>
                <w:color w:val="auto"/>
              </w:rPr>
            </w:pPr>
            <w:r>
              <w:rPr>
                <w:rFonts w:ascii="Arial" w:cs="Arial" w:eastAsia="Arial" w:hAnsi="Arial"/>
                <w:sz w:val="17"/>
                <w:szCs w:val="17"/>
                <w:color w:val="auto"/>
              </w:rPr>
              <w:t>Independent</w:t>
            </w:r>
          </w:p>
        </w:tc>
        <w:tc>
          <w:tcPr>
            <w:tcW w:w="180" w:type="dxa"/>
            <w:vAlign w:val="bottom"/>
          </w:tcPr>
          <w:p>
            <w:pPr>
              <w:spacing w:after="0"/>
              <w:rPr>
                <w:sz w:val="24"/>
                <w:szCs w:val="24"/>
                <w:color w:val="auto"/>
              </w:rPr>
            </w:pPr>
          </w:p>
        </w:tc>
        <w:tc>
          <w:tcPr>
            <w:tcW w:w="8120" w:type="dxa"/>
            <w:vAlign w:val="bottom"/>
          </w:tcPr>
          <w:p>
            <w:pPr>
              <w:ind w:left="40"/>
              <w:spacing w:after="0"/>
              <w:rPr>
                <w:sz w:val="20"/>
                <w:szCs w:val="20"/>
                <w:color w:val="auto"/>
              </w:rPr>
            </w:pPr>
            <w:r>
              <w:rPr>
                <w:rFonts w:ascii="Arial" w:cs="Arial" w:eastAsia="Arial" w:hAnsi="Arial"/>
                <w:sz w:val="15"/>
                <w:szCs w:val="15"/>
                <w:b w:val="1"/>
                <w:bCs w:val="1"/>
                <w:color w:val="0067B3"/>
              </w:rPr>
              <w:t>OTHER PUBLIC COMPANY BOARDS</w:t>
            </w:r>
          </w:p>
        </w:tc>
        <w:tc>
          <w:tcPr>
            <w:tcW w:w="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3"/>
        </w:trPr>
        <w:tc>
          <w:tcPr>
            <w:tcW w:w="1040" w:type="dxa"/>
            <w:vAlign w:val="bottom"/>
          </w:tcPr>
          <w:p>
            <w:pPr>
              <w:spacing w:after="0"/>
              <w:rPr>
                <w:sz w:val="24"/>
                <w:szCs w:val="24"/>
                <w:color w:val="auto"/>
              </w:rPr>
            </w:pPr>
          </w:p>
        </w:tc>
        <w:tc>
          <w:tcPr>
            <w:tcW w:w="1600" w:type="dxa"/>
            <w:vAlign w:val="bottom"/>
            <w:tcBorders>
              <w:right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8120" w:type="dxa"/>
            <w:vAlign w:val="bottom"/>
          </w:tcPr>
          <w:p>
            <w:pPr>
              <w:ind w:left="40"/>
              <w:spacing w:after="0"/>
              <w:rPr>
                <w:sz w:val="20"/>
                <w:szCs w:val="20"/>
                <w:color w:val="auto"/>
              </w:rPr>
            </w:pPr>
            <w:r>
              <w:rPr>
                <w:rFonts w:ascii="Arial" w:cs="Arial" w:eastAsia="Arial" w:hAnsi="Arial"/>
                <w:sz w:val="18"/>
                <w:szCs w:val="18"/>
                <w:color w:val="0067B3"/>
              </w:rPr>
              <w:t xml:space="preserve">Current: </w:t>
            </w:r>
            <w:r>
              <w:rPr>
                <w:rFonts w:ascii="Arial" w:cs="Arial" w:eastAsia="Arial" w:hAnsi="Arial"/>
                <w:sz w:val="18"/>
                <w:szCs w:val="18"/>
                <w:color w:val="000000"/>
              </w:rPr>
              <w:t>Neogen Corporation</w:t>
            </w:r>
          </w:p>
        </w:tc>
        <w:tc>
          <w:tcPr>
            <w:tcW w:w="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9"/>
        </w:trPr>
        <w:tc>
          <w:tcPr>
            <w:tcW w:w="1040" w:type="dxa"/>
            <w:vAlign w:val="bottom"/>
          </w:tcPr>
          <w:p>
            <w:pPr>
              <w:spacing w:after="0"/>
              <w:rPr>
                <w:sz w:val="20"/>
                <w:szCs w:val="20"/>
                <w:color w:val="auto"/>
              </w:rPr>
            </w:pPr>
          </w:p>
        </w:tc>
        <w:tc>
          <w:tcPr>
            <w:tcW w:w="1600" w:type="dxa"/>
            <w:vAlign w:val="bottom"/>
            <w:tcBorders>
              <w:right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8120" w:type="dxa"/>
            <w:vAlign w:val="bottom"/>
          </w:tcPr>
          <w:p>
            <w:pPr>
              <w:ind w:left="40"/>
              <w:spacing w:after="0"/>
              <w:rPr>
                <w:sz w:val="20"/>
                <w:szCs w:val="20"/>
                <w:color w:val="auto"/>
              </w:rPr>
            </w:pPr>
            <w:r>
              <w:rPr>
                <w:rFonts w:ascii="Arial" w:cs="Arial" w:eastAsia="Arial" w:hAnsi="Arial"/>
                <w:sz w:val="18"/>
                <w:szCs w:val="18"/>
                <w:color w:val="0067B3"/>
              </w:rPr>
              <w:t xml:space="preserve">Past 5 Years: </w:t>
            </w:r>
            <w:r>
              <w:rPr>
                <w:rFonts w:ascii="Arial" w:cs="Arial" w:eastAsia="Arial" w:hAnsi="Arial"/>
                <w:sz w:val="18"/>
                <w:szCs w:val="18"/>
                <w:color w:val="000000"/>
              </w:rPr>
              <w:t>None</w:t>
            </w:r>
          </w:p>
        </w:tc>
        <w:tc>
          <w:tcPr>
            <w:tcW w:w="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80"/>
        </w:trPr>
        <w:tc>
          <w:tcPr>
            <w:tcW w:w="1040" w:type="dxa"/>
            <w:vAlign w:val="bottom"/>
          </w:tcPr>
          <w:p>
            <w:pPr>
              <w:spacing w:after="0"/>
              <w:rPr>
                <w:sz w:val="24"/>
                <w:szCs w:val="24"/>
                <w:color w:val="auto"/>
              </w:rPr>
            </w:pPr>
          </w:p>
        </w:tc>
        <w:tc>
          <w:tcPr>
            <w:tcW w:w="1600" w:type="dxa"/>
            <w:vAlign w:val="bottom"/>
            <w:tcBorders>
              <w:right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8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6"/>
        </w:trPr>
        <w:tc>
          <w:tcPr>
            <w:tcW w:w="1040" w:type="dxa"/>
            <w:vAlign w:val="bottom"/>
            <w:vMerge w:val="restart"/>
            <w:shd w:val="clear" w:color="auto" w:fill="E2E6F4"/>
          </w:tcPr>
          <w:p>
            <w:pPr>
              <w:ind w:left="200"/>
              <w:spacing w:after="0"/>
              <w:rPr>
                <w:sz w:val="20"/>
                <w:szCs w:val="20"/>
                <w:color w:val="auto"/>
              </w:rPr>
            </w:pPr>
            <w:r>
              <w:rPr>
                <w:rFonts w:ascii="Arial" w:cs="Arial" w:eastAsia="Arial" w:hAnsi="Arial"/>
                <w:sz w:val="18"/>
                <w:szCs w:val="18"/>
                <w:b w:val="1"/>
                <w:bCs w:val="1"/>
                <w:color w:val="auto"/>
              </w:rPr>
              <w:t xml:space="preserve">Age: </w:t>
            </w:r>
            <w:r>
              <w:rPr>
                <w:rFonts w:ascii="Arial" w:cs="Arial" w:eastAsia="Arial" w:hAnsi="Arial"/>
                <w:sz w:val="18"/>
                <w:szCs w:val="18"/>
                <w:color w:val="auto"/>
              </w:rPr>
              <w:t>57</w:t>
            </w:r>
          </w:p>
        </w:tc>
        <w:tc>
          <w:tcPr>
            <w:tcW w:w="1780" w:type="dxa"/>
            <w:vAlign w:val="bottom"/>
            <w:gridSpan w:val="2"/>
            <w:vMerge w:val="restart"/>
            <w:shd w:val="clear" w:color="auto" w:fill="E2E6F4"/>
          </w:tcPr>
          <w:p>
            <w:pPr>
              <w:ind w:left="20"/>
              <w:spacing w:after="0"/>
              <w:rPr>
                <w:sz w:val="20"/>
                <w:szCs w:val="20"/>
                <w:color w:val="auto"/>
              </w:rPr>
            </w:pPr>
            <w:r>
              <w:rPr>
                <w:rFonts w:ascii="Arial" w:cs="Arial" w:eastAsia="Arial" w:hAnsi="Arial"/>
                <w:sz w:val="18"/>
                <w:szCs w:val="18"/>
                <w:b w:val="1"/>
                <w:bCs w:val="1"/>
                <w:color w:val="auto"/>
              </w:rPr>
              <w:t xml:space="preserve">Director since: </w:t>
            </w:r>
            <w:r>
              <w:rPr>
                <w:rFonts w:ascii="Arial" w:cs="Arial" w:eastAsia="Arial" w:hAnsi="Arial"/>
                <w:sz w:val="18"/>
                <w:szCs w:val="18"/>
                <w:color w:val="auto"/>
              </w:rPr>
              <w:t>2025</w:t>
            </w:r>
          </w:p>
        </w:tc>
        <w:tc>
          <w:tcPr>
            <w:tcW w:w="8120" w:type="dxa"/>
            <w:vAlign w:val="bottom"/>
            <w:shd w:val="clear" w:color="auto" w:fill="E2E6F4"/>
          </w:tcPr>
          <w:p>
            <w:pPr>
              <w:ind w:left="160"/>
              <w:spacing w:after="0"/>
              <w:rPr>
                <w:sz w:val="20"/>
                <w:szCs w:val="20"/>
                <w:color w:val="auto"/>
              </w:rPr>
            </w:pPr>
            <w:r>
              <w:rPr>
                <w:rFonts w:ascii="Arial" w:cs="Arial" w:eastAsia="Arial" w:hAnsi="Arial"/>
                <w:sz w:val="18"/>
                <w:szCs w:val="18"/>
                <w:b w:val="1"/>
                <w:bCs w:val="1"/>
                <w:color w:val="auto"/>
              </w:rPr>
              <w:t xml:space="preserve">Committee(s): </w:t>
            </w:r>
            <w:r>
              <w:rPr>
                <w:rFonts w:ascii="Arial" w:cs="Arial" w:eastAsia="Arial" w:hAnsi="Arial"/>
                <w:sz w:val="18"/>
                <w:szCs w:val="18"/>
                <w:color w:val="auto"/>
              </w:rPr>
              <w:t>Compensation and Talent;</w:t>
            </w:r>
          </w:p>
        </w:tc>
        <w:tc>
          <w:tcPr>
            <w:tcW w:w="300" w:type="dxa"/>
            <w:vAlign w:val="bottom"/>
            <w:shd w:val="clear" w:color="auto" w:fill="E2E6F4"/>
          </w:tcPr>
          <w:p>
            <w:pPr>
              <w:spacing w:after="0"/>
              <w:rPr>
                <w:sz w:val="24"/>
                <w:szCs w:val="24"/>
                <w:color w:val="auto"/>
              </w:rPr>
            </w:pPr>
          </w:p>
        </w:tc>
        <w:tc>
          <w:tcPr>
            <w:tcW w:w="0" w:type="dxa"/>
            <w:vAlign w:val="bottom"/>
          </w:tcPr>
          <w:p>
            <w:pPr>
              <w:spacing w:after="0"/>
              <w:rPr>
                <w:sz w:val="1"/>
                <w:szCs w:val="1"/>
                <w:color w:val="auto"/>
              </w:rPr>
            </w:pPr>
          </w:p>
        </w:tc>
      </w:tr>
      <w:tr>
        <w:trPr>
          <w:trHeight w:val="139"/>
        </w:trPr>
        <w:tc>
          <w:tcPr>
            <w:tcW w:w="1040" w:type="dxa"/>
            <w:vAlign w:val="bottom"/>
            <w:vMerge w:val="continue"/>
            <w:shd w:val="clear" w:color="auto" w:fill="E2E6F4"/>
          </w:tcPr>
          <w:p>
            <w:pPr>
              <w:spacing w:after="0"/>
              <w:rPr>
                <w:sz w:val="12"/>
                <w:szCs w:val="12"/>
                <w:color w:val="auto"/>
              </w:rPr>
            </w:pPr>
          </w:p>
        </w:tc>
        <w:tc>
          <w:tcPr>
            <w:tcW w:w="1780" w:type="dxa"/>
            <w:vAlign w:val="bottom"/>
            <w:gridSpan w:val="2"/>
            <w:vMerge w:val="continue"/>
            <w:shd w:val="clear" w:color="auto" w:fill="E2E6F4"/>
          </w:tcPr>
          <w:p>
            <w:pPr>
              <w:spacing w:after="0"/>
              <w:rPr>
                <w:sz w:val="12"/>
                <w:szCs w:val="12"/>
                <w:color w:val="auto"/>
              </w:rPr>
            </w:pPr>
          </w:p>
        </w:tc>
        <w:tc>
          <w:tcPr>
            <w:tcW w:w="8120" w:type="dxa"/>
            <w:vAlign w:val="bottom"/>
            <w:vMerge w:val="restart"/>
            <w:shd w:val="clear" w:color="auto" w:fill="E2E6F4"/>
          </w:tcPr>
          <w:p>
            <w:pPr>
              <w:ind w:left="160"/>
              <w:spacing w:after="0"/>
              <w:rPr>
                <w:sz w:val="20"/>
                <w:szCs w:val="20"/>
                <w:color w:val="auto"/>
              </w:rPr>
            </w:pPr>
            <w:r>
              <w:rPr>
                <w:rFonts w:ascii="Arial" w:cs="Arial" w:eastAsia="Arial" w:hAnsi="Arial"/>
                <w:sz w:val="18"/>
                <w:szCs w:val="18"/>
                <w:color w:val="auto"/>
              </w:rPr>
              <w:t>Nominating and Corporate Governance</w:t>
            </w:r>
          </w:p>
        </w:tc>
        <w:tc>
          <w:tcPr>
            <w:tcW w:w="300" w:type="dxa"/>
            <w:vAlign w:val="bottom"/>
            <w:shd w:val="clear" w:color="auto" w:fill="E2E6F4"/>
          </w:tcPr>
          <w:p>
            <w:pPr>
              <w:spacing w:after="0"/>
              <w:rPr>
                <w:sz w:val="12"/>
                <w:szCs w:val="12"/>
                <w:color w:val="auto"/>
              </w:rPr>
            </w:pPr>
          </w:p>
        </w:tc>
        <w:tc>
          <w:tcPr>
            <w:tcW w:w="0" w:type="dxa"/>
            <w:vAlign w:val="bottom"/>
          </w:tcPr>
          <w:p>
            <w:pPr>
              <w:spacing w:after="0"/>
              <w:rPr>
                <w:sz w:val="1"/>
                <w:szCs w:val="1"/>
                <w:color w:val="auto"/>
              </w:rPr>
            </w:pPr>
          </w:p>
        </w:tc>
      </w:tr>
      <w:tr>
        <w:trPr>
          <w:trHeight w:val="100"/>
        </w:trPr>
        <w:tc>
          <w:tcPr>
            <w:tcW w:w="1040" w:type="dxa"/>
            <w:vAlign w:val="bottom"/>
            <w:shd w:val="clear" w:color="auto" w:fill="E2E6F4"/>
          </w:tcPr>
          <w:p>
            <w:pPr>
              <w:spacing w:after="0"/>
              <w:rPr>
                <w:sz w:val="8"/>
                <w:szCs w:val="8"/>
                <w:color w:val="auto"/>
              </w:rPr>
            </w:pPr>
          </w:p>
        </w:tc>
        <w:tc>
          <w:tcPr>
            <w:tcW w:w="1600" w:type="dxa"/>
            <w:vAlign w:val="bottom"/>
            <w:tcBorders>
              <w:right w:val="single" w:sz="8" w:color="E2E6F4"/>
            </w:tcBorders>
            <w:shd w:val="clear" w:color="auto" w:fill="E2E6F4"/>
          </w:tcPr>
          <w:p>
            <w:pPr>
              <w:spacing w:after="0"/>
              <w:rPr>
                <w:sz w:val="8"/>
                <w:szCs w:val="8"/>
                <w:color w:val="auto"/>
              </w:rPr>
            </w:pPr>
          </w:p>
        </w:tc>
        <w:tc>
          <w:tcPr>
            <w:tcW w:w="180" w:type="dxa"/>
            <w:vAlign w:val="bottom"/>
            <w:shd w:val="clear" w:color="auto" w:fill="E2E6F4"/>
          </w:tcPr>
          <w:p>
            <w:pPr>
              <w:spacing w:after="0"/>
              <w:rPr>
                <w:sz w:val="8"/>
                <w:szCs w:val="8"/>
                <w:color w:val="auto"/>
              </w:rPr>
            </w:pPr>
          </w:p>
        </w:tc>
        <w:tc>
          <w:tcPr>
            <w:tcW w:w="8120" w:type="dxa"/>
            <w:vAlign w:val="bottom"/>
            <w:vMerge w:val="continue"/>
            <w:shd w:val="clear" w:color="auto" w:fill="E2E6F4"/>
          </w:tcPr>
          <w:p>
            <w:pPr>
              <w:spacing w:after="0"/>
              <w:rPr>
                <w:sz w:val="8"/>
                <w:szCs w:val="8"/>
                <w:color w:val="auto"/>
              </w:rPr>
            </w:pPr>
          </w:p>
        </w:tc>
        <w:tc>
          <w:tcPr>
            <w:tcW w:w="300" w:type="dxa"/>
            <w:vAlign w:val="bottom"/>
            <w:shd w:val="clear" w:color="auto" w:fill="E2E6F4"/>
          </w:tcPr>
          <w:p>
            <w:pPr>
              <w:spacing w:after="0"/>
              <w:rPr>
                <w:sz w:val="8"/>
                <w:szCs w:val="8"/>
                <w:color w:val="auto"/>
              </w:rPr>
            </w:pPr>
          </w:p>
        </w:tc>
        <w:tc>
          <w:tcPr>
            <w:tcW w:w="0" w:type="dxa"/>
            <w:vAlign w:val="bottom"/>
          </w:tcPr>
          <w:p>
            <w:pPr>
              <w:spacing w:after="0"/>
              <w:rPr>
                <w:sz w:val="1"/>
                <w:szCs w:val="1"/>
                <w:color w:val="auto"/>
              </w:rPr>
            </w:pPr>
          </w:p>
        </w:tc>
      </w:tr>
      <w:tr>
        <w:trPr>
          <w:trHeight w:val="185"/>
        </w:trPr>
        <w:tc>
          <w:tcPr>
            <w:tcW w:w="1040" w:type="dxa"/>
            <w:vAlign w:val="bottom"/>
            <w:shd w:val="clear" w:color="auto" w:fill="E2E6F4"/>
          </w:tcPr>
          <w:p>
            <w:pPr>
              <w:spacing w:after="0"/>
              <w:rPr>
                <w:sz w:val="16"/>
                <w:szCs w:val="16"/>
                <w:color w:val="auto"/>
              </w:rPr>
            </w:pPr>
          </w:p>
        </w:tc>
        <w:tc>
          <w:tcPr>
            <w:tcW w:w="1600" w:type="dxa"/>
            <w:vAlign w:val="bottom"/>
            <w:tcBorders>
              <w:right w:val="single" w:sz="8" w:color="E2E6F4"/>
            </w:tcBorders>
            <w:shd w:val="clear" w:color="auto" w:fill="E2E6F4"/>
          </w:tcPr>
          <w:p>
            <w:pPr>
              <w:spacing w:after="0"/>
              <w:rPr>
                <w:sz w:val="16"/>
                <w:szCs w:val="16"/>
                <w:color w:val="auto"/>
              </w:rPr>
            </w:pPr>
          </w:p>
        </w:tc>
        <w:tc>
          <w:tcPr>
            <w:tcW w:w="180" w:type="dxa"/>
            <w:vAlign w:val="bottom"/>
            <w:shd w:val="clear" w:color="auto" w:fill="E2E6F4"/>
          </w:tcPr>
          <w:p>
            <w:pPr>
              <w:spacing w:after="0"/>
              <w:rPr>
                <w:sz w:val="16"/>
                <w:szCs w:val="16"/>
                <w:color w:val="auto"/>
              </w:rPr>
            </w:pPr>
          </w:p>
        </w:tc>
        <w:tc>
          <w:tcPr>
            <w:tcW w:w="8120" w:type="dxa"/>
            <w:vAlign w:val="bottom"/>
            <w:shd w:val="clear" w:color="auto" w:fill="E2E6F4"/>
          </w:tcPr>
          <w:p>
            <w:pPr>
              <w:spacing w:after="0"/>
              <w:rPr>
                <w:sz w:val="16"/>
                <w:szCs w:val="16"/>
                <w:color w:val="auto"/>
              </w:rPr>
            </w:pPr>
          </w:p>
        </w:tc>
        <w:tc>
          <w:tcPr>
            <w:tcW w:w="300" w:type="dxa"/>
            <w:vAlign w:val="bottom"/>
            <w:shd w:val="clear" w:color="auto" w:fill="E2E6F4"/>
          </w:tcPr>
          <w:p>
            <w:pPr>
              <w:spacing w:after="0"/>
              <w:rPr>
                <w:sz w:val="16"/>
                <w:szCs w:val="16"/>
                <w:color w:val="auto"/>
              </w:rPr>
            </w:pPr>
          </w:p>
        </w:tc>
        <w:tc>
          <w:tcPr>
            <w:tcW w:w="0" w:type="dxa"/>
            <w:vAlign w:val="bottom"/>
          </w:tcPr>
          <w:p>
            <w:pPr>
              <w:spacing w:after="0"/>
              <w:rPr>
                <w:sz w:val="1"/>
                <w:szCs w:val="1"/>
                <w:color w:val="auto"/>
              </w:rPr>
            </w:pPr>
          </w:p>
        </w:tc>
      </w:tr>
      <w:tr>
        <w:trPr>
          <w:trHeight w:val="816"/>
        </w:trPr>
        <w:tc>
          <w:tcPr>
            <w:tcW w:w="104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120" w:type="dxa"/>
            <w:vAlign w:val="bottom"/>
          </w:tcPr>
          <w:p>
            <w:pPr>
              <w:ind w:left="6160"/>
              <w:spacing w:after="0"/>
              <w:rPr>
                <w:sz w:val="20"/>
                <w:szCs w:val="20"/>
                <w:color w:val="auto"/>
              </w:rPr>
            </w:pPr>
            <w:r>
              <w:rPr>
                <w:rFonts w:ascii="Arial" w:cs="Arial" w:eastAsia="Arial" w:hAnsi="Arial"/>
                <w:sz w:val="16"/>
                <w:szCs w:val="16"/>
                <w:color w:val="0067B3"/>
              </w:rPr>
              <w:t>2026 Proxy Statement</w:t>
            </w:r>
          </w:p>
        </w:tc>
        <w:tc>
          <w:tcPr>
            <w:tcW w:w="300" w:type="dxa"/>
            <w:vAlign w:val="bottom"/>
          </w:tcPr>
          <w:p>
            <w:pPr>
              <w:jc w:val="right"/>
              <w:spacing w:after="0"/>
              <w:rPr>
                <w:sz w:val="20"/>
                <w:szCs w:val="20"/>
                <w:color w:val="auto"/>
              </w:rPr>
            </w:pPr>
            <w:r>
              <w:rPr>
                <w:rFonts w:ascii="Arial" w:cs="Arial" w:eastAsia="Arial" w:hAnsi="Arial"/>
                <w:sz w:val="20"/>
                <w:szCs w:val="20"/>
                <w:b w:val="1"/>
                <w:bCs w:val="1"/>
                <w:color w:val="auto"/>
              </w:rPr>
              <w:t>17</w:t>
            </w:r>
          </w:p>
        </w:tc>
        <w:tc>
          <w:tcPr>
            <w:tcW w:w="0" w:type="dxa"/>
            <w:vAlign w:val="bottom"/>
          </w:tcPr>
          <w:p>
            <w:pPr>
              <w:spacing w:after="0"/>
              <w:rPr>
                <w:sz w:val="1"/>
                <w:szCs w:val="1"/>
                <w:color w:val="auto"/>
              </w:rPr>
            </w:pPr>
          </w:p>
        </w:tc>
      </w:tr>
      <w:tr>
        <w:trPr>
          <w:trHeight w:val="338"/>
        </w:trPr>
        <w:tc>
          <w:tcPr>
            <w:tcW w:w="1040" w:type="dxa"/>
            <w:vAlign w:val="bottom"/>
            <w:tcBorders>
              <w:bottom w:val="single" w:sz="8" w:color="9A9A9A"/>
            </w:tcBorders>
          </w:tcPr>
          <w:p>
            <w:pPr>
              <w:spacing w:after="0"/>
              <w:rPr>
                <w:sz w:val="24"/>
                <w:szCs w:val="24"/>
                <w:color w:val="auto"/>
              </w:rPr>
            </w:pPr>
          </w:p>
        </w:tc>
        <w:tc>
          <w:tcPr>
            <w:tcW w:w="160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812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5765800</wp:posOffset>
            </wp:positionH>
            <wp:positionV relativeFrom="paragraph">
              <wp:posOffset>-4337050</wp:posOffset>
            </wp:positionV>
            <wp:extent cx="1234440" cy="20574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1234440" cy="205740"/>
                    </a:xfrm>
                    <a:prstGeom prst="rect">
                      <a:avLst/>
                    </a:prstGeom>
                    <a:noFill/>
                  </pic:spPr>
                </pic:pic>
              </a:graphicData>
            </a:graphic>
          </wp:anchor>
        </w:drawing>
        <w:drawing>
          <wp:anchor simplePos="0" relativeHeight="251657728" behindDoc="1" locked="0" layoutInCell="0" allowOverlap="1">
            <wp:simplePos x="0" y="0"/>
            <wp:positionH relativeFrom="column">
              <wp:posOffset>116205</wp:posOffset>
            </wp:positionH>
            <wp:positionV relativeFrom="paragraph">
              <wp:posOffset>-3771265</wp:posOffset>
            </wp:positionV>
            <wp:extent cx="1440180" cy="144018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1440180" cy="1440180"/>
                    </a:xfrm>
                    <a:prstGeom prst="rect">
                      <a:avLst/>
                    </a:prstGeom>
                    <a:noFill/>
                  </pic:spPr>
                </pic:pic>
              </a:graphicData>
            </a:graphic>
          </wp:anchor>
        </w:drawing>
        <w:drawing>
          <wp:anchor simplePos="0" relativeHeight="251657728" behindDoc="1" locked="0" layoutInCell="0" allowOverlap="1">
            <wp:simplePos x="0" y="0"/>
            <wp:positionH relativeFrom="column">
              <wp:posOffset>5097145</wp:posOffset>
            </wp:positionH>
            <wp:positionV relativeFrom="paragraph">
              <wp:posOffset>-1122680</wp:posOffset>
            </wp:positionV>
            <wp:extent cx="1903095" cy="18034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1903095" cy="18034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type w:val="continuous"/>
        </w:sectPr>
      </w:pPr>
    </w:p>
    <w:bookmarkStart w:id="24" w:name="page25"/>
    <w:bookmarkEnd w:id="24"/>
    <w:p>
      <w:pPr>
        <w:spacing w:after="0"/>
        <w:rPr>
          <w:sz w:val="20"/>
          <w:szCs w:val="20"/>
          <w:color w:val="auto"/>
        </w:rPr>
      </w:pPr>
      <w:r>
        <w:rPr>
          <w:rFonts w:ascii="Arial" w:cs="Arial" w:eastAsia="Arial" w:hAnsi="Arial"/>
          <w:sz w:val="41"/>
          <w:szCs w:val="41"/>
          <w:b w:val="1"/>
          <w:bCs w:val="1"/>
          <w:color w:val="0067B3"/>
        </w:rPr>
        <w:t>Determination of Independence</w:t>
      </w:r>
    </w:p>
    <w:p>
      <w:pPr>
        <w:spacing w:after="0" w:line="169" w:lineRule="exact"/>
        <w:rPr>
          <w:sz w:val="20"/>
          <w:szCs w:val="20"/>
          <w:color w:val="auto"/>
        </w:rPr>
      </w:pPr>
    </w:p>
    <w:p>
      <w:pPr>
        <w:spacing w:after="0" w:line="247" w:lineRule="auto"/>
        <w:rPr>
          <w:sz w:val="20"/>
          <w:szCs w:val="20"/>
          <w:color w:val="auto"/>
        </w:rPr>
      </w:pPr>
      <w:r>
        <w:rPr>
          <w:rFonts w:ascii="Arial" w:cs="Arial" w:eastAsia="Arial" w:hAnsi="Arial"/>
          <w:sz w:val="18"/>
          <w:szCs w:val="18"/>
          <w:color w:val="auto"/>
        </w:rPr>
        <w:t xml:space="preserve">Under applicable Nasdaq Rules, a director of ADI will only qualify as an “independent director” if, in the opinion of our Board of Directors, that person does not have a relationship which would interfere with the exercise of independent judgment in carrying out the responsibilities of a director. Our Board of Directors has established guidelines (within our Corporate Governance Guidelines) to assist it in determining whether a director has a relationship with ADI that would interfere with the exercise of independent judgment in carrying out the responsibilities of a director. These guidelines are posted on our website under </w:t>
      </w:r>
      <w:r>
        <w:rPr>
          <w:rFonts w:ascii="Arial" w:cs="Arial" w:eastAsia="Arial" w:hAnsi="Arial"/>
          <w:sz w:val="18"/>
          <w:szCs w:val="18"/>
          <w:color w:val="0067B3"/>
        </w:rPr>
        <w:t>https://investor.analog.com/governance/governance-documents</w:t>
      </w:r>
      <w:r>
        <w:rPr>
          <w:rFonts w:ascii="Arial" w:cs="Arial" w:eastAsia="Arial" w:hAnsi="Arial"/>
          <w:sz w:val="18"/>
          <w:szCs w:val="18"/>
          <w:color w:val="auto"/>
        </w:rPr>
        <w:t>. For relationships not covered by the guidelines, the determination of whether such a relationship exists is made by the members of our Board of Directors who are independent directors (as defined above). Our Board of Directors determined that none of the individuals who served as directors during fiscal year 2025, other than Messrs. Roche and Stata, had a relationship which would interfere with the exercise of independent judgment in carrying out the responsibilities of a director and that each of these individuals is or was an “independent director” as defined under Rule 5605(a)(2) of the Nasdaq Rules. Our Board of Directors has determined that Mr. Roche, our CEO and Chair, and Mr. Stata, our co-founder and former Chair, are not “independent” under the Nasdaq Rules because Mr. Roche is a current employee and Mr. Stata is our founder. In making these independence determinations, our Board of Directors considered Ms. Golz’s former affiliation with Ernst &amp; Young, Mr. Andonian’s former and current affiliation with McKinsey &amp; Company, and Mr. Jennings’ former affiliation with Deloitte. Our Board of Directors determined that even though Ernst &amp; Young, McKinsey &amp; Company, and Deloitte are service providers to ADI, those relationships would not interfere with the directors’ exercise of independent judgment in carrying out their responsibilities, given there is no ongoing involvement between the respective directors and those firms, other than Mr. Andonian’s ongoing advisory role with McKinsey &amp; Company, which is unrelated to ADI. In addition, in connection with the appointment of Dr. Matsuoka, our Board of Directors determined that even though Panasonic Holdings, with which Dr. Matsuoka is affiliated, and ADI have certain commercial dealings in the ordinary course of business, there are no transactions between ADI and Panasonic Holdings that are prohibited by the Nasdaq Rules or our Corporate Governance Guidelines, or that give rise to a material direct or indirect interest for Dr. Matsuoka that would interfere with her exercise of independent judgment in carrying out her responsibilities.</w:t>
      </w:r>
    </w:p>
    <w:p>
      <w:pPr>
        <w:spacing w:after="0" w:line="164" w:lineRule="exact"/>
        <w:rPr>
          <w:sz w:val="20"/>
          <w:szCs w:val="20"/>
          <w:color w:val="auto"/>
        </w:rPr>
      </w:pPr>
    </w:p>
    <w:p>
      <w:pPr>
        <w:spacing w:after="0"/>
        <w:rPr>
          <w:sz w:val="20"/>
          <w:szCs w:val="20"/>
          <w:color w:val="auto"/>
        </w:rPr>
      </w:pPr>
      <w:r>
        <w:rPr>
          <w:rFonts w:ascii="Arial" w:cs="Arial" w:eastAsia="Arial" w:hAnsi="Arial"/>
          <w:sz w:val="41"/>
          <w:szCs w:val="41"/>
          <w:b w:val="1"/>
          <w:bCs w:val="1"/>
          <w:color w:val="0067B3"/>
        </w:rPr>
        <w:t>Director Candidates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128270</wp:posOffset>
            </wp:positionV>
            <wp:extent cx="7132320" cy="451739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132320" cy="4517390"/>
                    </a:xfrm>
                    <a:prstGeom prst="rect">
                      <a:avLst/>
                    </a:prstGeom>
                    <a:noFill/>
                  </pic:spPr>
                </pic:pic>
              </a:graphicData>
            </a:graphic>
          </wp:anchor>
        </w:drawing>
      </w:r>
    </w:p>
    <w:p>
      <w:pPr>
        <w:sectPr>
          <w:pgSz w:w="11900" w:h="16838" w:orient="portrait"/>
          <w:cols w:equalWidth="0" w:num="1">
            <w:col w:w="11240"/>
          </w:cols>
          <w:pgMar w:left="320" w:top="1356" w:right="339" w:bottom="908" w:gutter="0" w:footer="0" w:header="0"/>
        </w:sectPr>
      </w:pPr>
    </w:p>
    <w:p>
      <w:pPr>
        <w:spacing w:after="0" w:line="200" w:lineRule="exact"/>
        <w:rPr>
          <w:sz w:val="20"/>
          <w:szCs w:val="20"/>
          <w:color w:val="auto"/>
        </w:rPr>
      </w:pPr>
    </w:p>
    <w:p>
      <w:pPr>
        <w:spacing w:after="0" w:line="212" w:lineRule="exact"/>
        <w:rPr>
          <w:sz w:val="20"/>
          <w:szCs w:val="20"/>
          <w:color w:val="auto"/>
        </w:rPr>
      </w:pPr>
    </w:p>
    <w:p>
      <w:pPr>
        <w:ind w:left="160"/>
        <w:spacing w:after="0"/>
        <w:rPr>
          <w:sz w:val="20"/>
          <w:szCs w:val="20"/>
          <w:color w:val="auto"/>
        </w:rPr>
      </w:pPr>
      <w:r>
        <w:rPr>
          <w:rFonts w:ascii="Arial" w:cs="Arial" w:eastAsia="Arial" w:hAnsi="Arial"/>
          <w:sz w:val="17"/>
          <w:szCs w:val="17"/>
          <w:b w:val="1"/>
          <w:bCs w:val="1"/>
          <w:color w:val="FFFFFF"/>
        </w:rPr>
        <w:t>Recommendation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FFFFFF"/>
        </w:rPr>
        <w:t>Diversity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FFFFFF"/>
        </w:rPr>
        <w:t>Evaluation</w:t>
      </w:r>
    </w:p>
    <w:p>
      <w:pPr>
        <w:spacing w:after="0" w:line="20" w:lineRule="exact"/>
        <w:rPr>
          <w:sz w:val="20"/>
          <w:szCs w:val="20"/>
          <w:color w:val="auto"/>
        </w:rPr>
      </w:pPr>
      <w:r>
        <w:rPr>
          <w:sz w:val="20"/>
          <w:szCs w:val="20"/>
          <w:color w:val="auto"/>
        </w:rPr>
        <w:br w:type="column"/>
      </w:r>
    </w:p>
    <w:p>
      <w:pPr>
        <w:spacing w:after="0" w:line="284"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In considering whether to recommend any candidate for inclusion in the Board of Directors’ slate of recommended director nominees, including candidates recommended by shareholders, the Nominating and Corporate Governance Committee will apply the criteria set forth in our Corporate Governance Guidelines. These criteria include the candidate’s integrity, business acumen, experience, commitment, and diligence; the presence of any conflicts of interest; and the ability of the candidate to act in the interests of all shareholders.</w:t>
      </w:r>
    </w:p>
    <w:p>
      <w:pPr>
        <w:spacing w:after="0" w:line="210" w:lineRule="exact"/>
        <w:rPr>
          <w:sz w:val="20"/>
          <w:szCs w:val="20"/>
          <w:color w:val="auto"/>
        </w:rPr>
      </w:pPr>
    </w:p>
    <w:p>
      <w:pPr>
        <w:ind w:right="40"/>
        <w:spacing w:after="0" w:line="249" w:lineRule="auto"/>
        <w:rPr>
          <w:sz w:val="20"/>
          <w:szCs w:val="20"/>
          <w:color w:val="auto"/>
        </w:rPr>
      </w:pPr>
      <w:r>
        <w:rPr>
          <w:rFonts w:ascii="Arial" w:cs="Arial" w:eastAsia="Arial" w:hAnsi="Arial"/>
          <w:sz w:val="18"/>
          <w:szCs w:val="18"/>
          <w:color w:val="auto"/>
        </w:rPr>
        <w:t>The Nominating and Corporate Governance Committee seeks nominees with a broad diversity of experience, professions, skills, geographic representation, and backgrounds. The Nominating and Corporate Governance Committee does not assign specific weights to particular criteria, and no particular criterion is necessarily applicable to all prospective nominees. ADI believes that the backgrounds and qualifications of the directors, considered as a group, should provide a significant composite mix of experience, knowledge, and abilities that will allow our Board of Directors to fulfill its responsibilities. While we do not have a policy regarding diversity of our Board members, the Corporate Governance Guidelines and Nominating and Corporate Governance Committee Charter provide that gender, racial, ethnic, sexual orientation, and geographic diversity are important search criteria, in addition to relevant experience, skills, and industry familiarity. Consistent with this philosophy, we are committed to including in each search qualified candidates who reflect such diversity. Effective application of these criteria is reflected in the diverse composition of our Board of Directors.</w:t>
      </w:r>
    </w:p>
    <w:p>
      <w:pPr>
        <w:spacing w:after="0" w:line="324" w:lineRule="exact"/>
        <w:rPr>
          <w:sz w:val="20"/>
          <w:szCs w:val="20"/>
          <w:color w:val="auto"/>
        </w:rPr>
      </w:pPr>
    </w:p>
    <w:p>
      <w:pPr>
        <w:ind w:right="20"/>
        <w:spacing w:after="0" w:line="249" w:lineRule="auto"/>
        <w:rPr>
          <w:sz w:val="20"/>
          <w:szCs w:val="20"/>
          <w:color w:val="auto"/>
        </w:rPr>
      </w:pPr>
      <w:r>
        <w:rPr>
          <w:rFonts w:ascii="Arial" w:cs="Arial" w:eastAsia="Arial" w:hAnsi="Arial"/>
          <w:sz w:val="18"/>
          <w:szCs w:val="18"/>
          <w:color w:val="auto"/>
        </w:rPr>
        <w:t>The process followed by the Nominating and Corporate Governance Committee to identify and evaluate candidates includes requests to members of our Board of Directors and others for recommendations, meetings from time to time to evaluate biographical information and background material relating to potential candidates, and interviews of selected candidates by members of the Nominating and Corporate Governance Committee and the Board of Directors. From time to time, the Nominating and Corporate Governance Committee may also seek input from director search firms for identification and evaluation of candidates. Assuming that appropriate biographical and background material is provided for candidates recommended by shareholders on a timely basis, the Nominating and Corporate Governance Committee will evaluate director candidates recommended by shareholders by following the same process, and applying the same criteria, as it follows for director candidates submitted by members of our Board of Directors. Dr. Matsuoka was referred to us by a director search firm and, upon the recommendation of the Nominating and Corporate Governance Committee, was appointed to our Board of Directors effective January 20, 2026, and is included in the slate of director nominees nominated by the Board of Directors for election as a director at the Annual Meeting.</w:t>
      </w:r>
    </w:p>
    <w:p>
      <w:pPr>
        <w:spacing w:after="0" w:line="200" w:lineRule="exact"/>
        <w:rPr>
          <w:sz w:val="20"/>
          <w:szCs w:val="20"/>
          <w:color w:val="auto"/>
        </w:rPr>
      </w:pPr>
    </w:p>
    <w:p>
      <w:pPr>
        <w:sectPr>
          <w:pgSz w:w="11900" w:h="16838" w:orient="portrait"/>
          <w:cols w:equalWidth="0" w:num="2">
            <w:col w:w="1660" w:space="560"/>
            <w:col w:w="9020"/>
          </w:cols>
          <w:pgMar w:left="320" w:top="1356" w:right="339" w:bottom="908"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ind w:left="640" w:hanging="614"/>
        <w:spacing w:after="0"/>
        <w:tabs>
          <w:tab w:leader="none" w:pos="640" w:val="left"/>
        </w:tabs>
        <w:numPr>
          <w:ilvl w:val="0"/>
          <w:numId w:val="27"/>
        </w:numPr>
        <w:rPr>
          <w:rFonts w:ascii="Arial" w:cs="Arial" w:eastAsia="Arial" w:hAnsi="Arial"/>
          <w:sz w:val="20"/>
          <w:szCs w:val="20"/>
          <w:b w:val="1"/>
          <w:bCs w:val="1"/>
          <w:color w:val="auto"/>
        </w:rPr>
      </w:pPr>
      <w:r>
        <w:rPr>
          <w:rFonts w:ascii="Arial" w:cs="Arial" w:eastAsia="Arial" w:hAnsi="Arial"/>
          <w:sz w:val="16"/>
          <w:szCs w:val="16"/>
          <w:color w:val="6D6E71"/>
        </w:rPr>
        <w:t>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186055</wp:posOffset>
            </wp:positionV>
            <wp:extent cx="7157720" cy="4254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56" w:right="339" w:bottom="908" w:gutter="0" w:footer="0" w:header="0"/>
          <w:type w:val="continuous"/>
        </w:sectPr>
      </w:pPr>
    </w:p>
    <w:bookmarkStart w:id="25" w:name="page26"/>
    <w:bookmarkEnd w:id="25"/>
    <w:p>
      <w:pPr>
        <w:spacing w:after="0"/>
        <w:rPr>
          <w:sz w:val="20"/>
          <w:szCs w:val="20"/>
          <w:color w:val="auto"/>
        </w:rPr>
      </w:pPr>
      <w:r>
        <w:rPr>
          <w:rFonts w:ascii="Arial" w:cs="Arial" w:eastAsia="Arial" w:hAnsi="Arial"/>
          <w:sz w:val="32"/>
          <w:szCs w:val="32"/>
          <w:b w:val="1"/>
          <w:bCs w:val="1"/>
          <w:color w:val="auto"/>
        </w:rPr>
        <w:t>Shareholder Recommendations and Nominations of Director Candidates</w:t>
      </w:r>
    </w:p>
    <w:p>
      <w:pPr>
        <w:spacing w:after="0" w:line="156"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Shareholders of record of ADI may recommend director candidates for inclusion by our Board of Directors in the slate of nominees that the Board of Directors recommends to our shareholders for election. As described above, the qualifications of recommended candidates will be reviewed by the Nominating and Corporate Governance Committee. If our Board of Directors determines to nominate a shareholder-recommended candidate and recommends his or her election as a director by the shareholders, the candidate will be included in ADI’s proxy card for the shareholders’ meeting at which his or her election is recommended.</w:t>
      </w:r>
    </w:p>
    <w:p>
      <w:pPr>
        <w:spacing w:after="0" w:line="71"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Shareholders may recommend individuals for the Nominating and Corporate Governance Committee to consider as potential director candidates by submitting their name and background to the Nominating and Corporate Governance Committee, c/o Janene Asgeirsson, Corporate Secretary, Analog Devices, Inc., One Analog Way, Wilmington, Massachusetts 01887. Our Nominating and Corporate Governance Committee will consider a recommendation only if appropriate biographical information and background material is provided on a timely basis.</w:t>
      </w:r>
    </w:p>
    <w:p>
      <w:pPr>
        <w:spacing w:after="0" w:line="71" w:lineRule="exact"/>
        <w:rPr>
          <w:sz w:val="20"/>
          <w:szCs w:val="20"/>
          <w:color w:val="auto"/>
        </w:rPr>
      </w:pPr>
    </w:p>
    <w:p>
      <w:pPr>
        <w:ind w:right="240"/>
        <w:spacing w:after="0" w:line="262" w:lineRule="auto"/>
        <w:rPr>
          <w:sz w:val="20"/>
          <w:szCs w:val="20"/>
          <w:color w:val="auto"/>
        </w:rPr>
      </w:pPr>
      <w:r>
        <w:rPr>
          <w:rFonts w:ascii="Arial" w:cs="Arial" w:eastAsia="Arial" w:hAnsi="Arial"/>
          <w:sz w:val="18"/>
          <w:szCs w:val="18"/>
          <w:color w:val="auto"/>
        </w:rPr>
        <w:t xml:space="preserve">Shareholders also have the right to directly nominate director candidates, without any action or recommendation on the part of the Nominating and Corporate Governance Committee or the Board of Directors, by following the procedures set forth in our second amended and restated bylaws (Bylaws) and described in the sections titled </w:t>
      </w:r>
      <w:r>
        <w:rPr>
          <w:rFonts w:ascii="Arial" w:cs="Arial" w:eastAsia="Arial" w:hAnsi="Arial"/>
          <w:sz w:val="18"/>
          <w:szCs w:val="18"/>
          <w:i w:val="1"/>
          <w:iCs w:val="1"/>
          <w:color w:val="auto"/>
        </w:rPr>
        <w:t>Shareholder Director Nominations for Inclusion in Proxy Statement</w:t>
      </w:r>
      <w:r>
        <w:rPr>
          <w:rFonts w:ascii="Arial" w:cs="Arial" w:eastAsia="Arial" w:hAnsi="Arial"/>
          <w:sz w:val="18"/>
          <w:szCs w:val="18"/>
          <w:color w:val="auto"/>
        </w:rPr>
        <w:t xml:space="preserve"> and </w:t>
      </w:r>
      <w:r>
        <w:rPr>
          <w:rFonts w:ascii="Arial" w:cs="Arial" w:eastAsia="Arial" w:hAnsi="Arial"/>
          <w:sz w:val="18"/>
          <w:szCs w:val="18"/>
          <w:i w:val="1"/>
          <w:iCs w:val="1"/>
          <w:color w:val="auto"/>
        </w:rPr>
        <w:t xml:space="preserve">Shareholder Proposals and Director Nominations Not Included in Proxy Statement </w:t>
      </w:r>
      <w:r>
        <w:rPr>
          <w:rFonts w:ascii="Arial" w:cs="Arial" w:eastAsia="Arial" w:hAnsi="Arial"/>
          <w:sz w:val="18"/>
          <w:szCs w:val="18"/>
          <w:color w:val="auto"/>
        </w:rPr>
        <w:t>below.</w:t>
      </w:r>
    </w:p>
    <w:p>
      <w:pPr>
        <w:spacing w:after="0" w:line="200" w:lineRule="exact"/>
        <w:rPr>
          <w:sz w:val="20"/>
          <w:szCs w:val="20"/>
          <w:color w:val="auto"/>
        </w:rPr>
      </w:pP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273"/>
        </w:trPr>
        <w:tc>
          <w:tcPr>
            <w:tcW w:w="10800" w:type="dxa"/>
            <w:vAlign w:val="bottom"/>
          </w:tcPr>
          <w:p>
            <w:pPr>
              <w:ind w:left="8980"/>
              <w:spacing w:after="0"/>
              <w:rPr>
                <w:sz w:val="20"/>
                <w:szCs w:val="20"/>
                <w:color w:val="auto"/>
              </w:rPr>
            </w:pPr>
            <w:r>
              <w:rPr>
                <w:rFonts w:ascii="Arial" w:cs="Arial" w:eastAsia="Arial" w:hAnsi="Arial"/>
                <w:sz w:val="16"/>
                <w:szCs w:val="16"/>
                <w:color w:val="0067B3"/>
              </w:rPr>
              <w:t>2026 Proxy Statement</w:t>
            </w:r>
          </w:p>
        </w:tc>
        <w:tc>
          <w:tcPr>
            <w:tcW w:w="440" w:type="dxa"/>
            <w:vAlign w:val="bottom"/>
          </w:tcPr>
          <w:p>
            <w:pPr>
              <w:jc w:val="right"/>
              <w:spacing w:after="0"/>
              <w:rPr>
                <w:sz w:val="20"/>
                <w:szCs w:val="20"/>
                <w:color w:val="auto"/>
              </w:rPr>
            </w:pPr>
            <w:r>
              <w:rPr>
                <w:rFonts w:ascii="Arial" w:cs="Arial" w:eastAsia="Arial" w:hAnsi="Arial"/>
                <w:sz w:val="20"/>
                <w:szCs w:val="20"/>
                <w:b w:val="1"/>
                <w:bCs w:val="1"/>
                <w:color w:val="auto"/>
              </w:rPr>
              <w:t>19</w:t>
            </w:r>
          </w:p>
        </w:tc>
      </w:tr>
      <w:tr>
        <w:trPr>
          <w:trHeight w:val="338"/>
        </w:trPr>
        <w:tc>
          <w:tcPr>
            <w:tcW w:w="1080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311" w:right="339" w:bottom="1440" w:gutter="0" w:footer="0" w:header="0"/>
        </w:sectPr>
      </w:pPr>
    </w:p>
    <w:bookmarkStart w:id="26" w:name="page27"/>
    <w:bookmarkEnd w:id="26"/>
    <w:p>
      <w:pPr>
        <w:spacing w:after="0"/>
        <w:rPr>
          <w:sz w:val="20"/>
          <w:szCs w:val="20"/>
          <w:color w:val="auto"/>
        </w:rPr>
      </w:pPr>
      <w:r>
        <w:rPr>
          <w:rFonts w:ascii="Arial" w:cs="Arial" w:eastAsia="Arial" w:hAnsi="Arial"/>
          <w:sz w:val="58"/>
          <w:szCs w:val="58"/>
          <w:color w:val="auto"/>
        </w:rPr>
        <w:t>Corporate Governance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364490</wp:posOffset>
            </wp:positionV>
            <wp:extent cx="111125" cy="13716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111125" cy="1371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20"/>
        <w:spacing w:after="0"/>
        <w:rPr>
          <w:sz w:val="20"/>
          <w:szCs w:val="20"/>
          <w:color w:val="auto"/>
        </w:rPr>
      </w:pPr>
      <w:r>
        <w:rPr>
          <w:rFonts w:ascii="Arial" w:cs="Arial" w:eastAsia="Arial" w:hAnsi="Arial"/>
          <w:sz w:val="18"/>
          <w:szCs w:val="18"/>
          <w:color w:val="0067B3"/>
        </w:rPr>
        <w:t>Our approach to corporate governance is guided by our firm commitment to alignment</w:t>
      </w:r>
    </w:p>
    <w:p>
      <w:pPr>
        <w:spacing w:after="0" w:line="14" w:lineRule="exact"/>
        <w:rPr>
          <w:sz w:val="20"/>
          <w:szCs w:val="20"/>
          <w:color w:val="auto"/>
        </w:rPr>
      </w:pPr>
    </w:p>
    <w:p>
      <w:pPr>
        <w:ind w:left="20" w:right="1060"/>
        <w:spacing w:after="0" w:line="226" w:lineRule="auto"/>
        <w:rPr>
          <w:sz w:val="20"/>
          <w:szCs w:val="20"/>
          <w:color w:val="auto"/>
        </w:rPr>
      </w:pPr>
      <w:r>
        <w:rPr>
          <w:rFonts w:ascii="Arial" w:cs="Arial" w:eastAsia="Arial" w:hAnsi="Arial"/>
          <w:sz w:val="18"/>
          <w:szCs w:val="18"/>
          <w:color w:val="0067B3"/>
        </w:rPr>
        <w:t>between ADI’s strategy and execution and the creation of exceptional long-term value for our investors. To that end, we regularly and transparently communicate our</w:t>
      </w:r>
    </w:p>
    <w:p>
      <w:pPr>
        <w:spacing w:after="0" w:line="2" w:lineRule="exact"/>
        <w:rPr>
          <w:sz w:val="20"/>
          <w:szCs w:val="20"/>
          <w:color w:val="auto"/>
        </w:rPr>
      </w:pPr>
    </w:p>
    <w:p>
      <w:pPr>
        <w:ind w:left="20" w:right="1320"/>
        <w:spacing w:after="0"/>
        <w:rPr>
          <w:sz w:val="20"/>
          <w:szCs w:val="20"/>
          <w:color w:val="auto"/>
        </w:rPr>
      </w:pPr>
      <w:r>
        <w:rPr>
          <w:rFonts w:ascii="Arial" w:cs="Arial" w:eastAsia="Arial" w:hAnsi="Arial"/>
          <w:sz w:val="17"/>
          <w:szCs w:val="17"/>
          <w:color w:val="0067B3"/>
        </w:rPr>
        <w:t>direction on our corporate governance practices to shareholders, seeking their valuable perspective and feedback. We look forward to our continued engagement</w:t>
      </w:r>
    </w:p>
    <w:p>
      <w:pPr>
        <w:spacing w:after="0" w:line="1" w:lineRule="exact"/>
        <w:rPr>
          <w:sz w:val="20"/>
          <w:szCs w:val="20"/>
          <w:color w:val="auto"/>
        </w:rPr>
      </w:pPr>
    </w:p>
    <w:p>
      <w:pPr>
        <w:ind w:left="20"/>
        <w:spacing w:after="0"/>
        <w:rPr>
          <w:sz w:val="20"/>
          <w:szCs w:val="20"/>
          <w:color w:val="auto"/>
        </w:rPr>
      </w:pPr>
      <w:r>
        <w:rPr>
          <w:rFonts w:ascii="Arial" w:cs="Arial" w:eastAsia="Arial" w:hAnsi="Arial"/>
          <w:sz w:val="18"/>
          <w:szCs w:val="18"/>
          <w:color w:val="0067B3"/>
        </w:rPr>
        <w:t>and collaboration in 2026 and beyond.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14605</wp:posOffset>
            </wp:positionV>
            <wp:extent cx="111125" cy="13716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111125" cy="13716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spacing w:after="0"/>
        <w:rPr>
          <w:sz w:val="20"/>
          <w:szCs w:val="20"/>
          <w:color w:val="auto"/>
        </w:rPr>
      </w:pPr>
      <w:r>
        <w:rPr>
          <w:rFonts w:ascii="Arial" w:cs="Arial" w:eastAsia="Arial" w:hAnsi="Arial"/>
          <w:sz w:val="17"/>
          <w:szCs w:val="17"/>
          <w:b w:val="1"/>
          <w:bCs w:val="1"/>
          <w:color w:val="0067B3"/>
        </w:rPr>
        <w:t>JANENE ASGEIRSSON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-933450</wp:posOffset>
            </wp:positionH>
            <wp:positionV relativeFrom="paragraph">
              <wp:posOffset>-471805</wp:posOffset>
            </wp:positionV>
            <wp:extent cx="779780" cy="77978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79780" cy="779780"/>
                    </a:xfrm>
                    <a:prstGeom prst="rect">
                      <a:avLst/>
                    </a:prstGeom>
                    <a:noFill/>
                  </pic:spPr>
                </pic:pic>
              </a:graphicData>
            </a:graphic>
          </wp:anchor>
        </w:drawing>
      </w:r>
    </w:p>
    <w:p>
      <w:pPr>
        <w:spacing w:after="0" w:line="19" w:lineRule="exact"/>
        <w:rPr>
          <w:sz w:val="20"/>
          <w:szCs w:val="20"/>
          <w:color w:val="auto"/>
        </w:rPr>
      </w:pPr>
    </w:p>
    <w:p>
      <w:pPr>
        <w:ind w:right="760"/>
        <w:spacing w:after="0" w:line="296" w:lineRule="auto"/>
        <w:rPr>
          <w:sz w:val="20"/>
          <w:szCs w:val="20"/>
          <w:color w:val="auto"/>
        </w:rPr>
      </w:pPr>
      <w:r>
        <w:rPr>
          <w:rFonts w:ascii="Arial" w:cs="Arial" w:eastAsia="Arial" w:hAnsi="Arial"/>
          <w:sz w:val="17"/>
          <w:szCs w:val="17"/>
          <w:color w:val="auto"/>
        </w:rPr>
        <w:t>Chief Legal Officer and Corporate Secretary</w:t>
      </w:r>
    </w:p>
    <w:p>
      <w:pPr>
        <w:spacing w:after="0" w:line="262" w:lineRule="exact"/>
        <w:rPr>
          <w:sz w:val="20"/>
          <w:szCs w:val="20"/>
          <w:color w:val="auto"/>
        </w:rPr>
      </w:pPr>
    </w:p>
    <w:p>
      <w:pPr>
        <w:sectPr>
          <w:pgSz w:w="11900" w:h="16838" w:orient="portrait"/>
          <w:cols w:equalWidth="0" w:num="2">
            <w:col w:w="7900" w:space="720"/>
            <w:col w:w="2580"/>
          </w:cols>
          <w:pgMar w:left="320" w:top="1126" w:right="379" w:bottom="1440" w:gutter="0" w:footer="0" w:header="0"/>
        </w:sectPr>
      </w:pPr>
    </w:p>
    <w:p>
      <w:pPr>
        <w:spacing w:after="0" w:line="200" w:lineRule="exact"/>
        <w:rPr>
          <w:sz w:val="20"/>
          <w:szCs w:val="20"/>
          <w:color w:val="auto"/>
        </w:rPr>
      </w:pPr>
    </w:p>
    <w:p>
      <w:pPr>
        <w:spacing w:after="0" w:line="300" w:lineRule="exact"/>
        <w:rPr>
          <w:sz w:val="20"/>
          <w:szCs w:val="20"/>
          <w:color w:val="auto"/>
        </w:rPr>
      </w:pPr>
    </w:p>
    <w:p>
      <w:pPr>
        <w:spacing w:after="0"/>
        <w:rPr>
          <w:sz w:val="20"/>
          <w:szCs w:val="20"/>
          <w:color w:val="auto"/>
        </w:rPr>
      </w:pPr>
      <w:r>
        <w:rPr>
          <w:rFonts w:ascii="Arial" w:cs="Arial" w:eastAsia="Arial" w:hAnsi="Arial"/>
          <w:sz w:val="41"/>
          <w:szCs w:val="41"/>
          <w:b w:val="1"/>
          <w:bCs w:val="1"/>
          <w:color w:val="0067B3"/>
        </w:rPr>
        <w:t>Board Policies and Practices</w:t>
      </w:r>
    </w:p>
    <w:p>
      <w:pPr>
        <w:spacing w:after="0" w:line="156" w:lineRule="exact"/>
        <w:rPr>
          <w:sz w:val="20"/>
          <w:szCs w:val="20"/>
          <w:color w:val="auto"/>
        </w:rPr>
      </w:pPr>
    </w:p>
    <w:p>
      <w:pPr>
        <w:ind w:right="280"/>
        <w:spacing w:after="0" w:line="268" w:lineRule="auto"/>
        <w:rPr>
          <w:sz w:val="20"/>
          <w:szCs w:val="20"/>
          <w:color w:val="auto"/>
        </w:rPr>
      </w:pPr>
      <w:r>
        <w:rPr>
          <w:rFonts w:ascii="Arial" w:cs="Arial" w:eastAsia="Arial" w:hAnsi="Arial"/>
          <w:sz w:val="18"/>
          <w:szCs w:val="18"/>
          <w:color w:val="auto"/>
        </w:rPr>
        <w:t xml:space="preserve">We periodically review our corporate governance policies and practices and compare them to those suggested by various authorities in corporate governance and the practices of other public companies. For more information about recent changes we made to our corporate governance policies and practices, please see the </w:t>
      </w:r>
      <w:r>
        <w:rPr>
          <w:rFonts w:ascii="Arial" w:cs="Arial" w:eastAsia="Arial" w:hAnsi="Arial"/>
          <w:sz w:val="18"/>
          <w:szCs w:val="18"/>
          <w:i w:val="1"/>
          <w:iCs w:val="1"/>
          <w:color w:val="auto"/>
        </w:rPr>
        <w:t>What’s New</w:t>
      </w:r>
      <w:r>
        <w:rPr>
          <w:rFonts w:ascii="Arial" w:cs="Arial" w:eastAsia="Arial" w:hAnsi="Arial"/>
          <w:sz w:val="18"/>
          <w:szCs w:val="18"/>
          <w:color w:val="auto"/>
        </w:rPr>
        <w:t xml:space="preserve"> section on page 5 of this Proxy Statement.</w:t>
      </w:r>
    </w:p>
    <w:p>
      <w:pPr>
        <w:spacing w:after="0" w:line="63" w:lineRule="exact"/>
        <w:rPr>
          <w:sz w:val="20"/>
          <w:szCs w:val="20"/>
          <w:color w:val="auto"/>
        </w:rPr>
      </w:pPr>
    </w:p>
    <w:p>
      <w:pPr>
        <w:ind w:right="660"/>
        <w:spacing w:after="0" w:line="268" w:lineRule="auto"/>
        <w:rPr>
          <w:sz w:val="20"/>
          <w:szCs w:val="20"/>
          <w:color w:val="auto"/>
        </w:rPr>
      </w:pPr>
      <w:r>
        <w:rPr>
          <w:rFonts w:ascii="Arial" w:cs="Arial" w:eastAsia="Arial" w:hAnsi="Arial"/>
          <w:sz w:val="18"/>
          <w:szCs w:val="18"/>
          <w:color w:val="auto"/>
        </w:rPr>
        <w:t>We have long believed that good corporate governance is important to ensure that ADI is managed for the long-term benefit of our shareholders. As a result, we have adopted the following policies and procedures that we believe are in the best interests of ADI and our shareholders: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7132320" cy="464629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132320" cy="4646295"/>
                    </a:xfrm>
                    <a:prstGeom prst="rect">
                      <a:avLst/>
                    </a:prstGeom>
                    <a:noFill/>
                  </pic:spPr>
                </pic:pic>
              </a:graphicData>
            </a:graphic>
          </wp:anchor>
        </w:drawing>
      </w:r>
    </w:p>
    <w:p>
      <w:pPr>
        <w:sectPr>
          <w:pgSz w:w="11900" w:h="16838" w:orient="portrait"/>
          <w:cols w:equalWidth="0" w:num="1">
            <w:col w:w="11200"/>
          </w:cols>
          <w:pgMar w:left="320" w:top="1126" w:right="379" w:bottom="1440" w:gutter="0" w:footer="0" w:header="0"/>
          <w:type w:val="continuous"/>
        </w:sectPr>
      </w:pPr>
    </w:p>
    <w:p>
      <w:pPr>
        <w:spacing w:after="0" w:line="229" w:lineRule="exact"/>
        <w:rPr>
          <w:sz w:val="20"/>
          <w:szCs w:val="20"/>
          <w:color w:val="auto"/>
        </w:rPr>
      </w:pPr>
    </w:p>
    <w:p>
      <w:pPr>
        <w:ind w:left="160"/>
        <w:spacing w:after="0"/>
        <w:rPr>
          <w:sz w:val="20"/>
          <w:szCs w:val="20"/>
          <w:color w:val="auto"/>
        </w:rPr>
      </w:pPr>
      <w:r>
        <w:rPr>
          <w:rFonts w:ascii="Arial" w:cs="Arial" w:eastAsia="Arial" w:hAnsi="Arial"/>
          <w:sz w:val="16"/>
          <w:szCs w:val="16"/>
          <w:b w:val="1"/>
          <w:bCs w:val="1"/>
          <w:color w:val="FFFFFF"/>
        </w:rPr>
        <w:t>Policy/Practice</w:t>
      </w:r>
    </w:p>
    <w:p>
      <w:pPr>
        <w:spacing w:after="0" w:line="145" w:lineRule="exact"/>
        <w:rPr>
          <w:sz w:val="20"/>
          <w:szCs w:val="20"/>
          <w:color w:val="auto"/>
        </w:rPr>
      </w:pPr>
    </w:p>
    <w:p>
      <w:pPr>
        <w:ind w:left="160"/>
        <w:spacing w:after="0"/>
        <w:rPr>
          <w:sz w:val="20"/>
          <w:szCs w:val="20"/>
          <w:color w:val="auto"/>
        </w:rPr>
      </w:pPr>
      <w:r>
        <w:rPr>
          <w:rFonts w:ascii="Arial" w:cs="Arial" w:eastAsia="Arial" w:hAnsi="Arial"/>
          <w:sz w:val="17"/>
          <w:szCs w:val="17"/>
          <w:b w:val="1"/>
          <w:bCs w:val="1"/>
          <w:color w:val="FFFFFF"/>
        </w:rPr>
        <w:t>Corporate</w:t>
      </w:r>
    </w:p>
    <w:p>
      <w:pPr>
        <w:spacing w:after="0" w:line="37" w:lineRule="exact"/>
        <w:rPr>
          <w:sz w:val="20"/>
          <w:szCs w:val="20"/>
          <w:color w:val="auto"/>
        </w:rPr>
      </w:pPr>
    </w:p>
    <w:p>
      <w:pPr>
        <w:ind w:left="160"/>
        <w:spacing w:after="0"/>
        <w:rPr>
          <w:sz w:val="20"/>
          <w:szCs w:val="20"/>
          <w:color w:val="auto"/>
        </w:rPr>
      </w:pPr>
      <w:r>
        <w:rPr>
          <w:rFonts w:ascii="Arial" w:cs="Arial" w:eastAsia="Arial" w:hAnsi="Arial"/>
          <w:sz w:val="17"/>
          <w:szCs w:val="17"/>
          <w:b w:val="1"/>
          <w:bCs w:val="1"/>
          <w:color w:val="FFFFFF"/>
        </w:rPr>
        <w:t>Governance</w:t>
      </w:r>
    </w:p>
    <w:p>
      <w:pPr>
        <w:spacing w:after="0" w:line="7" w:lineRule="exact"/>
        <w:rPr>
          <w:sz w:val="20"/>
          <w:szCs w:val="20"/>
          <w:color w:val="auto"/>
        </w:rPr>
      </w:pPr>
    </w:p>
    <w:p>
      <w:pPr>
        <w:ind w:left="160"/>
        <w:spacing w:after="0"/>
        <w:rPr>
          <w:sz w:val="20"/>
          <w:szCs w:val="20"/>
          <w:color w:val="auto"/>
        </w:rPr>
      </w:pPr>
      <w:r>
        <w:rPr>
          <w:rFonts w:ascii="Arial" w:cs="Arial" w:eastAsia="Arial" w:hAnsi="Arial"/>
          <w:sz w:val="17"/>
          <w:szCs w:val="17"/>
          <w:b w:val="1"/>
          <w:bCs w:val="1"/>
          <w:color w:val="FFFFFF"/>
        </w:rPr>
        <w:t>Guidelines</w:t>
      </w:r>
    </w:p>
    <w:p>
      <w:pPr>
        <w:spacing w:after="0" w:line="200" w:lineRule="exact"/>
        <w:rPr>
          <w:sz w:val="20"/>
          <w:szCs w:val="20"/>
          <w:color w:val="auto"/>
        </w:rPr>
      </w:pPr>
    </w:p>
    <w:p>
      <w:pPr>
        <w:spacing w:after="0" w:line="237" w:lineRule="exact"/>
        <w:rPr>
          <w:sz w:val="20"/>
          <w:szCs w:val="20"/>
          <w:color w:val="auto"/>
        </w:rPr>
      </w:pPr>
    </w:p>
    <w:p>
      <w:pPr>
        <w:ind w:left="160" w:right="60"/>
        <w:spacing w:after="0" w:line="313" w:lineRule="auto"/>
        <w:rPr>
          <w:sz w:val="20"/>
          <w:szCs w:val="20"/>
          <w:color w:val="auto"/>
        </w:rPr>
      </w:pPr>
      <w:r>
        <w:rPr>
          <w:rFonts w:ascii="Arial" w:cs="Arial" w:eastAsia="Arial" w:hAnsi="Arial"/>
          <w:sz w:val="17"/>
          <w:szCs w:val="17"/>
          <w:b w:val="1"/>
          <w:bCs w:val="1"/>
          <w:color w:val="FFFFFF"/>
        </w:rPr>
        <w:t>Declassified Board of Directors</w:t>
      </w:r>
    </w:p>
    <w:p>
      <w:pPr>
        <w:spacing w:after="0" w:line="138" w:lineRule="exact"/>
        <w:rPr>
          <w:sz w:val="20"/>
          <w:szCs w:val="20"/>
          <w:color w:val="auto"/>
        </w:rPr>
      </w:pPr>
    </w:p>
    <w:p>
      <w:pPr>
        <w:ind w:left="160" w:right="100"/>
        <w:spacing w:after="0" w:line="280" w:lineRule="auto"/>
        <w:rPr>
          <w:sz w:val="20"/>
          <w:szCs w:val="20"/>
          <w:color w:val="auto"/>
        </w:rPr>
      </w:pPr>
      <w:r>
        <w:rPr>
          <w:rFonts w:ascii="Arial" w:cs="Arial" w:eastAsia="Arial" w:hAnsi="Arial"/>
          <w:sz w:val="17"/>
          <w:szCs w:val="17"/>
          <w:b w:val="1"/>
          <w:bCs w:val="1"/>
          <w:color w:val="FFFFFF"/>
        </w:rPr>
        <w:t>Majority Voting for Election of Directors</w:t>
      </w:r>
    </w:p>
    <w:p>
      <w:pPr>
        <w:spacing w:after="0" w:line="200" w:lineRule="exact"/>
        <w:rPr>
          <w:sz w:val="20"/>
          <w:szCs w:val="20"/>
          <w:color w:val="auto"/>
        </w:rPr>
      </w:pPr>
    </w:p>
    <w:p>
      <w:pPr>
        <w:spacing w:after="0" w:line="385" w:lineRule="exact"/>
        <w:rPr>
          <w:sz w:val="20"/>
          <w:szCs w:val="20"/>
          <w:color w:val="auto"/>
        </w:rPr>
      </w:pPr>
    </w:p>
    <w:p>
      <w:pPr>
        <w:ind w:left="160" w:right="480"/>
        <w:spacing w:after="0" w:line="313" w:lineRule="auto"/>
        <w:rPr>
          <w:sz w:val="20"/>
          <w:szCs w:val="20"/>
          <w:color w:val="auto"/>
        </w:rPr>
      </w:pPr>
      <w:r>
        <w:rPr>
          <w:rFonts w:ascii="Arial" w:cs="Arial" w:eastAsia="Arial" w:hAnsi="Arial"/>
          <w:sz w:val="17"/>
          <w:szCs w:val="17"/>
          <w:b w:val="1"/>
          <w:bCs w:val="1"/>
          <w:color w:val="FFFFFF"/>
        </w:rPr>
        <w:t>Director Overboarding</w:t>
      </w:r>
    </w:p>
    <w:p>
      <w:pPr>
        <w:spacing w:after="0" w:line="354" w:lineRule="exact"/>
        <w:rPr>
          <w:sz w:val="20"/>
          <w:szCs w:val="20"/>
          <w:color w:val="auto"/>
        </w:rPr>
      </w:pPr>
    </w:p>
    <w:p>
      <w:pPr>
        <w:ind w:left="160"/>
        <w:spacing w:after="0"/>
        <w:rPr>
          <w:sz w:val="20"/>
          <w:szCs w:val="20"/>
          <w:color w:val="auto"/>
        </w:rPr>
      </w:pPr>
      <w:r>
        <w:rPr>
          <w:rFonts w:ascii="Arial" w:cs="Arial" w:eastAsia="Arial" w:hAnsi="Arial"/>
          <w:sz w:val="17"/>
          <w:szCs w:val="17"/>
          <w:b w:val="1"/>
          <w:bCs w:val="1"/>
          <w:color w:val="FFFFFF"/>
        </w:rPr>
        <w:t>Executive Sessions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160" w:right="20"/>
        <w:spacing w:after="0" w:line="313" w:lineRule="auto"/>
        <w:rPr>
          <w:sz w:val="20"/>
          <w:szCs w:val="20"/>
          <w:color w:val="auto"/>
        </w:rPr>
      </w:pPr>
      <w:r>
        <w:rPr>
          <w:rFonts w:ascii="Arial" w:cs="Arial" w:eastAsia="Arial" w:hAnsi="Arial"/>
          <w:sz w:val="17"/>
          <w:szCs w:val="17"/>
          <w:b w:val="1"/>
          <w:bCs w:val="1"/>
          <w:color w:val="FFFFFF"/>
        </w:rPr>
        <w:t>No Hedging and No Pledging Policy</w:t>
      </w:r>
    </w:p>
    <w:p>
      <w:pPr>
        <w:spacing w:after="0" w:line="354" w:lineRule="exact"/>
        <w:rPr>
          <w:sz w:val="20"/>
          <w:szCs w:val="20"/>
          <w:color w:val="auto"/>
        </w:rPr>
      </w:pPr>
    </w:p>
    <w:p>
      <w:pPr>
        <w:ind w:left="160" w:right="20"/>
        <w:spacing w:after="0" w:line="313" w:lineRule="auto"/>
        <w:rPr>
          <w:sz w:val="20"/>
          <w:szCs w:val="20"/>
          <w:color w:val="auto"/>
        </w:rPr>
      </w:pPr>
      <w:r>
        <w:rPr>
          <w:rFonts w:ascii="Arial" w:cs="Arial" w:eastAsia="Arial" w:hAnsi="Arial"/>
          <w:sz w:val="17"/>
          <w:szCs w:val="17"/>
          <w:b w:val="1"/>
          <w:bCs w:val="1"/>
          <w:color w:val="FFFFFF"/>
        </w:rPr>
        <w:t>Equity Award Grant Date Policy</w:t>
      </w:r>
    </w:p>
    <w:p>
      <w:pPr>
        <w:spacing w:after="0" w:line="20" w:lineRule="exact"/>
        <w:rPr>
          <w:sz w:val="20"/>
          <w:szCs w:val="20"/>
          <w:color w:val="auto"/>
        </w:rPr>
      </w:pPr>
      <w:r>
        <w:rPr>
          <w:sz w:val="20"/>
          <w:szCs w:val="20"/>
          <w:color w:val="auto"/>
        </w:rPr>
        <w:br w:type="column"/>
      </w:r>
    </w:p>
    <w:p>
      <w:pPr>
        <w:spacing w:after="0" w:line="209" w:lineRule="exact"/>
        <w:rPr>
          <w:sz w:val="20"/>
          <w:szCs w:val="20"/>
          <w:color w:val="auto"/>
        </w:rPr>
      </w:pPr>
    </w:p>
    <w:p>
      <w:pPr>
        <w:spacing w:after="0"/>
        <w:rPr>
          <w:sz w:val="20"/>
          <w:szCs w:val="20"/>
          <w:color w:val="auto"/>
        </w:rPr>
      </w:pPr>
      <w:r>
        <w:rPr>
          <w:rFonts w:ascii="Arial" w:cs="Arial" w:eastAsia="Arial" w:hAnsi="Arial"/>
          <w:sz w:val="16"/>
          <w:szCs w:val="16"/>
          <w:b w:val="1"/>
          <w:bCs w:val="1"/>
          <w:color w:val="FFFFFF"/>
        </w:rPr>
        <w:t>Summary</w:t>
      </w:r>
    </w:p>
    <w:p>
      <w:pPr>
        <w:spacing w:after="0" w:line="145" w:lineRule="exact"/>
        <w:rPr>
          <w:sz w:val="20"/>
          <w:szCs w:val="20"/>
          <w:color w:val="auto"/>
        </w:rPr>
      </w:pPr>
    </w:p>
    <w:p>
      <w:pPr>
        <w:ind w:right="140"/>
        <w:spacing w:after="0" w:line="266" w:lineRule="auto"/>
        <w:rPr>
          <w:sz w:val="20"/>
          <w:szCs w:val="20"/>
          <w:color w:val="auto"/>
        </w:rPr>
      </w:pPr>
      <w:r>
        <w:rPr>
          <w:rFonts w:ascii="Arial" w:cs="Arial" w:eastAsia="Arial" w:hAnsi="Arial"/>
          <w:sz w:val="17"/>
          <w:szCs w:val="17"/>
          <w:color w:val="auto"/>
        </w:rPr>
        <w:t>Our Board of Directors has adopted Corporate Governance Guidelines for ADI that establish a common set of expectations to assist our Board of Directors and its committees in performing their duties. Our Board of Directors reviews these guidelines at least annually and updates them as necessary to reflect changing regulatory requirements and evolving practices.</w:t>
      </w:r>
    </w:p>
    <w:p>
      <w:pPr>
        <w:spacing w:after="0" w:line="200" w:lineRule="exact"/>
        <w:rPr>
          <w:sz w:val="20"/>
          <w:szCs w:val="20"/>
          <w:color w:val="auto"/>
        </w:rPr>
      </w:pPr>
    </w:p>
    <w:p>
      <w:pPr>
        <w:spacing w:after="0" w:line="301" w:lineRule="auto"/>
        <w:rPr>
          <w:sz w:val="20"/>
          <w:szCs w:val="20"/>
          <w:color w:val="auto"/>
        </w:rPr>
      </w:pPr>
      <w:r>
        <w:rPr>
          <w:rFonts w:ascii="Arial" w:cs="Arial" w:eastAsia="Arial" w:hAnsi="Arial"/>
          <w:sz w:val="17"/>
          <w:szCs w:val="17"/>
          <w:color w:val="auto"/>
        </w:rPr>
        <w:t>Our Bylaws provide that each director will serve for a term ending on the date of the annual meeting following the one at which such director was elected.</w:t>
      </w:r>
    </w:p>
    <w:p>
      <w:pPr>
        <w:spacing w:after="0" w:line="158" w:lineRule="exact"/>
        <w:rPr>
          <w:sz w:val="20"/>
          <w:szCs w:val="20"/>
          <w:color w:val="auto"/>
        </w:rPr>
      </w:pPr>
    </w:p>
    <w:p>
      <w:pPr>
        <w:ind w:right="40"/>
        <w:spacing w:after="0" w:line="261" w:lineRule="auto"/>
        <w:rPr>
          <w:sz w:val="20"/>
          <w:szCs w:val="20"/>
          <w:color w:val="auto"/>
        </w:rPr>
      </w:pPr>
      <w:r>
        <w:rPr>
          <w:rFonts w:ascii="Arial" w:cs="Arial" w:eastAsia="Arial" w:hAnsi="Arial"/>
          <w:sz w:val="17"/>
          <w:szCs w:val="17"/>
          <w:color w:val="auto"/>
        </w:rPr>
        <w:t>Our Bylaws provide for a majority voting standard in uncontested director elections, so a director nominee is elected to our Board of Directors if the votes “for” that director exceed the votes “against” (with abstentions and broker non-votes not counted as for or against the election). If a director nominee does not receive more for votes than against votes, the director must offer his or her resignation, which our Board of Directors must determine whether to accept, and we will publicly disclose the results of such determination.</w:t>
      </w:r>
    </w:p>
    <w:p>
      <w:pPr>
        <w:spacing w:after="0" w:line="206" w:lineRule="exact"/>
        <w:rPr>
          <w:sz w:val="20"/>
          <w:szCs w:val="20"/>
          <w:color w:val="auto"/>
        </w:rPr>
      </w:pPr>
    </w:p>
    <w:p>
      <w:pPr>
        <w:ind w:right="100"/>
        <w:spacing w:after="0" w:line="274" w:lineRule="auto"/>
        <w:rPr>
          <w:sz w:val="20"/>
          <w:szCs w:val="20"/>
          <w:color w:val="auto"/>
        </w:rPr>
      </w:pPr>
      <w:r>
        <w:rPr>
          <w:rFonts w:ascii="Arial" w:cs="Arial" w:eastAsia="Arial" w:hAnsi="Arial"/>
          <w:sz w:val="17"/>
          <w:szCs w:val="17"/>
          <w:color w:val="auto"/>
        </w:rPr>
        <w:t>So that each director is able to devote adequate time to their duties to ADI, our Corporate Governance Guidelines provide that our directors shall not serve on the board of directors of more than three other public companies. All of our director nominees are in compliance with this requirement.</w:t>
      </w:r>
    </w:p>
    <w:p>
      <w:pPr>
        <w:spacing w:after="0" w:line="195" w:lineRule="exact"/>
        <w:rPr>
          <w:sz w:val="20"/>
          <w:szCs w:val="20"/>
          <w:color w:val="auto"/>
        </w:rPr>
      </w:pPr>
    </w:p>
    <w:p>
      <w:pPr>
        <w:ind w:right="120"/>
        <w:spacing w:after="0" w:line="266" w:lineRule="auto"/>
        <w:rPr>
          <w:sz w:val="20"/>
          <w:szCs w:val="20"/>
          <w:color w:val="auto"/>
        </w:rPr>
      </w:pPr>
      <w:r>
        <w:rPr>
          <w:rFonts w:ascii="Arial" w:cs="Arial" w:eastAsia="Arial" w:hAnsi="Arial"/>
          <w:sz w:val="17"/>
          <w:szCs w:val="17"/>
          <w:color w:val="auto"/>
        </w:rPr>
        <w:t>At least twice per year, our Board of Directors holds executive sessions with our independent, non-employee directors, as defined under the Nasdaq Rules. Our Lead Independent Director, Mr. Jennings, presides at these independent director executive sessions. In addition, the committees of our Board of Directors regularly hold executive sessions without management present and with their advisors.</w:t>
      </w:r>
    </w:p>
    <w:p>
      <w:pPr>
        <w:spacing w:after="0" w:line="200" w:lineRule="exact"/>
        <w:rPr>
          <w:sz w:val="20"/>
          <w:szCs w:val="20"/>
          <w:color w:val="auto"/>
        </w:rPr>
      </w:pPr>
    </w:p>
    <w:p>
      <w:pPr>
        <w:jc w:val="both"/>
        <w:ind w:right="260"/>
        <w:spacing w:after="0" w:line="274" w:lineRule="auto"/>
        <w:rPr>
          <w:sz w:val="20"/>
          <w:szCs w:val="20"/>
          <w:color w:val="auto"/>
        </w:rPr>
      </w:pPr>
      <w:r>
        <w:rPr>
          <w:rFonts w:ascii="Arial" w:cs="Arial" w:eastAsia="Arial" w:hAnsi="Arial"/>
          <w:sz w:val="17"/>
          <w:szCs w:val="17"/>
          <w:color w:val="auto"/>
        </w:rPr>
        <w:t>We prohibit all hedging transactions or short sales involving ADI securities by our directors and employees, including our executive officers. Since January 2013, we have prohibited our directors and executive officers from holding any ADI securities in a margin account, and from any future pledging of their ADI securities as collateral for a loan.</w:t>
      </w:r>
    </w:p>
    <w:p>
      <w:pPr>
        <w:spacing w:after="0" w:line="195" w:lineRule="exact"/>
        <w:rPr>
          <w:sz w:val="20"/>
          <w:szCs w:val="20"/>
          <w:color w:val="auto"/>
        </w:rPr>
      </w:pPr>
    </w:p>
    <w:p>
      <w:pPr>
        <w:ind w:right="80"/>
        <w:spacing w:after="0" w:line="265" w:lineRule="auto"/>
        <w:rPr>
          <w:sz w:val="20"/>
          <w:szCs w:val="20"/>
          <w:color w:val="auto"/>
        </w:rPr>
      </w:pPr>
      <w:r>
        <w:rPr>
          <w:rFonts w:ascii="Arial" w:cs="Arial" w:eastAsia="Arial" w:hAnsi="Arial"/>
          <w:sz w:val="17"/>
          <w:szCs w:val="17"/>
          <w:color w:val="auto"/>
        </w:rPr>
        <w:t xml:space="preserve">We do not time or select the grant dates of any stock options or stock-based awards in coordination with our release of material non-public information, nor do we have any program, plan, or practice to do so. In addition, our Compensation and Talent Committee has adopted specific written policies regarding the grant dates of equity awards made to our directors, executive officers, and employees. See </w:t>
      </w:r>
      <w:r>
        <w:rPr>
          <w:rFonts w:ascii="Arial" w:cs="Arial" w:eastAsia="Arial" w:hAnsi="Arial"/>
          <w:sz w:val="17"/>
          <w:szCs w:val="17"/>
          <w:i w:val="1"/>
          <w:iCs w:val="1"/>
          <w:color w:val="auto"/>
        </w:rPr>
        <w:t>Director Compensation</w:t>
      </w:r>
      <w:r>
        <w:rPr>
          <w:rFonts w:ascii="Arial" w:cs="Arial" w:eastAsia="Arial" w:hAnsi="Arial"/>
          <w:sz w:val="17"/>
          <w:szCs w:val="17"/>
          <w:color w:val="auto"/>
        </w:rPr>
        <w:t xml:space="preserve"> and </w:t>
      </w:r>
      <w:r>
        <w:rPr>
          <w:rFonts w:ascii="Arial" w:cs="Arial" w:eastAsia="Arial" w:hAnsi="Arial"/>
          <w:sz w:val="17"/>
          <w:szCs w:val="17"/>
          <w:i w:val="1"/>
          <w:iCs w:val="1"/>
          <w:color w:val="auto"/>
        </w:rPr>
        <w:t>Executive Compensation—Equity Award</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Grant Date Policy </w:t>
      </w:r>
      <w:r>
        <w:rPr>
          <w:rFonts w:ascii="Arial" w:cs="Arial" w:eastAsia="Arial" w:hAnsi="Arial"/>
          <w:sz w:val="17"/>
          <w:szCs w:val="17"/>
          <w:color w:val="auto"/>
        </w:rPr>
        <w:t>below for more information.</w:t>
      </w:r>
    </w:p>
    <w:p>
      <w:pPr>
        <w:spacing w:after="0" w:line="200" w:lineRule="exact"/>
        <w:rPr>
          <w:sz w:val="20"/>
          <w:szCs w:val="20"/>
          <w:color w:val="auto"/>
        </w:rPr>
      </w:pPr>
    </w:p>
    <w:p>
      <w:pPr>
        <w:sectPr>
          <w:pgSz w:w="11900" w:h="16838" w:orient="portrait"/>
          <w:cols w:equalWidth="0" w:num="2">
            <w:col w:w="1760" w:space="400"/>
            <w:col w:w="9040"/>
          </w:cols>
          <w:pgMar w:left="320" w:top="1126" w:right="379" w:bottom="1440" w:gutter="0" w:footer="0" w:header="0"/>
          <w:type w:val="continuous"/>
        </w:sectPr>
      </w:pPr>
    </w:p>
    <w:p>
      <w:pPr>
        <w:spacing w:after="0" w:line="200" w:lineRule="exact"/>
        <w:rPr>
          <w:sz w:val="20"/>
          <w:szCs w:val="20"/>
          <w:color w:val="auto"/>
        </w:rPr>
      </w:pPr>
    </w:p>
    <w:p>
      <w:pPr>
        <w:spacing w:after="0" w:line="215" w:lineRule="exact"/>
        <w:rPr>
          <w:sz w:val="20"/>
          <w:szCs w:val="20"/>
          <w:color w:val="auto"/>
        </w:rPr>
      </w:pPr>
    </w:p>
    <w:p>
      <w:pPr>
        <w:ind w:left="640" w:hanging="614"/>
        <w:spacing w:after="0"/>
        <w:tabs>
          <w:tab w:leader="none" w:pos="640" w:val="left"/>
        </w:tabs>
        <w:numPr>
          <w:ilvl w:val="0"/>
          <w:numId w:val="28"/>
        </w:numPr>
        <w:rPr>
          <w:rFonts w:ascii="Arial" w:cs="Arial" w:eastAsia="Arial" w:hAnsi="Arial"/>
          <w:sz w:val="20"/>
          <w:szCs w:val="20"/>
          <w:b w:val="1"/>
          <w:bCs w:val="1"/>
          <w:color w:val="auto"/>
        </w:rPr>
      </w:pPr>
      <w:r>
        <w:rPr>
          <w:rFonts w:ascii="Arial" w:cs="Arial" w:eastAsia="Arial" w:hAnsi="Arial"/>
          <w:sz w:val="16"/>
          <w:szCs w:val="16"/>
          <w:color w:val="6D6E71"/>
        </w:rPr>
        <w:t>Corporate Governance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186055</wp:posOffset>
            </wp:positionV>
            <wp:extent cx="7157720" cy="4254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26" w:right="379" w:bottom="1440" w:gutter="0" w:footer="0" w:header="0"/>
          <w:type w:val="continuous"/>
        </w:sectPr>
      </w:pPr>
    </w:p>
    <w:bookmarkStart w:id="27" w:name="page28"/>
    <w:bookmarkEnd w:id="27"/>
    <w:p>
      <w:pPr>
        <w:ind w:left="160"/>
        <w:spacing w:after="0"/>
        <w:rPr>
          <w:sz w:val="20"/>
          <w:szCs w:val="20"/>
          <w:color w:val="auto"/>
        </w:rPr>
      </w:pPr>
      <w:r>
        <w:rPr>
          <w:rFonts w:ascii="Arial" w:cs="Arial" w:eastAsia="Arial" w:hAnsi="Arial"/>
          <w:sz w:val="16"/>
          <w:szCs w:val="16"/>
          <w:b w:val="1"/>
          <w:bCs w:val="1"/>
          <w:color w:val="FFFFFF"/>
        </w:rPr>
        <w:t>Policy/Practice</w:t>
      </w:r>
    </w:p>
    <w:p>
      <w:pPr>
        <w:spacing w:after="0" w:line="145" w:lineRule="exact"/>
        <w:rPr>
          <w:sz w:val="20"/>
          <w:szCs w:val="20"/>
          <w:color w:val="auto"/>
        </w:rPr>
      </w:pPr>
    </w:p>
    <w:p>
      <w:pPr>
        <w:ind w:left="160"/>
        <w:spacing w:after="0"/>
        <w:rPr>
          <w:sz w:val="20"/>
          <w:szCs w:val="20"/>
          <w:color w:val="auto"/>
        </w:rPr>
      </w:pPr>
      <w:r>
        <w:rPr>
          <w:rFonts w:ascii="Arial" w:cs="Arial" w:eastAsia="Arial" w:hAnsi="Arial"/>
          <w:sz w:val="17"/>
          <w:szCs w:val="17"/>
          <w:b w:val="1"/>
          <w:bCs w:val="1"/>
          <w:color w:val="FFFFFF"/>
        </w:rPr>
        <w:t>Non-Employee</w:t>
      </w:r>
    </w:p>
    <w:p>
      <w:pPr>
        <w:spacing w:after="0" w:line="37" w:lineRule="exact"/>
        <w:rPr>
          <w:sz w:val="20"/>
          <w:szCs w:val="20"/>
          <w:color w:val="auto"/>
        </w:rPr>
      </w:pPr>
    </w:p>
    <w:p>
      <w:pPr>
        <w:ind w:left="160" w:right="300"/>
        <w:spacing w:after="0" w:line="279" w:lineRule="auto"/>
        <w:rPr>
          <w:sz w:val="20"/>
          <w:szCs w:val="20"/>
          <w:color w:val="auto"/>
        </w:rPr>
      </w:pPr>
      <w:r>
        <w:rPr>
          <w:rFonts w:ascii="Arial" w:cs="Arial" w:eastAsia="Arial" w:hAnsi="Arial"/>
          <w:sz w:val="16"/>
          <w:szCs w:val="16"/>
          <w:b w:val="1"/>
          <w:bCs w:val="1"/>
          <w:color w:val="FFFFFF"/>
        </w:rPr>
        <w:t>Director and Executive Stock Ownership Guidelines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160" w:right="280"/>
        <w:spacing w:after="0" w:line="313" w:lineRule="auto"/>
        <w:rPr>
          <w:sz w:val="20"/>
          <w:szCs w:val="20"/>
          <w:color w:val="auto"/>
        </w:rPr>
      </w:pPr>
      <w:r>
        <w:rPr>
          <w:rFonts w:ascii="Arial" w:cs="Arial" w:eastAsia="Arial" w:hAnsi="Arial"/>
          <w:sz w:val="17"/>
          <w:szCs w:val="17"/>
          <w:b w:val="1"/>
          <w:bCs w:val="1"/>
          <w:color w:val="FFFFFF"/>
        </w:rPr>
        <w:t>Compensation Recovery Policy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ind w:left="160"/>
        <w:spacing w:after="0"/>
        <w:rPr>
          <w:sz w:val="20"/>
          <w:szCs w:val="20"/>
          <w:color w:val="auto"/>
        </w:rPr>
      </w:pPr>
      <w:r>
        <w:rPr>
          <w:rFonts w:ascii="Arial" w:cs="Arial" w:eastAsia="Arial" w:hAnsi="Arial"/>
          <w:sz w:val="17"/>
          <w:szCs w:val="17"/>
          <w:b w:val="1"/>
          <w:bCs w:val="1"/>
          <w:color w:val="FFFFFF"/>
        </w:rPr>
        <w:t>Proxy Access Right</w:t>
      </w:r>
    </w:p>
    <w:p>
      <w:pPr>
        <w:spacing w:after="0" w:line="200" w:lineRule="exact"/>
        <w:rPr>
          <w:sz w:val="20"/>
          <w:szCs w:val="20"/>
          <w:color w:val="auto"/>
        </w:rPr>
      </w:pPr>
    </w:p>
    <w:p>
      <w:pPr>
        <w:spacing w:after="0" w:line="253" w:lineRule="exact"/>
        <w:rPr>
          <w:sz w:val="20"/>
          <w:szCs w:val="20"/>
          <w:color w:val="auto"/>
        </w:rPr>
      </w:pPr>
    </w:p>
    <w:p>
      <w:pPr>
        <w:ind w:left="160"/>
        <w:spacing w:after="0" w:line="313" w:lineRule="auto"/>
        <w:rPr>
          <w:sz w:val="20"/>
          <w:szCs w:val="20"/>
          <w:color w:val="auto"/>
        </w:rPr>
      </w:pPr>
      <w:r>
        <w:rPr>
          <w:rFonts w:ascii="Arial" w:cs="Arial" w:eastAsia="Arial" w:hAnsi="Arial"/>
          <w:sz w:val="17"/>
          <w:szCs w:val="17"/>
          <w:b w:val="1"/>
          <w:bCs w:val="1"/>
          <w:color w:val="FFFFFF"/>
        </w:rPr>
        <w:t>Code of Business Conduct and Ethics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ind w:left="160"/>
        <w:spacing w:after="0"/>
        <w:rPr>
          <w:sz w:val="20"/>
          <w:szCs w:val="20"/>
          <w:color w:val="auto"/>
        </w:rPr>
      </w:pPr>
      <w:r>
        <w:rPr>
          <w:rFonts w:ascii="Arial" w:cs="Arial" w:eastAsia="Arial" w:hAnsi="Arial"/>
          <w:sz w:val="17"/>
          <w:szCs w:val="17"/>
          <w:b w:val="1"/>
          <w:bCs w:val="1"/>
          <w:color w:val="FFFFFF"/>
        </w:rPr>
        <w:t>Code of</w:t>
      </w:r>
    </w:p>
    <w:p>
      <w:pPr>
        <w:spacing w:after="0" w:line="37" w:lineRule="exact"/>
        <w:rPr>
          <w:sz w:val="20"/>
          <w:szCs w:val="20"/>
          <w:color w:val="auto"/>
        </w:rPr>
      </w:pPr>
    </w:p>
    <w:p>
      <w:pPr>
        <w:ind w:left="160"/>
        <w:spacing w:after="0"/>
        <w:rPr>
          <w:sz w:val="20"/>
          <w:szCs w:val="20"/>
          <w:color w:val="auto"/>
        </w:rPr>
      </w:pPr>
      <w:r>
        <w:rPr>
          <w:rFonts w:ascii="Arial" w:cs="Arial" w:eastAsia="Arial" w:hAnsi="Arial"/>
          <w:sz w:val="17"/>
          <w:szCs w:val="17"/>
          <w:b w:val="1"/>
          <w:bCs w:val="1"/>
          <w:color w:val="FFFFFF"/>
        </w:rPr>
        <w:t>Corporate Social</w:t>
      </w:r>
    </w:p>
    <w:p>
      <w:pPr>
        <w:spacing w:after="0" w:line="7" w:lineRule="exact"/>
        <w:rPr>
          <w:sz w:val="20"/>
          <w:szCs w:val="20"/>
          <w:color w:val="auto"/>
        </w:rPr>
      </w:pPr>
    </w:p>
    <w:p>
      <w:pPr>
        <w:ind w:left="160"/>
        <w:spacing w:after="0"/>
        <w:rPr>
          <w:sz w:val="20"/>
          <w:szCs w:val="20"/>
          <w:color w:val="auto"/>
        </w:rPr>
      </w:pPr>
      <w:r>
        <w:rPr>
          <w:rFonts w:ascii="Arial" w:cs="Arial" w:eastAsia="Arial" w:hAnsi="Arial"/>
          <w:sz w:val="17"/>
          <w:szCs w:val="17"/>
          <w:b w:val="1"/>
          <w:bCs w:val="1"/>
          <w:color w:val="FFFFFF"/>
        </w:rPr>
        <w:t>Responsibility</w:t>
      </w:r>
    </w:p>
    <w:p>
      <w:pPr>
        <w:spacing w:after="0" w:line="234" w:lineRule="exact"/>
        <w:rPr>
          <w:sz w:val="20"/>
          <w:szCs w:val="20"/>
          <w:color w:val="auto"/>
        </w:rPr>
      </w:pPr>
    </w:p>
    <w:p>
      <w:pPr>
        <w:ind w:left="160"/>
        <w:spacing w:after="0"/>
        <w:rPr>
          <w:sz w:val="20"/>
          <w:szCs w:val="20"/>
          <w:color w:val="auto"/>
        </w:rPr>
      </w:pPr>
      <w:r>
        <w:rPr>
          <w:rFonts w:ascii="Arial" w:cs="Arial" w:eastAsia="Arial" w:hAnsi="Arial"/>
          <w:sz w:val="17"/>
          <w:szCs w:val="17"/>
          <w:b w:val="1"/>
          <w:bCs w:val="1"/>
          <w:color w:val="FFFFFF"/>
        </w:rPr>
        <w:t>Director Education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b w:val="1"/>
          <w:bCs w:val="1"/>
          <w:color w:val="FFFFFF"/>
        </w:rPr>
        <w:t>Summary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-1365885</wp:posOffset>
            </wp:positionH>
            <wp:positionV relativeFrom="paragraph">
              <wp:posOffset>-124460</wp:posOffset>
            </wp:positionV>
            <wp:extent cx="7132320" cy="576897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132320" cy="5768975"/>
                    </a:xfrm>
                    <a:prstGeom prst="rect">
                      <a:avLst/>
                    </a:prstGeom>
                    <a:noFill/>
                  </pic:spPr>
                </pic:pic>
              </a:graphicData>
            </a:graphic>
          </wp:anchor>
        </w:drawing>
      </w:r>
    </w:p>
    <w:p>
      <w:pPr>
        <w:spacing w:after="0" w:line="125" w:lineRule="exact"/>
        <w:rPr>
          <w:sz w:val="20"/>
          <w:szCs w:val="20"/>
          <w:color w:val="auto"/>
        </w:rPr>
      </w:pPr>
    </w:p>
    <w:p>
      <w:pPr>
        <w:ind w:right="60"/>
        <w:spacing w:after="0" w:line="255" w:lineRule="auto"/>
        <w:rPr>
          <w:sz w:val="20"/>
          <w:szCs w:val="20"/>
          <w:color w:val="auto"/>
        </w:rPr>
      </w:pPr>
      <w:r>
        <w:rPr>
          <w:rFonts w:ascii="Arial" w:cs="Arial" w:eastAsia="Arial" w:hAnsi="Arial"/>
          <w:sz w:val="17"/>
          <w:szCs w:val="17"/>
          <w:color w:val="auto"/>
        </w:rPr>
        <w:t>Under our guidelines, the target stock ownership levels are four times the directors’ annual cash retainer for our non-employee directors, five times annual base salary for the CEO, and three times annual base salary for other executive officers and any Senior Vice President reporting to the CEO (the Leadership Team). The CEO and non-employee directors have four years from the date of his or her appointment as CEO or to the Board of Directors, as applicable, to achieve the targeted level. Members of the Leadership Team other than the CEO have five years from the date he or she becomes part of the Leadership Team to achieve their targeted level. Shares subject to unexercised options, whether or not vested, and unvested performance-based restricted stock units (PRSUs) the performance for which has not yet been certified by the Compensation and Talent Committee, and any shares that have been pledged as collateral for a loan will not be counted for purposes of satisfying these guidelines. Restricted stock units (RSUs), restricted stock (whether or not vested), and unvested PRSUs the performance for which has been certified by the Compensation and Talent Committee are counted for purposes of satisfying these guidelines. Our CEO, all members of the Board of Directors, and all members of the Leadership Team as of November 1, 2025 were in compliance with our stock ownership guidelines.</w:t>
      </w:r>
    </w:p>
    <w:p>
      <w:pPr>
        <w:spacing w:after="0" w:line="203" w:lineRule="exact"/>
        <w:rPr>
          <w:sz w:val="20"/>
          <w:szCs w:val="20"/>
          <w:color w:val="auto"/>
        </w:rPr>
      </w:pPr>
    </w:p>
    <w:p>
      <w:pPr>
        <w:ind w:right="20"/>
        <w:spacing w:after="0" w:line="259" w:lineRule="auto"/>
        <w:rPr>
          <w:sz w:val="20"/>
          <w:szCs w:val="20"/>
          <w:color w:val="auto"/>
        </w:rPr>
      </w:pPr>
      <w:r>
        <w:rPr>
          <w:rFonts w:ascii="Arial" w:cs="Arial" w:eastAsia="Arial" w:hAnsi="Arial"/>
          <w:sz w:val="17"/>
          <w:szCs w:val="17"/>
          <w:color w:val="auto"/>
        </w:rPr>
        <w:t>Our compensation recovery policy provides that in the event of an accounting restatement due to the material noncompliance of ADI with any financial reporting requirement under the U.S. federal securities laws, the company will recover from our CEO and other officers (as defined in Rule 16a-1(f) under the Securities and Exchange Act of 1934, as amended (Exchange Act)), the excess of the amount of incentive-based compensation received by such officer during the three completed fiscal years immediately preceding the required restatement date over the amount of incentive-based compensation that otherwise would have been received had it been determined based on the restated amounts.</w:t>
      </w:r>
    </w:p>
    <w:p>
      <w:pPr>
        <w:spacing w:after="0" w:line="206" w:lineRule="exact"/>
        <w:rPr>
          <w:sz w:val="20"/>
          <w:szCs w:val="20"/>
          <w:color w:val="auto"/>
        </w:rPr>
      </w:pPr>
    </w:p>
    <w:p>
      <w:pPr>
        <w:ind w:right="720"/>
        <w:spacing w:after="0" w:line="301" w:lineRule="auto"/>
        <w:rPr>
          <w:sz w:val="20"/>
          <w:szCs w:val="20"/>
          <w:color w:val="auto"/>
        </w:rPr>
      </w:pPr>
      <w:r>
        <w:rPr>
          <w:rFonts w:ascii="Arial" w:cs="Arial" w:eastAsia="Arial" w:hAnsi="Arial"/>
          <w:sz w:val="17"/>
          <w:szCs w:val="17"/>
          <w:color w:val="auto"/>
        </w:rPr>
        <w:t>Our Bylaws allow shareholders that meet standard eligibility requirements to nominate and include in our proxy statement director candidates for election.</w:t>
      </w:r>
    </w:p>
    <w:p>
      <w:pPr>
        <w:spacing w:after="0" w:line="158" w:lineRule="exact"/>
        <w:rPr>
          <w:sz w:val="20"/>
          <w:szCs w:val="20"/>
          <w:color w:val="auto"/>
        </w:rPr>
      </w:pPr>
    </w:p>
    <w:p>
      <w:pPr>
        <w:ind w:right="20"/>
        <w:spacing w:after="0" w:line="259" w:lineRule="auto"/>
        <w:rPr>
          <w:sz w:val="20"/>
          <w:szCs w:val="20"/>
          <w:color w:val="auto"/>
        </w:rPr>
      </w:pPr>
      <w:r>
        <w:rPr>
          <w:rFonts w:ascii="Arial" w:cs="Arial" w:eastAsia="Arial" w:hAnsi="Arial"/>
          <w:sz w:val="17"/>
          <w:szCs w:val="17"/>
          <w:color w:val="auto"/>
        </w:rPr>
        <w:t>We have a Code of Business Conduct and Ethics, applicable to our employees, members of the Board of Directors, independent contractors, and consultants, which details our commitment to conducting business ethically, in compliance with the law, and in a way that reflects our deeper values. Our Code of Business Conduct and Ethics details our commitment to promoting a culture of integrity, and is designed to be consistent with best practices. Our Code of Business Conduct and Ethics provides guidance on reporting concerns about behavior that violates our Code of Business Conduct and Ethics, safeguarding ADI’s confidential information, and other topics.</w:t>
      </w:r>
    </w:p>
    <w:p>
      <w:pPr>
        <w:spacing w:after="0" w:line="206" w:lineRule="exact"/>
        <w:rPr>
          <w:sz w:val="20"/>
          <w:szCs w:val="20"/>
          <w:color w:val="auto"/>
        </w:rPr>
      </w:pPr>
    </w:p>
    <w:p>
      <w:pPr>
        <w:ind w:right="280"/>
        <w:spacing w:after="0" w:line="301" w:lineRule="auto"/>
        <w:rPr>
          <w:sz w:val="20"/>
          <w:szCs w:val="20"/>
          <w:color w:val="auto"/>
        </w:rPr>
      </w:pPr>
      <w:r>
        <w:rPr>
          <w:rFonts w:ascii="Arial" w:cs="Arial" w:eastAsia="Arial" w:hAnsi="Arial"/>
          <w:sz w:val="17"/>
          <w:szCs w:val="17"/>
          <w:color w:val="auto"/>
        </w:rPr>
        <w:t>Our Code of Corporate Social Responsibility details ADI’s policies for itself and its suppliers in the areas of labor and human rights, health and safety, environment, ethics, management systems, and data privacy.</w:t>
      </w:r>
    </w:p>
    <w:p>
      <w:pPr>
        <w:spacing w:after="0" w:line="374" w:lineRule="exact"/>
        <w:rPr>
          <w:sz w:val="20"/>
          <w:szCs w:val="20"/>
          <w:color w:val="auto"/>
        </w:rPr>
      </w:pPr>
    </w:p>
    <w:p>
      <w:pPr>
        <w:spacing w:after="0" w:line="259" w:lineRule="auto"/>
        <w:rPr>
          <w:sz w:val="20"/>
          <w:szCs w:val="20"/>
          <w:color w:val="auto"/>
        </w:rPr>
      </w:pPr>
      <w:r>
        <w:rPr>
          <w:rFonts w:ascii="Arial" w:cs="Arial" w:eastAsia="Arial" w:hAnsi="Arial"/>
          <w:sz w:val="17"/>
          <w:szCs w:val="17"/>
          <w:color w:val="auto"/>
        </w:rPr>
        <w:t>We encourage our directors to attend director education programs and provide educational opportunities to our directors through a variety of platforms. The Nominating and Corporate Governance Committee reviews director participation in our director education programs on a regular basis. We reimburse the costs of attending such programs. We also provide members of our Board of Directors a membership to the NACD. Further, we include educational topics regularly at our scheduled Board of Directors’ meetings. During such sessions, an outside party presents on a topic that is relevant to our business and strategic objectives and of interest to our Board of Directors.</w:t>
      </w:r>
    </w:p>
    <w:p>
      <w:pPr>
        <w:spacing w:after="0" w:line="200" w:lineRule="exact"/>
        <w:rPr>
          <w:sz w:val="20"/>
          <w:szCs w:val="20"/>
          <w:color w:val="auto"/>
        </w:rPr>
      </w:pPr>
    </w:p>
    <w:p>
      <w:pPr>
        <w:sectPr>
          <w:pgSz w:w="11900" w:h="16838" w:orient="portrait"/>
          <w:cols w:equalWidth="0" w:num="2">
            <w:col w:w="1760" w:space="400"/>
            <w:col w:w="9060"/>
          </w:cols>
          <w:pgMar w:left="320" w:top="1232" w:right="359" w:bottom="1440" w:gutter="0" w:footer="0" w:header="0"/>
        </w:sectPr>
      </w:pPr>
    </w:p>
    <w:p>
      <w:pPr>
        <w:spacing w:after="0" w:line="212" w:lineRule="exact"/>
        <w:rPr>
          <w:sz w:val="20"/>
          <w:szCs w:val="20"/>
          <w:color w:val="auto"/>
        </w:rPr>
      </w:pPr>
    </w:p>
    <w:p>
      <w:pPr>
        <w:spacing w:after="0" w:line="262" w:lineRule="auto"/>
        <w:rPr>
          <w:sz w:val="20"/>
          <w:szCs w:val="20"/>
          <w:color w:val="auto"/>
        </w:rPr>
      </w:pPr>
      <w:r>
        <w:rPr>
          <w:rFonts w:ascii="Arial" w:cs="Arial" w:eastAsia="Arial" w:hAnsi="Arial"/>
          <w:sz w:val="18"/>
          <w:szCs w:val="18"/>
          <w:color w:val="auto"/>
        </w:rPr>
        <w:t xml:space="preserve">You can access our Bylaws, the current charters for our Audit Committee, Compensation and Talent Committee, Nominating and Corporate Governance Committee, and Corporate Development Committee, our Corporate Governance Guidelines, our Code of Business Conduct and Ethics, and other governance documents and corporate policies at </w:t>
      </w:r>
      <w:r>
        <w:rPr>
          <w:rFonts w:ascii="Arial" w:cs="Arial" w:eastAsia="Arial" w:hAnsi="Arial"/>
          <w:sz w:val="18"/>
          <w:szCs w:val="18"/>
          <w:color w:val="0067B3"/>
        </w:rPr>
        <w:t>https://investor.analog.com/governance/governance-documents</w:t>
      </w:r>
      <w:r>
        <w:rPr>
          <w:rFonts w:ascii="Arial" w:cs="Arial" w:eastAsia="Arial" w:hAnsi="Arial"/>
          <w:sz w:val="18"/>
          <w:szCs w:val="18"/>
          <w:color w:val="auto"/>
        </w:rPr>
        <w:t xml:space="preserve"> or by writing to:</w:t>
      </w:r>
    </w:p>
    <w:p>
      <w:pPr>
        <w:spacing w:after="0" w:line="68" w:lineRule="exact"/>
        <w:rPr>
          <w:sz w:val="20"/>
          <w:szCs w:val="20"/>
          <w:color w:val="auto"/>
        </w:rPr>
      </w:pPr>
    </w:p>
    <w:p>
      <w:pPr>
        <w:spacing w:after="0"/>
        <w:rPr>
          <w:sz w:val="20"/>
          <w:szCs w:val="20"/>
          <w:color w:val="auto"/>
        </w:rPr>
      </w:pPr>
      <w:r>
        <w:rPr>
          <w:rFonts w:ascii="Arial" w:cs="Arial" w:eastAsia="Arial" w:hAnsi="Arial"/>
          <w:sz w:val="18"/>
          <w:szCs w:val="18"/>
          <w:color w:val="auto"/>
        </w:rPr>
        <w:t>Investor Relations Department</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Analog Devices,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One Analog Way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Wilmington, Massachusetts 01887</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Phone: 781-461-3282</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Email: </w:t>
      </w:r>
      <w:r>
        <w:rPr>
          <w:rFonts w:ascii="Arial" w:cs="Arial" w:eastAsia="Arial" w:hAnsi="Arial"/>
          <w:sz w:val="18"/>
          <w:szCs w:val="18"/>
          <w:color w:val="0067B3"/>
        </w:rPr>
        <w:t>investor.relations@analog.com</w:t>
      </w:r>
    </w:p>
    <w:p>
      <w:pPr>
        <w:sectPr>
          <w:pgSz w:w="11900" w:h="16838" w:orient="portrait"/>
          <w:cols w:equalWidth="0" w:num="1">
            <w:col w:w="11220"/>
          </w:cols>
          <w:pgMar w:left="320" w:top="1232" w:right="359" w:bottom="1440" w:gutter="0" w:footer="0" w:header="0"/>
          <w:type w:val="continuous"/>
        </w:sectPr>
      </w:pPr>
    </w:p>
    <w:p>
      <w:pPr>
        <w:spacing w:after="0" w:line="200" w:lineRule="exact"/>
        <w:rPr>
          <w:sz w:val="20"/>
          <w:szCs w:val="20"/>
          <w:color w:val="auto"/>
        </w:rPr>
      </w:pPr>
    </w:p>
    <w:p>
      <w:pPr>
        <w:spacing w:after="0" w:line="232" w:lineRule="exact"/>
        <w:rPr>
          <w:sz w:val="20"/>
          <w:szCs w:val="20"/>
          <w:color w:val="auto"/>
        </w:rPr>
      </w:pPr>
    </w:p>
    <w:p>
      <w:pPr>
        <w:ind w:left="8980"/>
        <w:spacing w:after="0"/>
        <w:tabs>
          <w:tab w:leader="none" w:pos="10980" w:val="left"/>
        </w:tabs>
        <w:rPr>
          <w:sz w:val="20"/>
          <w:szCs w:val="20"/>
          <w:color w:val="auto"/>
        </w:rPr>
      </w:pPr>
      <w:r>
        <w:rPr>
          <w:rFonts w:ascii="Arial" w:cs="Arial" w:eastAsia="Arial" w:hAnsi="Arial"/>
          <w:sz w:val="16"/>
          <w:szCs w:val="16"/>
          <w:color w:val="0067B3"/>
        </w:rPr>
        <w:t>2026 Proxy Statement</w:t>
      </w:r>
      <w:r>
        <w:rPr>
          <w:sz w:val="20"/>
          <w:szCs w:val="20"/>
          <w:color w:val="auto"/>
        </w:rPr>
        <w:tab/>
      </w:r>
      <w:r>
        <w:rPr>
          <w:rFonts w:ascii="Arial" w:cs="Arial" w:eastAsia="Arial" w:hAnsi="Arial"/>
          <w:sz w:val="19"/>
          <w:szCs w:val="19"/>
          <w:b w:val="1"/>
          <w:bCs w:val="1"/>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232410</wp:posOffset>
            </wp:positionV>
            <wp:extent cx="7157720" cy="4254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32" w:right="359" w:bottom="1440" w:gutter="0" w:footer="0" w:header="0"/>
          <w:type w:val="continuous"/>
        </w:sectPr>
      </w:pPr>
    </w:p>
    <w:bookmarkStart w:id="28" w:name="page29"/>
    <w:bookmarkEnd w:id="28"/>
    <w:p>
      <w:pPr>
        <w:spacing w:after="0"/>
        <w:rPr>
          <w:sz w:val="20"/>
          <w:szCs w:val="20"/>
          <w:color w:val="auto"/>
        </w:rPr>
      </w:pPr>
      <w:r>
        <w:rPr>
          <w:rFonts w:ascii="Arial" w:cs="Arial" w:eastAsia="Arial" w:hAnsi="Arial"/>
          <w:sz w:val="41"/>
          <w:szCs w:val="41"/>
          <w:b w:val="1"/>
          <w:bCs w:val="1"/>
          <w:color w:val="0067B3"/>
        </w:rPr>
        <w:t>Board and Committee Structure</w:t>
      </w:r>
    </w:p>
    <w:p>
      <w:pPr>
        <w:spacing w:after="0" w:line="266" w:lineRule="exact"/>
        <w:rPr>
          <w:sz w:val="20"/>
          <w:szCs w:val="20"/>
          <w:color w:val="auto"/>
        </w:rPr>
      </w:pPr>
    </w:p>
    <w:p>
      <w:pPr>
        <w:spacing w:after="0"/>
        <w:rPr>
          <w:sz w:val="20"/>
          <w:szCs w:val="20"/>
          <w:color w:val="auto"/>
        </w:rPr>
      </w:pPr>
      <w:r>
        <w:rPr>
          <w:rFonts w:ascii="Arial" w:cs="Arial" w:eastAsia="Arial" w:hAnsi="Arial"/>
          <w:sz w:val="32"/>
          <w:szCs w:val="32"/>
          <w:b w:val="1"/>
          <w:bCs w:val="1"/>
          <w:color w:val="auto"/>
        </w:rPr>
        <w:t>Board Leadership Structure</w:t>
      </w:r>
    </w:p>
    <w:p>
      <w:pPr>
        <w:spacing w:after="0" w:line="156"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Our Board of Directors is responsible for creating a leadership structure that provides independent oversight of management. The Board of Directors regularly reviews its leadership structure and considers a variety of criteria, including shareholder feedback, feedback received during the Board of Directors’ evaluation process, our strategic goals, the current operating and governance environment, the skill set of the independent directors, and the dynamics of the Board of Directors at any given point in time when evaluating the optimal leadership structure. The Board of Directors does not believe that there is one leadership structure that is preferred and regularly discusses what the optimal structure is for ADI at that time.</w:t>
      </w:r>
    </w:p>
    <w:p>
      <w:pPr>
        <w:spacing w:after="0" w:line="74"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Our Corporate Governance Guidelines provide that the roles of Chair of the Board of Directors and CEO may be filled by the same individual. The Corporate Governance Guidelines further provide that if the Chair is not an independent director, then a Lead Independent Director shall be designated by the Board of Directors. This approach provides the Board of Directors with flexibility to determine whether the two roles should be separate or combined based upon ADI’s needs in light of the dynamic environment in which we operate and the Board of Directors’ assessment of ADI’s leadership needs at that time.</w:t>
      </w:r>
    </w:p>
    <w:p>
      <w:pPr>
        <w:spacing w:after="0" w:line="71"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Since March 2022, Mr. Roche has been serving as the CEO and Chair. The Board of Directors believes that this leadership structure, coupled with a strong emphasis on Board of Directors’ independence, provides effective independent oversight of management while allowing both the Board of Directors and management to benefit from Mr. Roche’s leadership and years of experience driving ADI’s strategy. As CEO, Mr. Roche has been instrumental in identifying and driving ADI’s strategic priorities. He has deep experience expanding ADI’s global scale, pioneering innovations, and has been integral in building a Board of Directors and Leadership Team to position ADI for continued long-term strategic growth. Further, the Board of Directors believes that this combined role facilitates timely and transparent communication with the Board of Directors on key strategic matters, benefits shareholders, and strengthens Mr. Roche’s ability to provide leadership as ADI continues to transition in response to customer demand for more complete solutions.</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color w:val="auto"/>
        </w:rPr>
        <w:t>Mr. Jennings has served as our Lead Independent Director since January 2024 and brings deep corporate governance expertise to the role.</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As Lead Independent Director, Mr. Jennings carries out the important responsibilities listed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160655</wp:posOffset>
            </wp:positionV>
            <wp:extent cx="7140575" cy="279463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140575" cy="2794635"/>
                    </a:xfrm>
                    <a:prstGeom prst="rect">
                      <a:avLst/>
                    </a:prstGeom>
                    <a:noFill/>
                  </pic:spPr>
                </pic:pic>
              </a:graphicData>
            </a:graphic>
          </wp:anchor>
        </w:drawing>
      </w:r>
    </w:p>
    <w:p>
      <w:pPr>
        <w:spacing w:after="0" w:line="390" w:lineRule="exact"/>
        <w:rPr>
          <w:sz w:val="20"/>
          <w:szCs w:val="20"/>
          <w:color w:val="auto"/>
        </w:rPr>
      </w:pPr>
    </w:p>
    <w:p>
      <w:pPr>
        <w:ind w:left="240" w:right="600"/>
        <w:spacing w:after="0" w:line="287" w:lineRule="auto"/>
        <w:rPr>
          <w:sz w:val="20"/>
          <w:szCs w:val="20"/>
          <w:color w:val="auto"/>
        </w:rPr>
      </w:pPr>
      <w:r>
        <w:rPr>
          <w:rFonts w:ascii="Arial" w:cs="Arial" w:eastAsia="Arial" w:hAnsi="Arial"/>
          <w:sz w:val="18"/>
          <w:szCs w:val="18"/>
          <w:color w:val="auto"/>
        </w:rPr>
        <w:t>In accordance with best practices to ensure independent leadership, the Lead Independent Director has significant responsibilities, including:</w:t>
      </w:r>
    </w:p>
    <w:p>
      <w:pPr>
        <w:spacing w:after="0" w:line="4" w:lineRule="exact"/>
        <w:rPr>
          <w:sz w:val="20"/>
          <w:szCs w:val="20"/>
          <w:color w:val="auto"/>
        </w:rPr>
      </w:pPr>
    </w:p>
    <w:p>
      <w:pPr>
        <w:ind w:left="380" w:hanging="146"/>
        <w:spacing w:after="0"/>
        <w:tabs>
          <w:tab w:leader="none" w:pos="380" w:val="left"/>
        </w:tabs>
        <w:numPr>
          <w:ilvl w:val="0"/>
          <w:numId w:val="29"/>
        </w:numPr>
        <w:rPr>
          <w:rFonts w:ascii="Arial" w:cs="Arial" w:eastAsia="Arial" w:hAnsi="Arial"/>
          <w:sz w:val="13"/>
          <w:szCs w:val="13"/>
          <w:color w:val="0067B3"/>
        </w:rPr>
      </w:pPr>
      <w:r>
        <w:rPr>
          <w:rFonts w:ascii="Arial" w:cs="Arial" w:eastAsia="Arial" w:hAnsi="Arial"/>
          <w:sz w:val="18"/>
          <w:szCs w:val="18"/>
          <w:color w:val="auto"/>
        </w:rPr>
        <w:t>Leading executive sessions of the independent directors or other meetings at which the Chair is not present;</w:t>
      </w:r>
    </w:p>
    <w:p>
      <w:pPr>
        <w:spacing w:after="0" w:line="90" w:lineRule="exact"/>
        <w:rPr>
          <w:rFonts w:ascii="Arial" w:cs="Arial" w:eastAsia="Arial" w:hAnsi="Arial"/>
          <w:sz w:val="13"/>
          <w:szCs w:val="13"/>
          <w:color w:val="0067B3"/>
        </w:rPr>
      </w:pPr>
    </w:p>
    <w:p>
      <w:pPr>
        <w:ind w:left="380" w:hanging="146"/>
        <w:spacing w:after="0"/>
        <w:tabs>
          <w:tab w:leader="none" w:pos="380" w:val="left"/>
        </w:tabs>
        <w:numPr>
          <w:ilvl w:val="0"/>
          <w:numId w:val="29"/>
        </w:numPr>
        <w:rPr>
          <w:rFonts w:ascii="Arial" w:cs="Arial" w:eastAsia="Arial" w:hAnsi="Arial"/>
          <w:sz w:val="13"/>
          <w:szCs w:val="13"/>
          <w:color w:val="0067B3"/>
        </w:rPr>
      </w:pPr>
      <w:r>
        <w:rPr>
          <w:rFonts w:ascii="Arial" w:cs="Arial" w:eastAsia="Arial" w:hAnsi="Arial"/>
          <w:sz w:val="18"/>
          <w:szCs w:val="18"/>
          <w:color w:val="auto"/>
        </w:rPr>
        <w:t>Calling meetings of the independent directors;</w:t>
      </w:r>
    </w:p>
    <w:p>
      <w:pPr>
        <w:spacing w:after="0" w:line="76" w:lineRule="exact"/>
        <w:rPr>
          <w:rFonts w:ascii="Arial" w:cs="Arial" w:eastAsia="Arial" w:hAnsi="Arial"/>
          <w:sz w:val="13"/>
          <w:szCs w:val="13"/>
          <w:color w:val="0067B3"/>
        </w:rPr>
      </w:pPr>
    </w:p>
    <w:p>
      <w:pPr>
        <w:ind w:left="380" w:hanging="146"/>
        <w:spacing w:after="0"/>
        <w:tabs>
          <w:tab w:leader="none" w:pos="380" w:val="left"/>
        </w:tabs>
        <w:numPr>
          <w:ilvl w:val="0"/>
          <w:numId w:val="29"/>
        </w:numPr>
        <w:rPr>
          <w:rFonts w:ascii="Arial" w:cs="Arial" w:eastAsia="Arial" w:hAnsi="Arial"/>
          <w:sz w:val="13"/>
          <w:szCs w:val="13"/>
          <w:color w:val="0067B3"/>
        </w:rPr>
      </w:pPr>
      <w:r>
        <w:rPr>
          <w:rFonts w:ascii="Arial" w:cs="Arial" w:eastAsia="Arial" w:hAnsi="Arial"/>
          <w:sz w:val="18"/>
          <w:szCs w:val="18"/>
          <w:color w:val="auto"/>
        </w:rPr>
        <w:t>Coordinating with the Chair to call Board of Directors’ meetings;</w:t>
      </w:r>
    </w:p>
    <w:p>
      <w:pPr>
        <w:spacing w:after="0" w:line="76" w:lineRule="exact"/>
        <w:rPr>
          <w:rFonts w:ascii="Arial" w:cs="Arial" w:eastAsia="Arial" w:hAnsi="Arial"/>
          <w:sz w:val="13"/>
          <w:szCs w:val="13"/>
          <w:color w:val="0067B3"/>
        </w:rPr>
      </w:pPr>
    </w:p>
    <w:p>
      <w:pPr>
        <w:ind w:left="380" w:hanging="146"/>
        <w:spacing w:after="0"/>
        <w:tabs>
          <w:tab w:leader="none" w:pos="380" w:val="left"/>
        </w:tabs>
        <w:numPr>
          <w:ilvl w:val="0"/>
          <w:numId w:val="29"/>
        </w:numPr>
        <w:rPr>
          <w:rFonts w:ascii="Arial" w:cs="Arial" w:eastAsia="Arial" w:hAnsi="Arial"/>
          <w:sz w:val="13"/>
          <w:szCs w:val="13"/>
          <w:color w:val="0067B3"/>
        </w:rPr>
      </w:pPr>
      <w:r>
        <w:rPr>
          <w:rFonts w:ascii="Arial" w:cs="Arial" w:eastAsia="Arial" w:hAnsi="Arial"/>
          <w:sz w:val="18"/>
          <w:szCs w:val="18"/>
          <w:color w:val="auto"/>
        </w:rPr>
        <w:t>In consultation with the Chair and Chief Legal Officer, overseeing the annual Board of Directors’ evaluation process;</w:t>
      </w:r>
    </w:p>
    <w:p>
      <w:pPr>
        <w:spacing w:after="0" w:line="90" w:lineRule="exact"/>
        <w:rPr>
          <w:rFonts w:ascii="Arial" w:cs="Arial" w:eastAsia="Arial" w:hAnsi="Arial"/>
          <w:sz w:val="13"/>
          <w:szCs w:val="13"/>
          <w:color w:val="0067B3"/>
        </w:rPr>
      </w:pPr>
    </w:p>
    <w:p>
      <w:pPr>
        <w:ind w:left="380" w:hanging="146"/>
        <w:spacing w:after="0"/>
        <w:tabs>
          <w:tab w:leader="none" w:pos="380" w:val="left"/>
        </w:tabs>
        <w:numPr>
          <w:ilvl w:val="0"/>
          <w:numId w:val="29"/>
        </w:numPr>
        <w:rPr>
          <w:rFonts w:ascii="Arial" w:cs="Arial" w:eastAsia="Arial" w:hAnsi="Arial"/>
          <w:sz w:val="13"/>
          <w:szCs w:val="13"/>
          <w:color w:val="0067B3"/>
        </w:rPr>
      </w:pPr>
      <w:r>
        <w:rPr>
          <w:rFonts w:ascii="Arial" w:cs="Arial" w:eastAsia="Arial" w:hAnsi="Arial"/>
          <w:sz w:val="18"/>
          <w:szCs w:val="18"/>
          <w:color w:val="auto"/>
        </w:rPr>
        <w:t>Serving as a liaison between the Chair and the independent directors, as needed;</w:t>
      </w:r>
    </w:p>
    <w:p>
      <w:pPr>
        <w:spacing w:after="0" w:line="76" w:lineRule="exact"/>
        <w:rPr>
          <w:rFonts w:ascii="Arial" w:cs="Arial" w:eastAsia="Arial" w:hAnsi="Arial"/>
          <w:sz w:val="13"/>
          <w:szCs w:val="13"/>
          <w:color w:val="0067B3"/>
        </w:rPr>
      </w:pPr>
    </w:p>
    <w:p>
      <w:pPr>
        <w:ind w:left="420" w:right="520" w:hanging="186"/>
        <w:spacing w:after="0" w:line="287" w:lineRule="auto"/>
        <w:tabs>
          <w:tab w:leader="none" w:pos="377" w:val="left"/>
        </w:tabs>
        <w:numPr>
          <w:ilvl w:val="0"/>
          <w:numId w:val="29"/>
        </w:numPr>
        <w:rPr>
          <w:rFonts w:ascii="Arial" w:cs="Arial" w:eastAsia="Arial" w:hAnsi="Arial"/>
          <w:sz w:val="13"/>
          <w:szCs w:val="13"/>
          <w:color w:val="0067B3"/>
        </w:rPr>
      </w:pPr>
      <w:r>
        <w:rPr>
          <w:rFonts w:ascii="Arial" w:cs="Arial" w:eastAsia="Arial" w:hAnsi="Arial"/>
          <w:sz w:val="18"/>
          <w:szCs w:val="18"/>
          <w:color w:val="auto"/>
        </w:rPr>
        <w:t>Coordinating with the Chair to set and approve the Board of Directors’ meeting schedule and agendas to ensure sufficient time for discussion of all agenda items;</w:t>
      </w:r>
    </w:p>
    <w:p>
      <w:pPr>
        <w:spacing w:after="0" w:line="4" w:lineRule="exact"/>
        <w:rPr>
          <w:rFonts w:ascii="Arial" w:cs="Arial" w:eastAsia="Arial" w:hAnsi="Arial"/>
          <w:sz w:val="13"/>
          <w:szCs w:val="13"/>
          <w:color w:val="0067B3"/>
        </w:rPr>
      </w:pPr>
    </w:p>
    <w:p>
      <w:pPr>
        <w:ind w:left="380" w:hanging="146"/>
        <w:spacing w:after="0"/>
        <w:tabs>
          <w:tab w:leader="none" w:pos="380" w:val="left"/>
        </w:tabs>
        <w:numPr>
          <w:ilvl w:val="0"/>
          <w:numId w:val="29"/>
        </w:numPr>
        <w:rPr>
          <w:rFonts w:ascii="Arial" w:cs="Arial" w:eastAsia="Arial" w:hAnsi="Arial"/>
          <w:sz w:val="13"/>
          <w:szCs w:val="13"/>
          <w:color w:val="0067B3"/>
        </w:rPr>
      </w:pPr>
      <w:r>
        <w:rPr>
          <w:rFonts w:ascii="Arial" w:cs="Arial" w:eastAsia="Arial" w:hAnsi="Arial"/>
          <w:sz w:val="18"/>
          <w:szCs w:val="18"/>
          <w:color w:val="auto"/>
        </w:rPr>
        <w:t>Determining the appropriate materials to be provided to the Board of Directors;</w:t>
      </w:r>
    </w:p>
    <w:p>
      <w:pPr>
        <w:spacing w:after="0" w:line="90" w:lineRule="exact"/>
        <w:rPr>
          <w:rFonts w:ascii="Arial" w:cs="Arial" w:eastAsia="Arial" w:hAnsi="Arial"/>
          <w:sz w:val="13"/>
          <w:szCs w:val="13"/>
          <w:color w:val="0067B3"/>
        </w:rPr>
      </w:pPr>
    </w:p>
    <w:p>
      <w:pPr>
        <w:ind w:left="420" w:right="300" w:hanging="186"/>
        <w:spacing w:after="0" w:line="287" w:lineRule="auto"/>
        <w:tabs>
          <w:tab w:leader="none" w:pos="377" w:val="left"/>
        </w:tabs>
        <w:numPr>
          <w:ilvl w:val="0"/>
          <w:numId w:val="29"/>
        </w:numPr>
        <w:rPr>
          <w:rFonts w:ascii="Arial" w:cs="Arial" w:eastAsia="Arial" w:hAnsi="Arial"/>
          <w:sz w:val="13"/>
          <w:szCs w:val="13"/>
          <w:color w:val="0067B3"/>
        </w:rPr>
      </w:pPr>
      <w:r>
        <w:rPr>
          <w:rFonts w:ascii="Arial" w:cs="Arial" w:eastAsia="Arial" w:hAnsi="Arial"/>
          <w:sz w:val="18"/>
          <w:szCs w:val="18"/>
          <w:color w:val="auto"/>
        </w:rPr>
        <w:t>Serving as the focal point for shareholder communications with the independent directors and requests for consultation addressed to independent members of the Board of Directors;</w:t>
      </w:r>
    </w:p>
    <w:p>
      <w:pPr>
        <w:spacing w:after="0" w:line="4" w:lineRule="exact"/>
        <w:rPr>
          <w:rFonts w:ascii="Arial" w:cs="Arial" w:eastAsia="Arial" w:hAnsi="Arial"/>
          <w:sz w:val="13"/>
          <w:szCs w:val="13"/>
          <w:color w:val="0067B3"/>
        </w:rPr>
      </w:pPr>
    </w:p>
    <w:p>
      <w:pPr>
        <w:ind w:left="420" w:right="980" w:hanging="186"/>
        <w:spacing w:after="0" w:line="287" w:lineRule="auto"/>
        <w:tabs>
          <w:tab w:leader="none" w:pos="377" w:val="left"/>
        </w:tabs>
        <w:numPr>
          <w:ilvl w:val="0"/>
          <w:numId w:val="29"/>
        </w:numPr>
        <w:rPr>
          <w:rFonts w:ascii="Arial" w:cs="Arial" w:eastAsia="Arial" w:hAnsi="Arial"/>
          <w:sz w:val="13"/>
          <w:szCs w:val="13"/>
          <w:color w:val="0067B3"/>
        </w:rPr>
      </w:pPr>
      <w:r>
        <w:rPr>
          <w:rFonts w:ascii="Arial" w:cs="Arial" w:eastAsia="Arial" w:hAnsi="Arial"/>
          <w:sz w:val="18"/>
          <w:szCs w:val="18"/>
          <w:color w:val="auto"/>
        </w:rPr>
        <w:t>Retaining outside professionals on behalf of our Board of Directors as our Board of Directors may determine is necessary or appropriate; and</w:t>
      </w:r>
    </w:p>
    <w:p>
      <w:pPr>
        <w:spacing w:after="0" w:line="4" w:lineRule="exact"/>
        <w:rPr>
          <w:rFonts w:ascii="Arial" w:cs="Arial" w:eastAsia="Arial" w:hAnsi="Arial"/>
          <w:sz w:val="13"/>
          <w:szCs w:val="13"/>
          <w:color w:val="0067B3"/>
        </w:rPr>
      </w:pPr>
    </w:p>
    <w:p>
      <w:pPr>
        <w:ind w:left="380" w:hanging="146"/>
        <w:spacing w:after="0"/>
        <w:tabs>
          <w:tab w:leader="none" w:pos="380" w:val="left"/>
        </w:tabs>
        <w:numPr>
          <w:ilvl w:val="0"/>
          <w:numId w:val="29"/>
        </w:numPr>
        <w:rPr>
          <w:rFonts w:ascii="Arial" w:cs="Arial" w:eastAsia="Arial" w:hAnsi="Arial"/>
          <w:sz w:val="13"/>
          <w:szCs w:val="13"/>
          <w:color w:val="0067B3"/>
        </w:rPr>
      </w:pPr>
      <w:r>
        <w:rPr>
          <w:rFonts w:ascii="Arial" w:cs="Arial" w:eastAsia="Arial" w:hAnsi="Arial"/>
          <w:sz w:val="18"/>
          <w:szCs w:val="18"/>
          <w:color w:val="auto"/>
        </w:rPr>
        <w:t>Such other functions as our Board of Directors may direct from time to time.</w:t>
      </w:r>
    </w:p>
    <w:p>
      <w:pPr>
        <w:spacing w:after="0" w:line="200" w:lineRule="exact"/>
        <w:rPr>
          <w:sz w:val="20"/>
          <w:szCs w:val="20"/>
          <w:color w:val="auto"/>
        </w:rPr>
      </w:pPr>
    </w:p>
    <w:p>
      <w:pPr>
        <w:spacing w:after="0" w:line="390" w:lineRule="exact"/>
        <w:rPr>
          <w:sz w:val="20"/>
          <w:szCs w:val="20"/>
          <w:color w:val="auto"/>
        </w:rPr>
      </w:pPr>
    </w:p>
    <w:p>
      <w:pPr>
        <w:ind w:right="500"/>
        <w:spacing w:after="0" w:line="287" w:lineRule="auto"/>
        <w:rPr>
          <w:sz w:val="20"/>
          <w:szCs w:val="20"/>
          <w:color w:val="auto"/>
        </w:rPr>
      </w:pPr>
      <w:r>
        <w:rPr>
          <w:rFonts w:ascii="Arial" w:cs="Arial" w:eastAsia="Arial" w:hAnsi="Arial"/>
          <w:sz w:val="18"/>
          <w:szCs w:val="18"/>
          <w:color w:val="auto"/>
        </w:rPr>
        <w:t>The Board of Directors continues to review its leadership structure on a regular basis to evaluate whether the current structure remains appropriate for ADI.</w:t>
      </w:r>
    </w:p>
    <w:p>
      <w:pPr>
        <w:sectPr>
          <w:pgSz w:w="11900" w:h="16838" w:orient="portrait"/>
          <w:cols w:equalWidth="0" w:num="1">
            <w:col w:w="11220"/>
          </w:cols>
          <w:pgMar w:left="320" w:top="1356" w:right="359" w:bottom="1440" w:gutter="0" w:footer="0" w:header="0"/>
        </w:sectPr>
      </w:pPr>
    </w:p>
    <w:p>
      <w:pPr>
        <w:spacing w:after="0" w:line="200" w:lineRule="exact"/>
        <w:rPr>
          <w:sz w:val="20"/>
          <w:szCs w:val="20"/>
          <w:color w:val="auto"/>
        </w:rPr>
      </w:pPr>
    </w:p>
    <w:p>
      <w:pPr>
        <w:spacing w:after="0" w:line="266" w:lineRule="exact"/>
        <w:rPr>
          <w:sz w:val="20"/>
          <w:szCs w:val="20"/>
          <w:color w:val="auto"/>
        </w:rPr>
      </w:pPr>
    </w:p>
    <w:p>
      <w:pPr>
        <w:ind w:left="640" w:hanging="614"/>
        <w:spacing w:after="0"/>
        <w:tabs>
          <w:tab w:leader="none" w:pos="640" w:val="left"/>
        </w:tabs>
        <w:numPr>
          <w:ilvl w:val="0"/>
          <w:numId w:val="30"/>
        </w:numPr>
        <w:rPr>
          <w:rFonts w:ascii="Arial" w:cs="Arial" w:eastAsia="Arial" w:hAnsi="Arial"/>
          <w:sz w:val="20"/>
          <w:szCs w:val="20"/>
          <w:b w:val="1"/>
          <w:bCs w:val="1"/>
          <w:color w:val="auto"/>
        </w:rPr>
      </w:pPr>
      <w:r>
        <w:rPr>
          <w:rFonts w:ascii="Arial" w:cs="Arial" w:eastAsia="Arial" w:hAnsi="Arial"/>
          <w:sz w:val="16"/>
          <w:szCs w:val="16"/>
          <w:color w:val="6D6E71"/>
        </w:rPr>
        <w:t>Corporate Governance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185420</wp:posOffset>
            </wp:positionV>
            <wp:extent cx="7157720" cy="4254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56" w:right="359" w:bottom="1440" w:gutter="0" w:footer="0" w:header="0"/>
          <w:type w:val="continuous"/>
        </w:sectPr>
      </w:pPr>
    </w:p>
    <w:bookmarkStart w:id="29" w:name="page30"/>
    <w:bookmarkEnd w:id="29"/>
    <w:p>
      <w:pPr>
        <w:spacing w:after="0"/>
        <w:rPr>
          <w:sz w:val="20"/>
          <w:szCs w:val="20"/>
          <w:color w:val="auto"/>
        </w:rPr>
      </w:pPr>
      <w:r>
        <w:rPr>
          <w:rFonts w:ascii="Arial" w:cs="Arial" w:eastAsia="Arial" w:hAnsi="Arial"/>
          <w:sz w:val="32"/>
          <w:szCs w:val="32"/>
          <w:b w:val="1"/>
          <w:bCs w:val="1"/>
          <w:color w:val="auto"/>
        </w:rPr>
        <w:t>Board Committees</w:t>
      </w:r>
    </w:p>
    <w:p>
      <w:pPr>
        <w:spacing w:after="0" w:line="156" w:lineRule="exact"/>
        <w:rPr>
          <w:sz w:val="20"/>
          <w:szCs w:val="20"/>
          <w:color w:val="auto"/>
        </w:rPr>
      </w:pPr>
    </w:p>
    <w:p>
      <w:pPr>
        <w:ind w:right="100"/>
        <w:spacing w:after="0" w:line="256" w:lineRule="auto"/>
        <w:rPr>
          <w:sz w:val="20"/>
          <w:szCs w:val="20"/>
          <w:color w:val="auto"/>
        </w:rPr>
      </w:pPr>
      <w:r>
        <w:rPr>
          <w:rFonts w:ascii="Arial" w:cs="Arial" w:eastAsia="Arial" w:hAnsi="Arial"/>
          <w:sz w:val="18"/>
          <w:szCs w:val="18"/>
          <w:color w:val="auto"/>
        </w:rPr>
        <w:t>Our Board of Directors has standing Audit, Compensation and Talent, Nominating and Corporate Governance, and Corporate Development Committees. Each of the committees is comprised of independent, non-employee directors. Each committee has a charter that has been approved by the Board of Directors and is reviewed annually. In addition, each committee conducts an annual self-evaluation of its own performance and the performance of its members in accordance with its respective committee charter. Mr. Roche is the only current director who is, or has been in the past three years, an employee of ADI. Messrs. Roche and Stata do not serve on any standing committee and do not participate in the portion of any Board or committee meeting during which their compensation is evaluated or in sessions comprised solely of independent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144780</wp:posOffset>
            </wp:positionV>
            <wp:extent cx="7132320" cy="466344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132320" cy="4663440"/>
                    </a:xfrm>
                    <a:prstGeom prst="rect">
                      <a:avLst/>
                    </a:prstGeom>
                    <a:noFill/>
                  </pic:spPr>
                </pic:pic>
              </a:graphicData>
            </a:graphic>
          </wp:anchor>
        </w:drawing>
      </w:r>
    </w:p>
    <w:p>
      <w:pPr>
        <w:sectPr>
          <w:pgSz w:w="11900" w:h="16838" w:orient="portrait"/>
          <w:cols w:equalWidth="0" w:num="1">
            <w:col w:w="11220"/>
          </w:cols>
          <w:pgMar w:left="320" w:top="1311" w:right="359" w:bottom="1440" w:gutter="0" w:footer="0" w:header="0"/>
        </w:sectPr>
      </w:pPr>
    </w:p>
    <w:p>
      <w:pPr>
        <w:spacing w:after="0" w:line="200" w:lineRule="exact"/>
        <w:rPr>
          <w:sz w:val="20"/>
          <w:szCs w:val="20"/>
          <w:color w:val="auto"/>
        </w:rPr>
      </w:pPr>
    </w:p>
    <w:p>
      <w:pPr>
        <w:spacing w:after="0" w:line="350" w:lineRule="exact"/>
        <w:rPr>
          <w:sz w:val="20"/>
          <w:szCs w:val="20"/>
          <w:color w:val="auto"/>
        </w:rPr>
      </w:pPr>
    </w:p>
    <w:p>
      <w:pPr>
        <w:ind w:left="220"/>
        <w:spacing w:after="0"/>
        <w:rPr>
          <w:sz w:val="20"/>
          <w:szCs w:val="20"/>
          <w:color w:val="auto"/>
        </w:rPr>
      </w:pPr>
      <w:r>
        <w:rPr>
          <w:rFonts w:ascii="Arial" w:cs="Arial" w:eastAsia="Arial" w:hAnsi="Arial"/>
          <w:sz w:val="27"/>
          <w:szCs w:val="27"/>
          <w:b w:val="1"/>
          <w:bCs w:val="1"/>
          <w:color w:val="0067B3"/>
        </w:rPr>
        <w:t>Audit</w:t>
      </w:r>
    </w:p>
    <w:p>
      <w:pPr>
        <w:spacing w:after="0" w:line="15" w:lineRule="exact"/>
        <w:rPr>
          <w:sz w:val="20"/>
          <w:szCs w:val="20"/>
          <w:color w:val="auto"/>
        </w:rPr>
      </w:pPr>
    </w:p>
    <w:p>
      <w:pPr>
        <w:ind w:left="220"/>
        <w:spacing w:after="0"/>
        <w:rPr>
          <w:sz w:val="20"/>
          <w:szCs w:val="20"/>
          <w:color w:val="auto"/>
        </w:rPr>
      </w:pPr>
      <w:r>
        <w:rPr>
          <w:rFonts w:ascii="Arial" w:cs="Arial" w:eastAsia="Arial" w:hAnsi="Arial"/>
          <w:sz w:val="27"/>
          <w:szCs w:val="27"/>
          <w:b w:val="1"/>
          <w:bCs w:val="1"/>
          <w:color w:val="0067B3"/>
        </w:rPr>
        <w:t>Committee</w:t>
      </w:r>
    </w:p>
    <w:p>
      <w:pPr>
        <w:spacing w:after="0" w:line="118" w:lineRule="exact"/>
        <w:rPr>
          <w:sz w:val="20"/>
          <w:szCs w:val="20"/>
          <w:color w:val="auto"/>
        </w:rPr>
      </w:pPr>
    </w:p>
    <w:p>
      <w:pPr>
        <w:ind w:left="220"/>
        <w:spacing w:after="0"/>
        <w:rPr>
          <w:sz w:val="20"/>
          <w:szCs w:val="20"/>
          <w:color w:val="auto"/>
        </w:rPr>
      </w:pPr>
      <w:r>
        <w:rPr>
          <w:rFonts w:ascii="Arial" w:cs="Arial" w:eastAsia="Arial" w:hAnsi="Arial"/>
          <w:sz w:val="18"/>
          <w:szCs w:val="18"/>
          <w:b w:val="1"/>
          <w:bCs w:val="1"/>
          <w:color w:val="auto"/>
        </w:rPr>
        <w:t>Members</w:t>
      </w:r>
    </w:p>
    <w:p>
      <w:pPr>
        <w:spacing w:after="0" w:line="27" w:lineRule="exact"/>
        <w:rPr>
          <w:sz w:val="20"/>
          <w:szCs w:val="20"/>
          <w:color w:val="auto"/>
        </w:rPr>
      </w:pPr>
    </w:p>
    <w:p>
      <w:pPr>
        <w:ind w:left="220"/>
        <w:spacing w:after="0"/>
        <w:rPr>
          <w:sz w:val="20"/>
          <w:szCs w:val="20"/>
          <w:color w:val="auto"/>
        </w:rPr>
      </w:pPr>
      <w:r>
        <w:rPr>
          <w:rFonts w:ascii="Arial" w:cs="Arial" w:eastAsia="Arial" w:hAnsi="Arial"/>
          <w:sz w:val="18"/>
          <w:szCs w:val="18"/>
          <w:color w:val="0067B3"/>
        </w:rPr>
        <w:t>Karen M. Golz (Chair)</w:t>
      </w:r>
    </w:p>
    <w:p>
      <w:pPr>
        <w:spacing w:after="0" w:line="9" w:lineRule="exact"/>
        <w:rPr>
          <w:sz w:val="20"/>
          <w:szCs w:val="20"/>
          <w:color w:val="auto"/>
        </w:rPr>
      </w:pPr>
    </w:p>
    <w:p>
      <w:pPr>
        <w:ind w:left="220" w:right="320"/>
        <w:spacing w:after="0" w:line="296" w:lineRule="auto"/>
        <w:rPr>
          <w:sz w:val="20"/>
          <w:szCs w:val="20"/>
          <w:color w:val="auto"/>
        </w:rPr>
      </w:pPr>
      <w:r>
        <w:rPr>
          <w:rFonts w:ascii="Arial" w:cs="Arial" w:eastAsia="Arial" w:hAnsi="Arial"/>
          <w:sz w:val="17"/>
          <w:szCs w:val="17"/>
          <w:color w:val="auto"/>
        </w:rPr>
        <w:t>Peter B. Henry Mercedes Johnson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ind w:left="220"/>
        <w:spacing w:after="0"/>
        <w:rPr>
          <w:sz w:val="20"/>
          <w:szCs w:val="20"/>
          <w:color w:val="auto"/>
        </w:rPr>
      </w:pPr>
      <w:r>
        <w:rPr>
          <w:rFonts w:ascii="Arial" w:cs="Arial" w:eastAsia="Arial" w:hAnsi="Arial"/>
          <w:sz w:val="18"/>
          <w:szCs w:val="18"/>
          <w:b w:val="1"/>
          <w:bCs w:val="1"/>
          <w:color w:val="auto"/>
        </w:rPr>
        <w:t xml:space="preserve">Meetings in 2025: </w:t>
      </w: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color w:val="0067B3"/>
        </w:rPr>
        <w:t>PRINCIPAL RESPONSIBILITIES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 primary purpose of the Audit Committee is to assist our Board of Directors’ oversight of:</w:t>
      </w:r>
    </w:p>
    <w:p>
      <w:pPr>
        <w:spacing w:after="0" w:line="117" w:lineRule="exact"/>
        <w:rPr>
          <w:sz w:val="20"/>
          <w:szCs w:val="20"/>
          <w:color w:val="auto"/>
        </w:rPr>
      </w:pPr>
    </w:p>
    <w:p>
      <w:pPr>
        <w:ind w:left="200" w:right="160" w:hanging="195"/>
        <w:spacing w:after="0" w:line="287" w:lineRule="auto"/>
        <w:tabs>
          <w:tab w:leader="none" w:pos="157" w:val="left"/>
        </w:tabs>
        <w:numPr>
          <w:ilvl w:val="0"/>
          <w:numId w:val="31"/>
        </w:numPr>
        <w:rPr>
          <w:rFonts w:ascii="Arial" w:cs="Arial" w:eastAsia="Arial" w:hAnsi="Arial"/>
          <w:sz w:val="13"/>
          <w:szCs w:val="13"/>
          <w:color w:val="0067B3"/>
        </w:rPr>
      </w:pPr>
      <w:r>
        <w:rPr>
          <w:rFonts w:ascii="Arial" w:cs="Arial" w:eastAsia="Arial" w:hAnsi="Arial"/>
          <w:sz w:val="18"/>
          <w:szCs w:val="18"/>
          <w:color w:val="auto"/>
        </w:rPr>
        <w:t>The integrity of our financial statements, including regulatory requirements to the extent they pertain to financial matters;</w:t>
      </w:r>
    </w:p>
    <w:p>
      <w:pPr>
        <w:spacing w:after="0" w:line="17" w:lineRule="exact"/>
        <w:rPr>
          <w:rFonts w:ascii="Arial" w:cs="Arial" w:eastAsia="Arial" w:hAnsi="Arial"/>
          <w:sz w:val="13"/>
          <w:szCs w:val="13"/>
          <w:color w:val="0067B3"/>
        </w:rPr>
      </w:pPr>
    </w:p>
    <w:p>
      <w:pPr>
        <w:ind w:left="160" w:hanging="155"/>
        <w:spacing w:after="0"/>
        <w:tabs>
          <w:tab w:leader="none" w:pos="160" w:val="left"/>
        </w:tabs>
        <w:numPr>
          <w:ilvl w:val="0"/>
          <w:numId w:val="31"/>
        </w:numPr>
        <w:rPr>
          <w:rFonts w:ascii="Arial" w:cs="Arial" w:eastAsia="Arial" w:hAnsi="Arial"/>
          <w:sz w:val="13"/>
          <w:szCs w:val="13"/>
          <w:color w:val="0067B3"/>
        </w:rPr>
      </w:pPr>
      <w:r>
        <w:rPr>
          <w:rFonts w:ascii="Arial" w:cs="Arial" w:eastAsia="Arial" w:hAnsi="Arial"/>
          <w:sz w:val="18"/>
          <w:szCs w:val="18"/>
          <w:color w:val="auto"/>
        </w:rPr>
        <w:t>The qualifications and independence of our independent registered public accounting firm;</w:t>
      </w:r>
    </w:p>
    <w:p>
      <w:pPr>
        <w:spacing w:after="0" w:line="76" w:lineRule="exact"/>
        <w:rPr>
          <w:rFonts w:ascii="Arial" w:cs="Arial" w:eastAsia="Arial" w:hAnsi="Arial"/>
          <w:sz w:val="13"/>
          <w:szCs w:val="13"/>
          <w:color w:val="0067B3"/>
        </w:rPr>
      </w:pPr>
    </w:p>
    <w:p>
      <w:pPr>
        <w:ind w:left="160" w:hanging="155"/>
        <w:spacing w:after="0"/>
        <w:tabs>
          <w:tab w:leader="none" w:pos="160" w:val="left"/>
        </w:tabs>
        <w:numPr>
          <w:ilvl w:val="0"/>
          <w:numId w:val="31"/>
        </w:numPr>
        <w:rPr>
          <w:rFonts w:ascii="Arial" w:cs="Arial" w:eastAsia="Arial" w:hAnsi="Arial"/>
          <w:sz w:val="13"/>
          <w:szCs w:val="13"/>
          <w:color w:val="0067B3"/>
        </w:rPr>
      </w:pPr>
      <w:r>
        <w:rPr>
          <w:rFonts w:ascii="Arial" w:cs="Arial" w:eastAsia="Arial" w:hAnsi="Arial"/>
          <w:sz w:val="18"/>
          <w:szCs w:val="18"/>
          <w:color w:val="auto"/>
        </w:rPr>
        <w:t>The performance of our internal audit function and independent registered public accounting firm;</w:t>
      </w:r>
    </w:p>
    <w:p>
      <w:pPr>
        <w:spacing w:after="0" w:line="76" w:lineRule="exact"/>
        <w:rPr>
          <w:rFonts w:ascii="Arial" w:cs="Arial" w:eastAsia="Arial" w:hAnsi="Arial"/>
          <w:sz w:val="13"/>
          <w:szCs w:val="13"/>
          <w:color w:val="0067B3"/>
        </w:rPr>
      </w:pPr>
    </w:p>
    <w:p>
      <w:pPr>
        <w:ind w:left="200" w:right="420" w:hanging="195"/>
        <w:spacing w:after="0" w:line="287" w:lineRule="auto"/>
        <w:tabs>
          <w:tab w:leader="none" w:pos="157" w:val="left"/>
        </w:tabs>
        <w:numPr>
          <w:ilvl w:val="0"/>
          <w:numId w:val="31"/>
        </w:numPr>
        <w:rPr>
          <w:rFonts w:ascii="Arial" w:cs="Arial" w:eastAsia="Arial" w:hAnsi="Arial"/>
          <w:sz w:val="13"/>
          <w:szCs w:val="13"/>
          <w:color w:val="0067B3"/>
        </w:rPr>
      </w:pPr>
      <w:r>
        <w:rPr>
          <w:rFonts w:ascii="Arial" w:cs="Arial" w:eastAsia="Arial" w:hAnsi="Arial"/>
          <w:sz w:val="18"/>
          <w:szCs w:val="18"/>
          <w:color w:val="auto"/>
        </w:rPr>
        <w:t>The process relating to internal enterprise risk management, control systems, and review of related person transactions;</w:t>
      </w:r>
    </w:p>
    <w:p>
      <w:pPr>
        <w:spacing w:after="0" w:line="17" w:lineRule="exact"/>
        <w:rPr>
          <w:rFonts w:ascii="Arial" w:cs="Arial" w:eastAsia="Arial" w:hAnsi="Arial"/>
          <w:sz w:val="13"/>
          <w:szCs w:val="13"/>
          <w:color w:val="0067B3"/>
        </w:rPr>
      </w:pPr>
    </w:p>
    <w:p>
      <w:pPr>
        <w:ind w:left="200" w:right="140" w:hanging="195"/>
        <w:spacing w:after="0" w:line="268" w:lineRule="auto"/>
        <w:tabs>
          <w:tab w:leader="none" w:pos="157" w:val="left"/>
        </w:tabs>
        <w:numPr>
          <w:ilvl w:val="0"/>
          <w:numId w:val="31"/>
        </w:numPr>
        <w:rPr>
          <w:rFonts w:ascii="Arial" w:cs="Arial" w:eastAsia="Arial" w:hAnsi="Arial"/>
          <w:sz w:val="13"/>
          <w:szCs w:val="13"/>
          <w:color w:val="0067B3"/>
        </w:rPr>
      </w:pPr>
      <w:r>
        <w:rPr>
          <w:rFonts w:ascii="Arial" w:cs="Arial" w:eastAsia="Arial" w:hAnsi="Arial"/>
          <w:sz w:val="18"/>
          <w:szCs w:val="18"/>
          <w:color w:val="auto"/>
        </w:rPr>
        <w:t>Our capital allocation and structure, including potential issuance of debt and equity securities, credit agreements, letters of credit, guarantees and other financial instruments, investment policy, dividends, stock splits, and stock repurchases;</w:t>
      </w:r>
    </w:p>
    <w:p>
      <w:pPr>
        <w:spacing w:after="0" w:line="22" w:lineRule="exact"/>
        <w:rPr>
          <w:rFonts w:ascii="Arial" w:cs="Arial" w:eastAsia="Arial" w:hAnsi="Arial"/>
          <w:sz w:val="13"/>
          <w:szCs w:val="13"/>
          <w:color w:val="0067B3"/>
        </w:rPr>
      </w:pPr>
    </w:p>
    <w:p>
      <w:pPr>
        <w:ind w:left="160" w:hanging="155"/>
        <w:spacing w:after="0"/>
        <w:tabs>
          <w:tab w:leader="none" w:pos="160" w:val="left"/>
        </w:tabs>
        <w:numPr>
          <w:ilvl w:val="0"/>
          <w:numId w:val="31"/>
        </w:numPr>
        <w:rPr>
          <w:rFonts w:ascii="Arial" w:cs="Arial" w:eastAsia="Arial" w:hAnsi="Arial"/>
          <w:sz w:val="13"/>
          <w:szCs w:val="13"/>
          <w:color w:val="0067B3"/>
        </w:rPr>
      </w:pPr>
      <w:r>
        <w:rPr>
          <w:rFonts w:ascii="Arial" w:cs="Arial" w:eastAsia="Arial" w:hAnsi="Arial"/>
          <w:sz w:val="18"/>
          <w:szCs w:val="18"/>
          <w:color w:val="auto"/>
        </w:rPr>
        <w:t>Our significant risks or exposures;</w:t>
      </w:r>
    </w:p>
    <w:p>
      <w:pPr>
        <w:spacing w:after="0" w:line="76" w:lineRule="exact"/>
        <w:rPr>
          <w:rFonts w:ascii="Arial" w:cs="Arial" w:eastAsia="Arial" w:hAnsi="Arial"/>
          <w:sz w:val="13"/>
          <w:szCs w:val="13"/>
          <w:color w:val="0067B3"/>
        </w:rPr>
      </w:pPr>
    </w:p>
    <w:p>
      <w:pPr>
        <w:ind w:left="160" w:hanging="155"/>
        <w:spacing w:after="0"/>
        <w:tabs>
          <w:tab w:leader="none" w:pos="160" w:val="left"/>
        </w:tabs>
        <w:numPr>
          <w:ilvl w:val="0"/>
          <w:numId w:val="31"/>
        </w:numPr>
        <w:rPr>
          <w:rFonts w:ascii="Arial" w:cs="Arial" w:eastAsia="Arial" w:hAnsi="Arial"/>
          <w:sz w:val="13"/>
          <w:szCs w:val="13"/>
          <w:color w:val="0067B3"/>
        </w:rPr>
      </w:pPr>
      <w:r>
        <w:rPr>
          <w:rFonts w:ascii="Arial" w:cs="Arial" w:eastAsia="Arial" w:hAnsi="Arial"/>
          <w:sz w:val="18"/>
          <w:szCs w:val="18"/>
          <w:color w:val="auto"/>
        </w:rPr>
        <w:t>Our cybersecurity and information security programs, practices, and risk mitigation efforts;</w:t>
      </w:r>
    </w:p>
    <w:p>
      <w:pPr>
        <w:spacing w:after="0" w:line="90" w:lineRule="exact"/>
        <w:rPr>
          <w:rFonts w:ascii="Arial" w:cs="Arial" w:eastAsia="Arial" w:hAnsi="Arial"/>
          <w:sz w:val="13"/>
          <w:szCs w:val="13"/>
          <w:color w:val="0067B3"/>
        </w:rPr>
      </w:pPr>
    </w:p>
    <w:p>
      <w:pPr>
        <w:ind w:left="200" w:right="820" w:hanging="195"/>
        <w:spacing w:after="0" w:line="287" w:lineRule="auto"/>
        <w:tabs>
          <w:tab w:leader="none" w:pos="157" w:val="left"/>
        </w:tabs>
        <w:numPr>
          <w:ilvl w:val="0"/>
          <w:numId w:val="31"/>
        </w:numPr>
        <w:rPr>
          <w:rFonts w:ascii="Arial" w:cs="Arial" w:eastAsia="Arial" w:hAnsi="Arial"/>
          <w:sz w:val="13"/>
          <w:szCs w:val="13"/>
          <w:color w:val="0067B3"/>
        </w:rPr>
      </w:pPr>
      <w:r>
        <w:rPr>
          <w:rFonts w:ascii="Arial" w:cs="Arial" w:eastAsia="Arial" w:hAnsi="Arial"/>
          <w:sz w:val="18"/>
          <w:szCs w:val="18"/>
          <w:color w:val="auto"/>
        </w:rPr>
        <w:t>Legal, compliance, and regulatory matters that could have a significant impact on our financial statements; and</w:t>
      </w:r>
    </w:p>
    <w:p>
      <w:pPr>
        <w:spacing w:after="0" w:line="4" w:lineRule="exact"/>
        <w:rPr>
          <w:rFonts w:ascii="Arial" w:cs="Arial" w:eastAsia="Arial" w:hAnsi="Arial"/>
          <w:sz w:val="13"/>
          <w:szCs w:val="13"/>
          <w:color w:val="0067B3"/>
        </w:rPr>
      </w:pPr>
    </w:p>
    <w:p>
      <w:pPr>
        <w:ind w:left="160" w:hanging="155"/>
        <w:spacing w:after="0"/>
        <w:tabs>
          <w:tab w:leader="none" w:pos="160" w:val="left"/>
        </w:tabs>
        <w:numPr>
          <w:ilvl w:val="0"/>
          <w:numId w:val="31"/>
        </w:numPr>
        <w:rPr>
          <w:rFonts w:ascii="Arial" w:cs="Arial" w:eastAsia="Arial" w:hAnsi="Arial"/>
          <w:sz w:val="13"/>
          <w:szCs w:val="13"/>
          <w:color w:val="0067B3"/>
        </w:rPr>
      </w:pPr>
      <w:r>
        <w:rPr>
          <w:rFonts w:ascii="Arial" w:cs="Arial" w:eastAsia="Arial" w:hAnsi="Arial"/>
          <w:sz w:val="18"/>
          <w:szCs w:val="18"/>
          <w:color w:val="auto"/>
        </w:rPr>
        <w:t>Our financial outlook and plans for financing our working and long-term capital requirements.</w:t>
      </w:r>
    </w:p>
    <w:p>
      <w:pPr>
        <w:spacing w:after="0" w:line="117"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Our Board of Directors has determined that each of Mses. Golz and Johnson qualifies as an “audit committee financial expert” under the rules of the SEC, and that each of Mses. Golz and Johnson and Dr. Henry is independent as defined under the Nasdaq Rules and the independence requirements under Rule 10A-3(b)(1) of the Exchange Act. In addition, our Board of Directors has determined that each member of the Audit Committee is able to read and understand financial statements, including ADI’s consolidated balance sheet and its consolidated statements of income, comprehensive income, shareholders’ equity, and cash flows, and related notes as required under the Nasdaq Rules. Our Board of Directors has certified that it has at least one member of the Audit Committee who has past employment experience in finance or accounting as required by the Nasdaq Rules.</w:t>
      </w:r>
    </w:p>
    <w:p>
      <w:pPr>
        <w:spacing w:after="0" w:line="73" w:lineRule="exact"/>
        <w:rPr>
          <w:sz w:val="20"/>
          <w:szCs w:val="20"/>
          <w:color w:val="auto"/>
        </w:rPr>
      </w:pPr>
    </w:p>
    <w:p>
      <w:pPr>
        <w:ind w:right="200"/>
        <w:spacing w:after="0" w:line="287" w:lineRule="auto"/>
        <w:rPr>
          <w:sz w:val="20"/>
          <w:szCs w:val="20"/>
          <w:color w:val="auto"/>
        </w:rPr>
      </w:pPr>
      <w:r>
        <w:rPr>
          <w:rFonts w:ascii="Arial" w:cs="Arial" w:eastAsia="Arial" w:hAnsi="Arial"/>
          <w:sz w:val="18"/>
          <w:szCs w:val="18"/>
          <w:color w:val="auto"/>
        </w:rPr>
        <w:t xml:space="preserve">The responsibilities of our Audit Committee and its activities during fiscal year 2025 are described in the Report of the Audit Committee in the </w:t>
      </w:r>
      <w:r>
        <w:rPr>
          <w:rFonts w:ascii="Arial" w:cs="Arial" w:eastAsia="Arial" w:hAnsi="Arial"/>
          <w:sz w:val="18"/>
          <w:szCs w:val="18"/>
          <w:i w:val="1"/>
          <w:iCs w:val="1"/>
          <w:color w:val="auto"/>
        </w:rPr>
        <w:t>Audit Matters</w:t>
      </w:r>
      <w:r>
        <w:rPr>
          <w:rFonts w:ascii="Arial" w:cs="Arial" w:eastAsia="Arial" w:hAnsi="Arial"/>
          <w:sz w:val="18"/>
          <w:szCs w:val="18"/>
          <w:color w:val="auto"/>
        </w:rPr>
        <w:t xml:space="preserve"> section of this Proxy Statement.</w:t>
      </w:r>
    </w:p>
    <w:p>
      <w:pPr>
        <w:spacing w:after="0" w:line="200" w:lineRule="exact"/>
        <w:rPr>
          <w:sz w:val="20"/>
          <w:szCs w:val="20"/>
          <w:color w:val="auto"/>
        </w:rPr>
      </w:pPr>
    </w:p>
    <w:p>
      <w:pPr>
        <w:sectPr>
          <w:pgSz w:w="11900" w:h="16838" w:orient="portrait"/>
          <w:cols w:equalWidth="0" w:num="2">
            <w:col w:w="2060" w:space="720"/>
            <w:col w:w="8440"/>
          </w:cols>
          <w:pgMar w:left="320" w:top="1311" w:right="359" w:bottom="1440" w:gutter="0" w:footer="0" w:header="0"/>
          <w:type w:val="continuous"/>
        </w:sectPr>
      </w:pPr>
    </w:p>
    <w:p>
      <w:pPr>
        <w:spacing w:after="0" w:line="304" w:lineRule="exact"/>
        <w:rPr>
          <w:sz w:val="20"/>
          <w:szCs w:val="20"/>
          <w:color w:val="auto"/>
        </w:rPr>
      </w:pPr>
    </w:p>
    <w:p>
      <w:pPr>
        <w:ind w:right="260"/>
        <w:spacing w:after="0" w:line="268" w:lineRule="auto"/>
        <w:rPr>
          <w:sz w:val="20"/>
          <w:szCs w:val="20"/>
          <w:color w:val="auto"/>
        </w:rPr>
      </w:pPr>
      <w:r>
        <w:rPr>
          <w:rFonts w:ascii="Arial" w:cs="Arial" w:eastAsia="Arial" w:hAnsi="Arial"/>
          <w:sz w:val="18"/>
          <w:szCs w:val="18"/>
          <w:color w:val="auto"/>
        </w:rPr>
        <w:t>Our Audit Committee Charter provides that no member of the Audit Committee may serve on the audit committee of more than two other public companies in addition to ADI, unless approved by the Board of Directors. None of Mses. Golz or Johnson or Dr. Henry serve on the audit committees of more than two other public companies in addition to ADI.</w:t>
      </w:r>
    </w:p>
    <w:p>
      <w:pPr>
        <w:spacing w:after="0" w:line="63"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The Audit Committee has the authority to engage independent legal, accounting, and other advisors that it deems necessary or appropriate to carry out its responsibilities. These independent advisors may be the regular advisors to ADI. The Audit Committee is empowered, without further action by our Board of Directors, to cause ADI to pay the compensation of those advisors engaged by the Audit Committee. The Audit Committee is empowered to pre-approve all audit services to be provided to ADI and all other services to be provided to ADI by our independent auditor. The Audit Committee has delegated authority to the Chair of the Audit Committee to pre-approve any audit or non-audit services to be provided to ADI by the independent registered public accounting firm for which the cost is less than $100,000. The Audit Committee selected and appointed Ernst &amp; Young LLP, our independent registered public accounting firm, and did not retain any other advisors during fiscal year 2025.</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For additional information relating to our Audit Committee and independent auditor, see the </w:t>
      </w:r>
      <w:r>
        <w:rPr>
          <w:rFonts w:ascii="Arial" w:cs="Arial" w:eastAsia="Arial" w:hAnsi="Arial"/>
          <w:sz w:val="18"/>
          <w:szCs w:val="18"/>
          <w:i w:val="1"/>
          <w:iCs w:val="1"/>
          <w:color w:val="auto"/>
        </w:rPr>
        <w:t>Audit Matters</w:t>
      </w:r>
      <w:r>
        <w:rPr>
          <w:rFonts w:ascii="Arial" w:cs="Arial" w:eastAsia="Arial" w:hAnsi="Arial"/>
          <w:sz w:val="18"/>
          <w:szCs w:val="18"/>
          <w:color w:val="auto"/>
        </w:rPr>
        <w:t xml:space="preserve"> section of this Proxy Statement.</w:t>
      </w:r>
    </w:p>
    <w:p>
      <w:pPr>
        <w:sectPr>
          <w:pgSz w:w="11900" w:h="16838" w:orient="portrait"/>
          <w:cols w:equalWidth="0" w:num="1">
            <w:col w:w="11220"/>
          </w:cols>
          <w:pgMar w:left="320" w:top="1311" w:right="359" w:bottom="1440" w:gutter="0" w:footer="0" w:header="0"/>
          <w:type w:val="continuous"/>
        </w:sectPr>
      </w:pPr>
    </w:p>
    <w:p>
      <w:pPr>
        <w:spacing w:after="0" w:line="200" w:lineRule="exact"/>
        <w:rPr>
          <w:sz w:val="20"/>
          <w:szCs w:val="20"/>
          <w:color w:val="auto"/>
        </w:rPr>
      </w:pPr>
    </w:p>
    <w:p>
      <w:pPr>
        <w:spacing w:after="0" w:line="290" w:lineRule="exact"/>
        <w:rPr>
          <w:sz w:val="20"/>
          <w:szCs w:val="20"/>
          <w:color w:val="auto"/>
        </w:rPr>
      </w:pPr>
    </w:p>
    <w:p>
      <w:pPr>
        <w:ind w:left="8980"/>
        <w:spacing w:after="0"/>
        <w:tabs>
          <w:tab w:leader="none" w:pos="10980" w:val="left"/>
        </w:tabs>
        <w:rPr>
          <w:sz w:val="20"/>
          <w:szCs w:val="20"/>
          <w:color w:val="auto"/>
        </w:rPr>
      </w:pPr>
      <w:r>
        <w:rPr>
          <w:rFonts w:ascii="Arial" w:cs="Arial" w:eastAsia="Arial" w:hAnsi="Arial"/>
          <w:sz w:val="16"/>
          <w:szCs w:val="16"/>
          <w:color w:val="0067B3"/>
        </w:rPr>
        <w:t>2026 Proxy Statement</w:t>
      </w:r>
      <w:r>
        <w:rPr>
          <w:sz w:val="20"/>
          <w:szCs w:val="20"/>
          <w:color w:val="auto"/>
        </w:rPr>
        <w:tab/>
      </w:r>
      <w:r>
        <w:rPr>
          <w:rFonts w:ascii="Arial" w:cs="Arial" w:eastAsia="Arial" w:hAnsi="Arial"/>
          <w:sz w:val="19"/>
          <w:szCs w:val="19"/>
          <w:b w:val="1"/>
          <w:bCs w:val="1"/>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223520</wp:posOffset>
            </wp:positionV>
            <wp:extent cx="7157720" cy="4254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11" w:right="359" w:bottom="1440" w:gutter="0" w:footer="0" w:header="0"/>
          <w:type w:val="continuous"/>
        </w:sectPr>
      </w:pPr>
    </w:p>
    <w:bookmarkStart w:id="30" w:name="page31"/>
    <w:bookmarkEnd w:id="30"/>
    <w:p>
      <w:pPr>
        <w:spacing w:after="0" w:line="102" w:lineRule="exact"/>
        <w:rPr>
          <w:sz w:val="20"/>
          <w:szCs w:val="20"/>
          <w:color w:val="auto"/>
        </w:rPr>
      </w:pPr>
    </w:p>
    <w:p>
      <w:pPr>
        <w:ind w:left="220" w:right="20"/>
        <w:spacing w:after="0" w:line="253" w:lineRule="auto"/>
        <w:rPr>
          <w:sz w:val="20"/>
          <w:szCs w:val="20"/>
          <w:color w:val="auto"/>
        </w:rPr>
      </w:pPr>
      <w:r>
        <w:rPr>
          <w:rFonts w:ascii="Arial" w:cs="Arial" w:eastAsia="Arial" w:hAnsi="Arial"/>
          <w:sz w:val="27"/>
          <w:szCs w:val="27"/>
          <w:b w:val="1"/>
          <w:bCs w:val="1"/>
          <w:color w:val="0067B3"/>
        </w:rPr>
        <w:t>Compensation and Talent Committee</w:t>
      </w:r>
    </w:p>
    <w:p>
      <w:pPr>
        <w:spacing w:after="0" w:line="68" w:lineRule="exact"/>
        <w:rPr>
          <w:sz w:val="20"/>
          <w:szCs w:val="20"/>
          <w:color w:val="auto"/>
        </w:rPr>
      </w:pPr>
    </w:p>
    <w:p>
      <w:pPr>
        <w:ind w:left="220"/>
        <w:spacing w:after="0"/>
        <w:rPr>
          <w:sz w:val="20"/>
          <w:szCs w:val="20"/>
          <w:color w:val="auto"/>
        </w:rPr>
      </w:pPr>
      <w:r>
        <w:rPr>
          <w:rFonts w:ascii="Arial" w:cs="Arial" w:eastAsia="Arial" w:hAnsi="Arial"/>
          <w:sz w:val="18"/>
          <w:szCs w:val="18"/>
          <w:b w:val="1"/>
          <w:bCs w:val="1"/>
          <w:color w:val="auto"/>
        </w:rPr>
        <w:t>Members</w:t>
      </w:r>
    </w:p>
    <w:p>
      <w:pPr>
        <w:spacing w:after="0" w:line="27" w:lineRule="exact"/>
        <w:rPr>
          <w:sz w:val="20"/>
          <w:szCs w:val="20"/>
          <w:color w:val="auto"/>
        </w:rPr>
      </w:pPr>
    </w:p>
    <w:p>
      <w:pPr>
        <w:ind w:left="220"/>
        <w:spacing w:after="0"/>
        <w:rPr>
          <w:sz w:val="20"/>
          <w:szCs w:val="20"/>
          <w:color w:val="auto"/>
        </w:rPr>
      </w:pPr>
      <w:r>
        <w:rPr>
          <w:rFonts w:ascii="Arial" w:cs="Arial" w:eastAsia="Arial" w:hAnsi="Arial"/>
          <w:sz w:val="18"/>
          <w:szCs w:val="18"/>
          <w:color w:val="0067B3"/>
        </w:rPr>
        <w:t>André Andonian (Chair)</w:t>
      </w:r>
    </w:p>
    <w:p>
      <w:pPr>
        <w:spacing w:after="0" w:line="9" w:lineRule="exact"/>
        <w:rPr>
          <w:sz w:val="20"/>
          <w:szCs w:val="20"/>
          <w:color w:val="auto"/>
        </w:rPr>
      </w:pPr>
    </w:p>
    <w:p>
      <w:pPr>
        <w:ind w:left="220"/>
        <w:spacing w:after="0"/>
        <w:rPr>
          <w:sz w:val="20"/>
          <w:szCs w:val="20"/>
          <w:color w:val="auto"/>
        </w:rPr>
      </w:pPr>
      <w:r>
        <w:rPr>
          <w:rFonts w:ascii="Arial" w:cs="Arial" w:eastAsia="Arial" w:hAnsi="Arial"/>
          <w:sz w:val="18"/>
          <w:szCs w:val="18"/>
          <w:color w:val="auto"/>
        </w:rPr>
        <w:t>Edward H. Frank</w:t>
      </w:r>
    </w:p>
    <w:p>
      <w:pPr>
        <w:spacing w:after="0" w:line="9" w:lineRule="exact"/>
        <w:rPr>
          <w:sz w:val="20"/>
          <w:szCs w:val="20"/>
          <w:color w:val="auto"/>
        </w:rPr>
      </w:pPr>
    </w:p>
    <w:p>
      <w:pPr>
        <w:ind w:left="220"/>
        <w:spacing w:after="0"/>
        <w:rPr>
          <w:sz w:val="20"/>
          <w:szCs w:val="20"/>
          <w:color w:val="auto"/>
        </w:rPr>
      </w:pPr>
      <w:r>
        <w:rPr>
          <w:rFonts w:ascii="Arial" w:cs="Arial" w:eastAsia="Arial" w:hAnsi="Arial"/>
          <w:sz w:val="18"/>
          <w:szCs w:val="18"/>
          <w:color w:val="auto"/>
        </w:rPr>
        <w:t>Andrea F. Wainer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ind w:left="220"/>
        <w:spacing w:after="0"/>
        <w:rPr>
          <w:sz w:val="20"/>
          <w:szCs w:val="20"/>
          <w:color w:val="auto"/>
        </w:rPr>
      </w:pPr>
      <w:r>
        <w:rPr>
          <w:rFonts w:ascii="Arial" w:cs="Arial" w:eastAsia="Arial" w:hAnsi="Arial"/>
          <w:sz w:val="18"/>
          <w:szCs w:val="18"/>
          <w:b w:val="1"/>
          <w:bCs w:val="1"/>
          <w:color w:val="auto"/>
        </w:rPr>
        <w:t xml:space="preserve">Meetings in 2025: </w:t>
      </w: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b w:val="1"/>
          <w:bCs w:val="1"/>
          <w:color w:val="0067B3"/>
        </w:rPr>
        <w:t>PRINCIPAL RESPONSIBILITIES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-1759585</wp:posOffset>
            </wp:positionH>
            <wp:positionV relativeFrom="paragraph">
              <wp:posOffset>-273050</wp:posOffset>
            </wp:positionV>
            <wp:extent cx="7132320" cy="291465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132320" cy="2914650"/>
                    </a:xfrm>
                    <a:prstGeom prst="rect">
                      <a:avLst/>
                    </a:prstGeom>
                    <a:noFill/>
                  </pic:spPr>
                </pic:pic>
              </a:graphicData>
            </a:graphic>
          </wp:anchor>
        </w:drawing>
      </w:r>
    </w:p>
    <w:p>
      <w:pPr>
        <w:spacing w:after="0" w:line="97" w:lineRule="exact"/>
        <w:rPr>
          <w:sz w:val="20"/>
          <w:szCs w:val="20"/>
          <w:color w:val="auto"/>
        </w:rPr>
      </w:pPr>
    </w:p>
    <w:p>
      <w:pPr>
        <w:spacing w:after="0"/>
        <w:rPr>
          <w:sz w:val="20"/>
          <w:szCs w:val="20"/>
          <w:color w:val="auto"/>
        </w:rPr>
      </w:pPr>
      <w:r>
        <w:rPr>
          <w:rFonts w:ascii="Arial" w:cs="Arial" w:eastAsia="Arial" w:hAnsi="Arial"/>
          <w:sz w:val="18"/>
          <w:szCs w:val="18"/>
          <w:color w:val="auto"/>
        </w:rPr>
        <w:t>The primary responsibilities of the Compensation and Talent Committee are to:</w:t>
      </w:r>
    </w:p>
    <w:p>
      <w:pPr>
        <w:spacing w:after="0" w:line="117" w:lineRule="exact"/>
        <w:rPr>
          <w:sz w:val="20"/>
          <w:szCs w:val="20"/>
          <w:color w:val="auto"/>
        </w:rPr>
      </w:pPr>
    </w:p>
    <w:p>
      <w:pPr>
        <w:ind w:left="160" w:hanging="155"/>
        <w:spacing w:after="0"/>
        <w:tabs>
          <w:tab w:leader="none" w:pos="160" w:val="left"/>
        </w:tabs>
        <w:numPr>
          <w:ilvl w:val="0"/>
          <w:numId w:val="32"/>
        </w:numPr>
        <w:rPr>
          <w:rFonts w:ascii="Arial" w:cs="Arial" w:eastAsia="Arial" w:hAnsi="Arial"/>
          <w:sz w:val="13"/>
          <w:szCs w:val="13"/>
          <w:color w:val="0067B3"/>
        </w:rPr>
      </w:pPr>
      <w:r>
        <w:rPr>
          <w:rFonts w:ascii="Arial" w:cs="Arial" w:eastAsia="Arial" w:hAnsi="Arial"/>
          <w:sz w:val="18"/>
          <w:szCs w:val="18"/>
          <w:color w:val="auto"/>
        </w:rPr>
        <w:t>Evaluate and set the compensation of our CEO and Leadership Team;</w:t>
      </w:r>
    </w:p>
    <w:p>
      <w:pPr>
        <w:spacing w:after="0" w:line="90" w:lineRule="exact"/>
        <w:rPr>
          <w:rFonts w:ascii="Arial" w:cs="Arial" w:eastAsia="Arial" w:hAnsi="Arial"/>
          <w:sz w:val="13"/>
          <w:szCs w:val="13"/>
          <w:color w:val="0067B3"/>
        </w:rPr>
      </w:pPr>
    </w:p>
    <w:p>
      <w:pPr>
        <w:ind w:left="160" w:hanging="155"/>
        <w:spacing w:after="0"/>
        <w:tabs>
          <w:tab w:leader="none" w:pos="160" w:val="left"/>
        </w:tabs>
        <w:numPr>
          <w:ilvl w:val="0"/>
          <w:numId w:val="32"/>
        </w:numPr>
        <w:rPr>
          <w:rFonts w:ascii="Arial" w:cs="Arial" w:eastAsia="Arial" w:hAnsi="Arial"/>
          <w:sz w:val="13"/>
          <w:szCs w:val="13"/>
          <w:color w:val="0067B3"/>
        </w:rPr>
      </w:pPr>
      <w:r>
        <w:rPr>
          <w:rFonts w:ascii="Arial" w:cs="Arial" w:eastAsia="Arial" w:hAnsi="Arial"/>
          <w:sz w:val="18"/>
          <w:szCs w:val="18"/>
          <w:color w:val="auto"/>
        </w:rPr>
        <w:t>Make recommendations to our Board of Directors regarding the compensation of our directors;</w:t>
      </w:r>
    </w:p>
    <w:p>
      <w:pPr>
        <w:spacing w:after="0" w:line="76" w:lineRule="exact"/>
        <w:rPr>
          <w:rFonts w:ascii="Arial" w:cs="Arial" w:eastAsia="Arial" w:hAnsi="Arial"/>
          <w:sz w:val="13"/>
          <w:szCs w:val="13"/>
          <w:color w:val="0067B3"/>
        </w:rPr>
      </w:pPr>
    </w:p>
    <w:p>
      <w:pPr>
        <w:ind w:left="200" w:right="80" w:hanging="195"/>
        <w:spacing w:after="0" w:line="268" w:lineRule="auto"/>
        <w:tabs>
          <w:tab w:leader="none" w:pos="157" w:val="left"/>
        </w:tabs>
        <w:numPr>
          <w:ilvl w:val="0"/>
          <w:numId w:val="32"/>
        </w:numPr>
        <w:rPr>
          <w:rFonts w:ascii="Arial" w:cs="Arial" w:eastAsia="Arial" w:hAnsi="Arial"/>
          <w:sz w:val="13"/>
          <w:szCs w:val="13"/>
          <w:color w:val="0067B3"/>
        </w:rPr>
      </w:pPr>
      <w:r>
        <w:rPr>
          <w:rFonts w:ascii="Arial" w:cs="Arial" w:eastAsia="Arial" w:hAnsi="Arial"/>
          <w:sz w:val="18"/>
          <w:szCs w:val="18"/>
          <w:color w:val="auto"/>
        </w:rPr>
        <w:t>Review, and make recommendations to our Board of Directors with respect to, incentive compensation plans and equity-based plans, and exercise all rights, authority, and functions with respect to such plans;</w:t>
      </w:r>
    </w:p>
    <w:p>
      <w:pPr>
        <w:spacing w:after="0" w:line="22" w:lineRule="exact"/>
        <w:rPr>
          <w:rFonts w:ascii="Arial" w:cs="Arial" w:eastAsia="Arial" w:hAnsi="Arial"/>
          <w:sz w:val="13"/>
          <w:szCs w:val="13"/>
          <w:color w:val="0067B3"/>
        </w:rPr>
      </w:pPr>
    </w:p>
    <w:p>
      <w:pPr>
        <w:jc w:val="both"/>
        <w:ind w:left="200" w:right="80" w:hanging="195"/>
        <w:spacing w:after="0" w:line="268" w:lineRule="auto"/>
        <w:tabs>
          <w:tab w:leader="none" w:pos="157" w:val="left"/>
        </w:tabs>
        <w:numPr>
          <w:ilvl w:val="0"/>
          <w:numId w:val="32"/>
        </w:numPr>
        <w:rPr>
          <w:rFonts w:ascii="Arial" w:cs="Arial" w:eastAsia="Arial" w:hAnsi="Arial"/>
          <w:sz w:val="13"/>
          <w:szCs w:val="13"/>
          <w:color w:val="0067B3"/>
        </w:rPr>
      </w:pPr>
      <w:r>
        <w:rPr>
          <w:rFonts w:ascii="Arial" w:cs="Arial" w:eastAsia="Arial" w:hAnsi="Arial"/>
          <w:sz w:val="18"/>
          <w:szCs w:val="18"/>
          <w:color w:val="auto"/>
        </w:rPr>
        <w:t>Oversee our policies, strategies, and programs relating to human capital management, including those with respect to diversity, equity and inclusion, talent recruitment and retention, employee engagement, pay equity practices, workplace health and safety and cultural initiatives;</w:t>
      </w:r>
    </w:p>
    <w:p>
      <w:pPr>
        <w:spacing w:after="0" w:line="35" w:lineRule="exact"/>
        <w:rPr>
          <w:rFonts w:ascii="Arial" w:cs="Arial" w:eastAsia="Arial" w:hAnsi="Arial"/>
          <w:sz w:val="13"/>
          <w:szCs w:val="13"/>
          <w:color w:val="0067B3"/>
        </w:rPr>
      </w:pPr>
    </w:p>
    <w:p>
      <w:pPr>
        <w:ind w:left="160" w:hanging="155"/>
        <w:spacing w:after="0"/>
        <w:tabs>
          <w:tab w:leader="none" w:pos="160" w:val="left"/>
        </w:tabs>
        <w:numPr>
          <w:ilvl w:val="0"/>
          <w:numId w:val="32"/>
        </w:numPr>
        <w:rPr>
          <w:rFonts w:ascii="Arial" w:cs="Arial" w:eastAsia="Arial" w:hAnsi="Arial"/>
          <w:sz w:val="13"/>
          <w:szCs w:val="13"/>
          <w:color w:val="0067B3"/>
        </w:rPr>
      </w:pPr>
      <w:r>
        <w:rPr>
          <w:rFonts w:ascii="Arial" w:cs="Arial" w:eastAsia="Arial" w:hAnsi="Arial"/>
          <w:sz w:val="18"/>
          <w:szCs w:val="18"/>
          <w:color w:val="auto"/>
        </w:rPr>
        <w:t>Oversee management of the risks associated with our compensation practices and policies; and</w:t>
      </w:r>
    </w:p>
    <w:p>
      <w:pPr>
        <w:spacing w:after="0" w:line="76" w:lineRule="exact"/>
        <w:rPr>
          <w:rFonts w:ascii="Arial" w:cs="Arial" w:eastAsia="Arial" w:hAnsi="Arial"/>
          <w:sz w:val="13"/>
          <w:szCs w:val="13"/>
          <w:color w:val="0067B3"/>
        </w:rPr>
      </w:pPr>
    </w:p>
    <w:p>
      <w:pPr>
        <w:ind w:left="160" w:hanging="155"/>
        <w:spacing w:after="0"/>
        <w:tabs>
          <w:tab w:leader="none" w:pos="160" w:val="left"/>
        </w:tabs>
        <w:numPr>
          <w:ilvl w:val="0"/>
          <w:numId w:val="32"/>
        </w:numPr>
        <w:rPr>
          <w:rFonts w:ascii="Arial" w:cs="Arial" w:eastAsia="Arial" w:hAnsi="Arial"/>
          <w:sz w:val="13"/>
          <w:szCs w:val="13"/>
          <w:color w:val="0067B3"/>
        </w:rPr>
      </w:pPr>
      <w:r>
        <w:rPr>
          <w:rFonts w:ascii="Arial" w:cs="Arial" w:eastAsia="Arial" w:hAnsi="Arial"/>
          <w:sz w:val="18"/>
          <w:szCs w:val="18"/>
          <w:color w:val="auto"/>
        </w:rPr>
        <w:t>Oversee the evaluation and succession planning and development programs for senior executives.</w:t>
      </w:r>
    </w:p>
    <w:p>
      <w:pPr>
        <w:spacing w:after="0" w:line="117" w:lineRule="exact"/>
        <w:rPr>
          <w:sz w:val="20"/>
          <w:szCs w:val="20"/>
          <w:color w:val="auto"/>
        </w:rPr>
      </w:pPr>
    </w:p>
    <w:p>
      <w:pPr>
        <w:ind w:right="540"/>
        <w:spacing w:after="0" w:line="268" w:lineRule="auto"/>
        <w:rPr>
          <w:sz w:val="20"/>
          <w:szCs w:val="20"/>
          <w:color w:val="auto"/>
        </w:rPr>
      </w:pPr>
      <w:r>
        <w:rPr>
          <w:rFonts w:ascii="Arial" w:cs="Arial" w:eastAsia="Arial" w:hAnsi="Arial"/>
          <w:sz w:val="18"/>
          <w:szCs w:val="18"/>
          <w:color w:val="auto"/>
        </w:rPr>
        <w:t>Our Board of Directors has determined that each of Mr. Andonian, Dr. Frank and Ms. Wainer is independent as defined under the Nasdaq Rules and meets the independence requirements under Rule 10C-1 of the Exchange Act.</w:t>
      </w:r>
    </w:p>
    <w:p>
      <w:pPr>
        <w:spacing w:after="0" w:line="429" w:lineRule="exact"/>
        <w:rPr>
          <w:sz w:val="20"/>
          <w:szCs w:val="20"/>
          <w:color w:val="auto"/>
        </w:rPr>
      </w:pPr>
    </w:p>
    <w:p>
      <w:pPr>
        <w:sectPr>
          <w:pgSz w:w="11900" w:h="16838" w:orient="portrait"/>
          <w:cols w:equalWidth="0" w:num="2">
            <w:col w:w="2120" w:space="660"/>
            <w:col w:w="8380"/>
          </w:cols>
          <w:pgMar w:left="320" w:top="1440" w:right="419" w:bottom="1440" w:gutter="0" w:footer="0" w:header="0"/>
        </w:sectPr>
      </w:pPr>
    </w:p>
    <w:p>
      <w:pPr>
        <w:spacing w:after="0" w:line="255"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In connection with its oversight and administration of ADI’s cash and equity incentive plans, the Compensation and Talent Committee authorizes the granting of stock options, RSUs, PRSUs, and other stock incentives (within guidelines established by our Board of Directors and in accordance with our Equity Award Grant Date Policy) to our Leadership Team, including our NEOs. In accordance with the terms of our 2020 Equity Incentive Plan (2020 Plan), the Compensation and Talent Committee has delegated to a standing committee composed of our CEO, Chief Financial Officer, Chief People Officer, and Chief Legal Officer, the power to grant options, RSUs, PRSUs, and other stock awards to employees, subject to specified thresholds, parameters, and applicable law, provided, that the standing committee may not grant awards to any members of the Leadership Team or to members of our Board of Directors. The standing committee also has the ability to accelerate outstanding awards under the 2020 Plan, our Amended and Restated 1996 Stock Incentive Plan (1996 Plan), which we assumed in the acquisition of Maxim Integrated Products, Inc. (Maxim), and our Amended and Restated 2006 Stock Incentive Plan (2006 Plan), granted to those employees, subject to specified thresholds, parameters, and applicable law. Additionally, the Compensation and Talent Committee administers our employee stock purchase plan and oversees our compensation recovery policy, as well as any compensation recovery or “clawback” policy ADI may adopt in the future.</w:t>
      </w:r>
    </w:p>
    <w:p>
      <w:pPr>
        <w:spacing w:after="0" w:line="82" w:lineRule="exact"/>
        <w:rPr>
          <w:sz w:val="20"/>
          <w:szCs w:val="20"/>
          <w:color w:val="auto"/>
        </w:rPr>
      </w:pPr>
    </w:p>
    <w:p>
      <w:pPr>
        <w:ind w:right="60"/>
        <w:spacing w:after="0" w:line="262" w:lineRule="auto"/>
        <w:rPr>
          <w:sz w:val="20"/>
          <w:szCs w:val="20"/>
          <w:color w:val="auto"/>
        </w:rPr>
      </w:pPr>
      <w:r>
        <w:rPr>
          <w:rFonts w:ascii="Arial" w:cs="Arial" w:eastAsia="Arial" w:hAnsi="Arial"/>
          <w:sz w:val="18"/>
          <w:szCs w:val="18"/>
          <w:color w:val="auto"/>
        </w:rPr>
        <w:t>The Compensation and Talent Committee has the authority to engage independent compensation consultants, legal counsel, and other advisors that it deems necessary or appropriate to carry out its responsibilities, taking into account the independence of those advisors. The Compensation and Talent Committee is empowered, without further action by our Board of Directors, to cause ADI to pay the compensation of those advisors as established by the Compensation and Talent Committee.</w:t>
      </w:r>
    </w:p>
    <w:p>
      <w:pPr>
        <w:spacing w:after="0" w:line="68" w:lineRule="exact"/>
        <w:rPr>
          <w:sz w:val="20"/>
          <w:szCs w:val="20"/>
          <w:color w:val="auto"/>
        </w:rPr>
      </w:pPr>
    </w:p>
    <w:p>
      <w:pPr>
        <w:ind w:right="840"/>
        <w:spacing w:after="0" w:line="287" w:lineRule="auto"/>
        <w:rPr>
          <w:sz w:val="20"/>
          <w:szCs w:val="20"/>
          <w:color w:val="auto"/>
        </w:rPr>
      </w:pPr>
      <w:r>
        <w:rPr>
          <w:rFonts w:ascii="Arial" w:cs="Arial" w:eastAsia="Arial" w:hAnsi="Arial"/>
          <w:sz w:val="18"/>
          <w:szCs w:val="18"/>
          <w:color w:val="auto"/>
        </w:rPr>
        <w:t xml:space="preserve">For additional information relating to our Compensation and Talent Committee and independent compensation consultant, see the </w:t>
      </w:r>
      <w:r>
        <w:rPr>
          <w:rFonts w:ascii="Arial" w:cs="Arial" w:eastAsia="Arial" w:hAnsi="Arial"/>
          <w:sz w:val="18"/>
          <w:szCs w:val="18"/>
          <w:i w:val="1"/>
          <w:iCs w:val="1"/>
          <w:color w:val="auto"/>
        </w:rPr>
        <w:t xml:space="preserve">Compensation Discussion and Analysis </w:t>
      </w:r>
      <w:r>
        <w:rPr>
          <w:rFonts w:ascii="Arial" w:cs="Arial" w:eastAsia="Arial" w:hAnsi="Arial"/>
          <w:sz w:val="18"/>
          <w:szCs w:val="18"/>
          <w:color w:val="auto"/>
        </w:rPr>
        <w:t>section of this Proxy Statement.</w:t>
      </w:r>
    </w:p>
    <w:p>
      <w:pPr>
        <w:spacing w:after="0" w:line="200" w:lineRule="exact"/>
        <w:rPr>
          <w:sz w:val="20"/>
          <w:szCs w:val="20"/>
          <w:color w:val="auto"/>
        </w:rPr>
      </w:pPr>
    </w:p>
    <w:p>
      <w:pPr>
        <w:spacing w:after="0" w:line="266" w:lineRule="exact"/>
        <w:rPr>
          <w:sz w:val="20"/>
          <w:szCs w:val="20"/>
          <w:color w:val="auto"/>
        </w:rPr>
      </w:pPr>
    </w:p>
    <w:p>
      <w:pPr>
        <w:ind w:left="640" w:hanging="614"/>
        <w:spacing w:after="0"/>
        <w:tabs>
          <w:tab w:leader="none" w:pos="640" w:val="left"/>
        </w:tabs>
        <w:numPr>
          <w:ilvl w:val="0"/>
          <w:numId w:val="33"/>
        </w:numPr>
        <w:rPr>
          <w:rFonts w:ascii="Arial" w:cs="Arial" w:eastAsia="Arial" w:hAnsi="Arial"/>
          <w:sz w:val="20"/>
          <w:szCs w:val="20"/>
          <w:b w:val="1"/>
          <w:bCs w:val="1"/>
          <w:color w:val="auto"/>
        </w:rPr>
      </w:pPr>
      <w:r>
        <w:rPr>
          <w:rFonts w:ascii="Arial" w:cs="Arial" w:eastAsia="Arial" w:hAnsi="Arial"/>
          <w:sz w:val="16"/>
          <w:szCs w:val="16"/>
          <w:color w:val="6D6E71"/>
        </w:rPr>
        <w:t>Corporate Governance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186055</wp:posOffset>
            </wp:positionV>
            <wp:extent cx="7157720" cy="4254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440" w:right="419" w:bottom="1440" w:gutter="0" w:footer="0" w:header="0"/>
          <w:type w:val="continuous"/>
        </w:sectPr>
      </w:pPr>
    </w:p>
    <w:bookmarkStart w:id="31" w:name="page32"/>
    <w:bookmarkEnd w:id="31"/>
    <w:p>
      <w:pPr>
        <w:spacing w:after="0" w:line="115" w:lineRule="exact"/>
        <w:rPr>
          <w:sz w:val="20"/>
          <w:szCs w:val="20"/>
          <w:color w:val="auto"/>
        </w:rPr>
      </w:pPr>
    </w:p>
    <w:p>
      <w:pPr>
        <w:ind w:left="220" w:right="460"/>
        <w:spacing w:after="0" w:line="279" w:lineRule="auto"/>
        <w:rPr>
          <w:sz w:val="20"/>
          <w:szCs w:val="20"/>
          <w:color w:val="auto"/>
        </w:rPr>
      </w:pPr>
      <w:r>
        <w:rPr>
          <w:rFonts w:ascii="Arial" w:cs="Arial" w:eastAsia="Arial" w:hAnsi="Arial"/>
          <w:sz w:val="26"/>
          <w:szCs w:val="26"/>
          <w:b w:val="1"/>
          <w:bCs w:val="1"/>
          <w:color w:val="0067B3"/>
        </w:rPr>
        <w:t>Nominating and Corporate Governance Committee</w:t>
      </w:r>
    </w:p>
    <w:p>
      <w:pPr>
        <w:spacing w:after="0" w:line="51" w:lineRule="exact"/>
        <w:rPr>
          <w:sz w:val="20"/>
          <w:szCs w:val="20"/>
          <w:color w:val="auto"/>
        </w:rPr>
      </w:pPr>
    </w:p>
    <w:p>
      <w:pPr>
        <w:ind w:left="220"/>
        <w:spacing w:after="0"/>
        <w:rPr>
          <w:sz w:val="20"/>
          <w:szCs w:val="20"/>
          <w:color w:val="auto"/>
        </w:rPr>
      </w:pPr>
      <w:r>
        <w:rPr>
          <w:rFonts w:ascii="Arial" w:cs="Arial" w:eastAsia="Arial" w:hAnsi="Arial"/>
          <w:sz w:val="18"/>
          <w:szCs w:val="18"/>
          <w:b w:val="1"/>
          <w:bCs w:val="1"/>
          <w:color w:val="auto"/>
        </w:rPr>
        <w:t>Members</w:t>
      </w:r>
    </w:p>
    <w:p>
      <w:pPr>
        <w:spacing w:after="0" w:line="27" w:lineRule="exact"/>
        <w:rPr>
          <w:sz w:val="20"/>
          <w:szCs w:val="20"/>
          <w:color w:val="auto"/>
        </w:rPr>
      </w:pPr>
    </w:p>
    <w:p>
      <w:pPr>
        <w:ind w:left="220"/>
        <w:spacing w:after="0"/>
        <w:rPr>
          <w:sz w:val="20"/>
          <w:szCs w:val="20"/>
          <w:color w:val="auto"/>
        </w:rPr>
      </w:pPr>
      <w:r>
        <w:rPr>
          <w:rFonts w:ascii="Arial" w:cs="Arial" w:eastAsia="Arial" w:hAnsi="Arial"/>
          <w:sz w:val="18"/>
          <w:szCs w:val="18"/>
          <w:color w:val="0067B3"/>
        </w:rPr>
        <w:t>Stephen M. Jennings (Chair)</w:t>
      </w:r>
    </w:p>
    <w:p>
      <w:pPr>
        <w:spacing w:after="0" w:line="8" w:lineRule="exact"/>
        <w:rPr>
          <w:sz w:val="20"/>
          <w:szCs w:val="20"/>
          <w:color w:val="auto"/>
        </w:rPr>
      </w:pPr>
    </w:p>
    <w:p>
      <w:pPr>
        <w:ind w:left="220"/>
        <w:spacing w:after="0"/>
        <w:rPr>
          <w:sz w:val="20"/>
          <w:szCs w:val="20"/>
          <w:color w:val="auto"/>
        </w:rPr>
      </w:pPr>
      <w:r>
        <w:rPr>
          <w:rFonts w:ascii="Arial" w:cs="Arial" w:eastAsia="Arial" w:hAnsi="Arial"/>
          <w:sz w:val="18"/>
          <w:szCs w:val="18"/>
          <w:color w:val="auto"/>
        </w:rPr>
        <w:t>Andrea F. Wainer</w:t>
      </w:r>
    </w:p>
    <w:p>
      <w:pPr>
        <w:ind w:left="220"/>
        <w:spacing w:after="0"/>
        <w:rPr>
          <w:sz w:val="20"/>
          <w:szCs w:val="20"/>
          <w:color w:val="auto"/>
        </w:rPr>
      </w:pPr>
      <w:r>
        <w:rPr>
          <w:rFonts w:ascii="Arial" w:cs="Arial" w:eastAsia="Arial" w:hAnsi="Arial"/>
          <w:sz w:val="18"/>
          <w:szCs w:val="18"/>
          <w:color w:val="auto"/>
        </w:rPr>
        <w:t>Susie Wee</w:t>
      </w:r>
      <w:r>
        <w:rPr>
          <w:rFonts w:ascii="Arial" w:cs="Arial" w:eastAsia="Arial" w:hAnsi="Arial"/>
          <w:sz w:val="23"/>
          <w:szCs w:val="23"/>
          <w:color w:val="auto"/>
          <w:vertAlign w:val="superscript"/>
        </w:rPr>
        <w:t>(1)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ind w:left="220"/>
        <w:spacing w:after="0"/>
        <w:rPr>
          <w:sz w:val="20"/>
          <w:szCs w:val="20"/>
          <w:color w:val="auto"/>
        </w:rPr>
      </w:pPr>
      <w:r>
        <w:rPr>
          <w:rFonts w:ascii="Arial" w:cs="Arial" w:eastAsia="Arial" w:hAnsi="Arial"/>
          <w:sz w:val="18"/>
          <w:szCs w:val="18"/>
          <w:b w:val="1"/>
          <w:bCs w:val="1"/>
          <w:color w:val="auto"/>
        </w:rPr>
        <w:t xml:space="preserve">Meetings in 2025: </w:t>
      </w: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b w:val="1"/>
          <w:bCs w:val="1"/>
          <w:color w:val="0067B3"/>
        </w:rPr>
        <w:t>PRINCIPAL RESPONSIBILITIES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-1759585</wp:posOffset>
            </wp:positionH>
            <wp:positionV relativeFrom="paragraph">
              <wp:posOffset>-273050</wp:posOffset>
            </wp:positionV>
            <wp:extent cx="7132320" cy="459486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132320" cy="4594860"/>
                    </a:xfrm>
                    <a:prstGeom prst="rect">
                      <a:avLst/>
                    </a:prstGeom>
                    <a:noFill/>
                  </pic:spPr>
                </pic:pic>
              </a:graphicData>
            </a:graphic>
          </wp:anchor>
        </w:drawing>
      </w:r>
    </w:p>
    <w:p>
      <w:pPr>
        <w:spacing w:after="0" w:line="97" w:lineRule="exact"/>
        <w:rPr>
          <w:sz w:val="20"/>
          <w:szCs w:val="20"/>
          <w:color w:val="auto"/>
        </w:rPr>
      </w:pPr>
    </w:p>
    <w:p>
      <w:pPr>
        <w:spacing w:after="0"/>
        <w:rPr>
          <w:sz w:val="20"/>
          <w:szCs w:val="20"/>
          <w:color w:val="auto"/>
        </w:rPr>
      </w:pPr>
      <w:r>
        <w:rPr>
          <w:rFonts w:ascii="Arial" w:cs="Arial" w:eastAsia="Arial" w:hAnsi="Arial"/>
          <w:sz w:val="18"/>
          <w:szCs w:val="18"/>
          <w:color w:val="auto"/>
        </w:rPr>
        <w:t>The primary responsibilities of the Nominating and Corporate Governance Committee are to:</w:t>
      </w:r>
    </w:p>
    <w:p>
      <w:pPr>
        <w:spacing w:after="0" w:line="117" w:lineRule="exact"/>
        <w:rPr>
          <w:sz w:val="20"/>
          <w:szCs w:val="20"/>
          <w:color w:val="auto"/>
        </w:rPr>
      </w:pPr>
    </w:p>
    <w:p>
      <w:pPr>
        <w:ind w:left="200" w:right="600" w:hanging="195"/>
        <w:spacing w:after="0" w:line="287" w:lineRule="auto"/>
        <w:tabs>
          <w:tab w:leader="none" w:pos="157" w:val="left"/>
        </w:tabs>
        <w:numPr>
          <w:ilvl w:val="0"/>
          <w:numId w:val="34"/>
        </w:numPr>
        <w:rPr>
          <w:rFonts w:ascii="Arial" w:cs="Arial" w:eastAsia="Arial" w:hAnsi="Arial"/>
          <w:sz w:val="13"/>
          <w:szCs w:val="13"/>
          <w:color w:val="0067B3"/>
        </w:rPr>
      </w:pPr>
      <w:r>
        <w:rPr>
          <w:rFonts w:ascii="Arial" w:cs="Arial" w:eastAsia="Arial" w:hAnsi="Arial"/>
          <w:sz w:val="18"/>
          <w:szCs w:val="18"/>
          <w:color w:val="auto"/>
        </w:rPr>
        <w:t>Identify individuals qualified to become members of our Board of Directors consistent with criteria approved by the Board of Directors;</w:t>
      </w:r>
    </w:p>
    <w:p>
      <w:pPr>
        <w:spacing w:after="0" w:line="17" w:lineRule="exact"/>
        <w:rPr>
          <w:rFonts w:ascii="Arial" w:cs="Arial" w:eastAsia="Arial" w:hAnsi="Arial"/>
          <w:sz w:val="13"/>
          <w:szCs w:val="13"/>
          <w:color w:val="0067B3"/>
        </w:rPr>
      </w:pPr>
    </w:p>
    <w:p>
      <w:pPr>
        <w:ind w:left="200" w:right="240" w:hanging="195"/>
        <w:spacing w:after="0" w:line="268" w:lineRule="auto"/>
        <w:tabs>
          <w:tab w:leader="none" w:pos="157" w:val="left"/>
        </w:tabs>
        <w:numPr>
          <w:ilvl w:val="0"/>
          <w:numId w:val="34"/>
        </w:numPr>
        <w:rPr>
          <w:rFonts w:ascii="Arial" w:cs="Arial" w:eastAsia="Arial" w:hAnsi="Arial"/>
          <w:sz w:val="13"/>
          <w:szCs w:val="13"/>
          <w:color w:val="0067B3"/>
        </w:rPr>
      </w:pPr>
      <w:r>
        <w:rPr>
          <w:rFonts w:ascii="Arial" w:cs="Arial" w:eastAsia="Arial" w:hAnsi="Arial"/>
          <w:sz w:val="18"/>
          <w:szCs w:val="18"/>
          <w:color w:val="auto"/>
        </w:rPr>
        <w:t>Recommend to the Board of Directors the persons to be nominated by the Board of Directors for election as directors at any meeting of shareholders and the persons to be appointed by the Board of Directors to fill any vacancies on the Board of Directors;</w:t>
      </w:r>
    </w:p>
    <w:p>
      <w:pPr>
        <w:spacing w:after="0" w:line="22" w:lineRule="exact"/>
        <w:rPr>
          <w:rFonts w:ascii="Arial" w:cs="Arial" w:eastAsia="Arial" w:hAnsi="Arial"/>
          <w:sz w:val="13"/>
          <w:szCs w:val="13"/>
          <w:color w:val="0067B3"/>
        </w:rPr>
      </w:pPr>
    </w:p>
    <w:p>
      <w:pPr>
        <w:ind w:left="200" w:right="360" w:hanging="195"/>
        <w:spacing w:after="0" w:line="268" w:lineRule="auto"/>
        <w:tabs>
          <w:tab w:leader="none" w:pos="157" w:val="left"/>
        </w:tabs>
        <w:numPr>
          <w:ilvl w:val="0"/>
          <w:numId w:val="34"/>
        </w:numPr>
        <w:rPr>
          <w:rFonts w:ascii="Arial" w:cs="Arial" w:eastAsia="Arial" w:hAnsi="Arial"/>
          <w:sz w:val="13"/>
          <w:szCs w:val="13"/>
          <w:color w:val="0067B3"/>
        </w:rPr>
      </w:pPr>
      <w:r>
        <w:rPr>
          <w:rFonts w:ascii="Arial" w:cs="Arial" w:eastAsia="Arial" w:hAnsi="Arial"/>
          <w:sz w:val="18"/>
          <w:szCs w:val="18"/>
          <w:color w:val="auto"/>
        </w:rPr>
        <w:t>In connection with Board of Director succession and refreshment practices, review with the Board of Directors, on an annual basis, the requisite skills and criteria for new directors as well as the composition of the Board of Directors as a whole;</w:t>
      </w:r>
    </w:p>
    <w:p>
      <w:pPr>
        <w:spacing w:after="0" w:line="22" w:lineRule="exact"/>
        <w:rPr>
          <w:rFonts w:ascii="Arial" w:cs="Arial" w:eastAsia="Arial" w:hAnsi="Arial"/>
          <w:sz w:val="13"/>
          <w:szCs w:val="13"/>
          <w:color w:val="0067B3"/>
        </w:rPr>
      </w:pPr>
    </w:p>
    <w:p>
      <w:pPr>
        <w:ind w:left="200" w:right="400" w:hanging="195"/>
        <w:spacing w:after="0" w:line="287" w:lineRule="auto"/>
        <w:tabs>
          <w:tab w:leader="none" w:pos="157" w:val="left"/>
        </w:tabs>
        <w:numPr>
          <w:ilvl w:val="0"/>
          <w:numId w:val="34"/>
        </w:numPr>
        <w:rPr>
          <w:rFonts w:ascii="Arial" w:cs="Arial" w:eastAsia="Arial" w:hAnsi="Arial"/>
          <w:sz w:val="13"/>
          <w:szCs w:val="13"/>
          <w:color w:val="0067B3"/>
        </w:rPr>
      </w:pPr>
      <w:r>
        <w:rPr>
          <w:rFonts w:ascii="Arial" w:cs="Arial" w:eastAsia="Arial" w:hAnsi="Arial"/>
          <w:sz w:val="18"/>
          <w:szCs w:val="18"/>
          <w:color w:val="auto"/>
        </w:rPr>
        <w:t>Recommend to the Board of Directors the directors to be appointed to each committee of the Board of Directors;</w:t>
      </w:r>
    </w:p>
    <w:p>
      <w:pPr>
        <w:spacing w:after="0" w:line="17" w:lineRule="exact"/>
        <w:rPr>
          <w:rFonts w:ascii="Arial" w:cs="Arial" w:eastAsia="Arial" w:hAnsi="Arial"/>
          <w:sz w:val="13"/>
          <w:szCs w:val="13"/>
          <w:color w:val="0067B3"/>
        </w:rPr>
      </w:pPr>
    </w:p>
    <w:p>
      <w:pPr>
        <w:ind w:left="160" w:hanging="155"/>
        <w:spacing w:after="0"/>
        <w:tabs>
          <w:tab w:leader="none" w:pos="160" w:val="left"/>
        </w:tabs>
        <w:numPr>
          <w:ilvl w:val="0"/>
          <w:numId w:val="34"/>
        </w:numPr>
        <w:rPr>
          <w:rFonts w:ascii="Arial" w:cs="Arial" w:eastAsia="Arial" w:hAnsi="Arial"/>
          <w:sz w:val="13"/>
          <w:szCs w:val="13"/>
          <w:color w:val="0067B3"/>
        </w:rPr>
      </w:pPr>
      <w:r>
        <w:rPr>
          <w:rFonts w:ascii="Arial" w:cs="Arial" w:eastAsia="Arial" w:hAnsi="Arial"/>
          <w:sz w:val="18"/>
          <w:szCs w:val="18"/>
          <w:color w:val="auto"/>
        </w:rPr>
        <w:t>Develop and recommend to the Board of Directors a set of corporate governance principles;</w:t>
      </w:r>
    </w:p>
    <w:p>
      <w:pPr>
        <w:spacing w:after="0" w:line="76" w:lineRule="exact"/>
        <w:rPr>
          <w:rFonts w:ascii="Arial" w:cs="Arial" w:eastAsia="Arial" w:hAnsi="Arial"/>
          <w:sz w:val="13"/>
          <w:szCs w:val="13"/>
          <w:color w:val="0067B3"/>
        </w:rPr>
      </w:pPr>
    </w:p>
    <w:p>
      <w:pPr>
        <w:ind w:left="160" w:hanging="155"/>
        <w:spacing w:after="0"/>
        <w:tabs>
          <w:tab w:leader="none" w:pos="160" w:val="left"/>
        </w:tabs>
        <w:numPr>
          <w:ilvl w:val="0"/>
          <w:numId w:val="34"/>
        </w:numPr>
        <w:rPr>
          <w:rFonts w:ascii="Arial" w:cs="Arial" w:eastAsia="Arial" w:hAnsi="Arial"/>
          <w:sz w:val="13"/>
          <w:szCs w:val="13"/>
          <w:color w:val="0067B3"/>
        </w:rPr>
      </w:pPr>
      <w:r>
        <w:rPr>
          <w:rFonts w:ascii="Arial" w:cs="Arial" w:eastAsia="Arial" w:hAnsi="Arial"/>
          <w:sz w:val="18"/>
          <w:szCs w:val="18"/>
          <w:color w:val="auto"/>
        </w:rPr>
        <w:t>Oversee the evaluation, background, vetting, orientation, and training of the members of the Board</w:t>
      </w:r>
    </w:p>
    <w:p>
      <w:pPr>
        <w:spacing w:after="0" w:line="27" w:lineRule="exact"/>
        <w:rPr>
          <w:sz w:val="20"/>
          <w:szCs w:val="20"/>
          <w:color w:val="auto"/>
        </w:rPr>
      </w:pPr>
    </w:p>
    <w:p>
      <w:pPr>
        <w:ind w:left="200"/>
        <w:spacing w:after="0"/>
        <w:rPr>
          <w:sz w:val="20"/>
          <w:szCs w:val="20"/>
          <w:color w:val="auto"/>
        </w:rPr>
      </w:pPr>
      <w:r>
        <w:rPr>
          <w:rFonts w:ascii="Arial" w:cs="Arial" w:eastAsia="Arial" w:hAnsi="Arial"/>
          <w:sz w:val="18"/>
          <w:szCs w:val="18"/>
          <w:color w:val="auto"/>
        </w:rPr>
        <w:t>of Directors;</w:t>
      </w:r>
    </w:p>
    <w:p>
      <w:pPr>
        <w:spacing w:after="0" w:line="59" w:lineRule="exact"/>
        <w:rPr>
          <w:sz w:val="20"/>
          <w:szCs w:val="20"/>
          <w:color w:val="auto"/>
        </w:rPr>
      </w:pPr>
    </w:p>
    <w:p>
      <w:pPr>
        <w:ind w:left="160" w:hanging="155"/>
        <w:spacing w:after="0"/>
        <w:tabs>
          <w:tab w:leader="none" w:pos="160" w:val="left"/>
        </w:tabs>
        <w:numPr>
          <w:ilvl w:val="0"/>
          <w:numId w:val="35"/>
        </w:numPr>
        <w:rPr>
          <w:rFonts w:ascii="Arial" w:cs="Arial" w:eastAsia="Arial" w:hAnsi="Arial"/>
          <w:sz w:val="13"/>
          <w:szCs w:val="13"/>
          <w:color w:val="0067B3"/>
        </w:rPr>
      </w:pPr>
      <w:r>
        <w:rPr>
          <w:rFonts w:ascii="Arial" w:cs="Arial" w:eastAsia="Arial" w:hAnsi="Arial"/>
          <w:sz w:val="18"/>
          <w:szCs w:val="18"/>
          <w:color w:val="auto"/>
        </w:rPr>
        <w:t>Oversee our Code of Business Conduct and Ethics;</w:t>
      </w:r>
    </w:p>
    <w:p>
      <w:pPr>
        <w:spacing w:after="0" w:line="90" w:lineRule="exact"/>
        <w:rPr>
          <w:rFonts w:ascii="Arial" w:cs="Arial" w:eastAsia="Arial" w:hAnsi="Arial"/>
          <w:sz w:val="13"/>
          <w:szCs w:val="13"/>
          <w:color w:val="0067B3"/>
        </w:rPr>
      </w:pPr>
    </w:p>
    <w:p>
      <w:pPr>
        <w:ind w:left="200" w:right="660" w:hanging="195"/>
        <w:spacing w:after="0" w:line="287" w:lineRule="auto"/>
        <w:tabs>
          <w:tab w:leader="none" w:pos="157" w:val="left"/>
        </w:tabs>
        <w:numPr>
          <w:ilvl w:val="0"/>
          <w:numId w:val="35"/>
        </w:numPr>
        <w:rPr>
          <w:rFonts w:ascii="Arial" w:cs="Arial" w:eastAsia="Arial" w:hAnsi="Arial"/>
          <w:sz w:val="13"/>
          <w:szCs w:val="13"/>
          <w:color w:val="0067B3"/>
        </w:rPr>
      </w:pPr>
      <w:r>
        <w:rPr>
          <w:rFonts w:ascii="Arial" w:cs="Arial" w:eastAsia="Arial" w:hAnsi="Arial"/>
          <w:sz w:val="18"/>
          <w:szCs w:val="18"/>
          <w:color w:val="auto"/>
        </w:rPr>
        <w:t>Oversee and periodically review our ESG programs, practices, and reporting, including issues of significance related to climate, sustainability, and social and governance activities;</w:t>
      </w:r>
    </w:p>
    <w:p>
      <w:pPr>
        <w:spacing w:after="0" w:line="4" w:lineRule="exact"/>
        <w:rPr>
          <w:rFonts w:ascii="Arial" w:cs="Arial" w:eastAsia="Arial" w:hAnsi="Arial"/>
          <w:sz w:val="13"/>
          <w:szCs w:val="13"/>
          <w:color w:val="0067B3"/>
        </w:rPr>
      </w:pPr>
    </w:p>
    <w:p>
      <w:pPr>
        <w:ind w:left="200" w:right="60" w:hanging="195"/>
        <w:spacing w:after="0" w:line="287" w:lineRule="auto"/>
        <w:tabs>
          <w:tab w:leader="none" w:pos="157" w:val="left"/>
        </w:tabs>
        <w:numPr>
          <w:ilvl w:val="0"/>
          <w:numId w:val="35"/>
        </w:numPr>
        <w:rPr>
          <w:rFonts w:ascii="Arial" w:cs="Arial" w:eastAsia="Arial" w:hAnsi="Arial"/>
          <w:sz w:val="13"/>
          <w:szCs w:val="13"/>
          <w:color w:val="0067B3"/>
        </w:rPr>
      </w:pPr>
      <w:r>
        <w:rPr>
          <w:rFonts w:ascii="Arial" w:cs="Arial" w:eastAsia="Arial" w:hAnsi="Arial"/>
          <w:sz w:val="18"/>
          <w:szCs w:val="18"/>
          <w:color w:val="auto"/>
        </w:rPr>
        <w:t>Oversee and periodically review policies and practices in connection with governmental relations, public policy, and related expenditures;</w:t>
      </w:r>
    </w:p>
    <w:p>
      <w:pPr>
        <w:spacing w:after="0" w:line="4" w:lineRule="exact"/>
        <w:rPr>
          <w:rFonts w:ascii="Arial" w:cs="Arial" w:eastAsia="Arial" w:hAnsi="Arial"/>
          <w:sz w:val="13"/>
          <w:szCs w:val="13"/>
          <w:color w:val="0067B3"/>
        </w:rPr>
      </w:pPr>
    </w:p>
    <w:p>
      <w:pPr>
        <w:ind w:left="160" w:hanging="155"/>
        <w:spacing w:after="0"/>
        <w:tabs>
          <w:tab w:leader="none" w:pos="160" w:val="left"/>
        </w:tabs>
        <w:numPr>
          <w:ilvl w:val="0"/>
          <w:numId w:val="35"/>
        </w:numPr>
        <w:rPr>
          <w:rFonts w:ascii="Arial" w:cs="Arial" w:eastAsia="Arial" w:hAnsi="Arial"/>
          <w:sz w:val="13"/>
          <w:szCs w:val="13"/>
          <w:color w:val="0067B3"/>
        </w:rPr>
      </w:pPr>
      <w:r>
        <w:rPr>
          <w:rFonts w:ascii="Arial" w:cs="Arial" w:eastAsia="Arial" w:hAnsi="Arial"/>
          <w:sz w:val="18"/>
          <w:szCs w:val="18"/>
          <w:color w:val="auto"/>
        </w:rPr>
        <w:t>Annually review and assess each director’s and director nominee’s independence;</w:t>
      </w:r>
    </w:p>
    <w:p>
      <w:pPr>
        <w:spacing w:after="0" w:line="90" w:lineRule="exact"/>
        <w:rPr>
          <w:rFonts w:ascii="Arial" w:cs="Arial" w:eastAsia="Arial" w:hAnsi="Arial"/>
          <w:sz w:val="13"/>
          <w:szCs w:val="13"/>
          <w:color w:val="0067B3"/>
        </w:rPr>
      </w:pPr>
    </w:p>
    <w:p>
      <w:pPr>
        <w:ind w:left="200" w:right="300" w:hanging="195"/>
        <w:spacing w:after="0" w:line="287" w:lineRule="auto"/>
        <w:tabs>
          <w:tab w:leader="none" w:pos="157" w:val="left"/>
        </w:tabs>
        <w:numPr>
          <w:ilvl w:val="0"/>
          <w:numId w:val="35"/>
        </w:numPr>
        <w:rPr>
          <w:rFonts w:ascii="Arial" w:cs="Arial" w:eastAsia="Arial" w:hAnsi="Arial"/>
          <w:sz w:val="13"/>
          <w:szCs w:val="13"/>
          <w:color w:val="0067B3"/>
        </w:rPr>
      </w:pPr>
      <w:r>
        <w:rPr>
          <w:rFonts w:ascii="Arial" w:cs="Arial" w:eastAsia="Arial" w:hAnsi="Arial"/>
          <w:sz w:val="18"/>
          <w:szCs w:val="18"/>
          <w:color w:val="auto"/>
        </w:rPr>
        <w:t>Review shareholder proposals and make recommendations to the Board of Directors concerning any such proposals; and</w:t>
      </w:r>
    </w:p>
    <w:p>
      <w:pPr>
        <w:spacing w:after="0" w:line="4" w:lineRule="exact"/>
        <w:rPr>
          <w:rFonts w:ascii="Arial" w:cs="Arial" w:eastAsia="Arial" w:hAnsi="Arial"/>
          <w:sz w:val="13"/>
          <w:szCs w:val="13"/>
          <w:color w:val="0067B3"/>
        </w:rPr>
      </w:pPr>
    </w:p>
    <w:p>
      <w:pPr>
        <w:ind w:left="160" w:hanging="155"/>
        <w:spacing w:after="0"/>
        <w:tabs>
          <w:tab w:leader="none" w:pos="160" w:val="left"/>
        </w:tabs>
        <w:numPr>
          <w:ilvl w:val="0"/>
          <w:numId w:val="35"/>
        </w:numPr>
        <w:rPr>
          <w:rFonts w:ascii="Arial" w:cs="Arial" w:eastAsia="Arial" w:hAnsi="Arial"/>
          <w:sz w:val="13"/>
          <w:szCs w:val="13"/>
          <w:color w:val="0067B3"/>
        </w:rPr>
      </w:pPr>
      <w:r>
        <w:rPr>
          <w:rFonts w:ascii="Arial" w:cs="Arial" w:eastAsia="Arial" w:hAnsi="Arial"/>
          <w:sz w:val="18"/>
          <w:szCs w:val="18"/>
          <w:color w:val="auto"/>
        </w:rPr>
        <w:t>Oversee risks associated with its areas of responsibility.</w:t>
      </w:r>
    </w:p>
    <w:p>
      <w:pPr>
        <w:spacing w:after="0" w:line="117" w:lineRule="exact"/>
        <w:rPr>
          <w:sz w:val="20"/>
          <w:szCs w:val="20"/>
          <w:color w:val="auto"/>
        </w:rPr>
      </w:pPr>
    </w:p>
    <w:p>
      <w:pPr>
        <w:ind w:right="1040"/>
        <w:spacing w:after="0" w:line="287" w:lineRule="auto"/>
        <w:rPr>
          <w:sz w:val="20"/>
          <w:szCs w:val="20"/>
          <w:color w:val="auto"/>
        </w:rPr>
      </w:pPr>
      <w:r>
        <w:rPr>
          <w:rFonts w:ascii="Arial" w:cs="Arial" w:eastAsia="Arial" w:hAnsi="Arial"/>
          <w:sz w:val="18"/>
          <w:szCs w:val="18"/>
          <w:color w:val="auto"/>
        </w:rPr>
        <w:t>Our Board of Directors has determined that each of Mr. Jennings, Ms. Wainer, and Dr. Wee is independent as defined under the Nasdaq Rules.</w:t>
      </w:r>
    </w:p>
    <w:p>
      <w:pPr>
        <w:spacing w:after="0" w:line="200" w:lineRule="exact"/>
        <w:rPr>
          <w:sz w:val="20"/>
          <w:szCs w:val="20"/>
          <w:color w:val="auto"/>
        </w:rPr>
      </w:pPr>
    </w:p>
    <w:p>
      <w:pPr>
        <w:sectPr>
          <w:pgSz w:w="11900" w:h="16838" w:orient="portrait"/>
          <w:cols w:equalWidth="0" w:num="2">
            <w:col w:w="2520" w:space="260"/>
            <w:col w:w="8460"/>
          </w:cols>
          <w:pgMar w:left="320" w:top="1440" w:right="339" w:bottom="1440" w:gutter="0" w:footer="0" w:header="0"/>
        </w:sectPr>
      </w:pPr>
    </w:p>
    <w:p>
      <w:pPr>
        <w:spacing w:after="0" w:line="174" w:lineRule="exact"/>
        <w:rPr>
          <w:sz w:val="20"/>
          <w:szCs w:val="20"/>
          <w:color w:val="auto"/>
        </w:rPr>
      </w:pPr>
    </w:p>
    <w:p>
      <w:pPr>
        <w:ind w:left="220" w:hanging="212"/>
        <w:spacing w:after="0"/>
        <w:tabs>
          <w:tab w:leader="none" w:pos="220" w:val="left"/>
        </w:tabs>
        <w:numPr>
          <w:ilvl w:val="0"/>
          <w:numId w:val="36"/>
        </w:numPr>
        <w:rPr>
          <w:rFonts w:ascii="Arial" w:cs="Arial" w:eastAsia="Arial" w:hAnsi="Arial"/>
          <w:sz w:val="21"/>
          <w:szCs w:val="21"/>
          <w:color w:val="auto"/>
          <w:vertAlign w:val="superscript"/>
        </w:rPr>
      </w:pPr>
      <w:r>
        <w:rPr>
          <w:rFonts w:ascii="Arial" w:cs="Arial" w:eastAsia="Arial" w:hAnsi="Arial"/>
          <w:sz w:val="16"/>
          <w:szCs w:val="16"/>
          <w:color w:val="auto"/>
        </w:rPr>
        <w:t>Dr. Wee will continue to serve as a member of the Nominating and Corporate Governance Committee until March 11, 2026.</w:t>
      </w:r>
    </w:p>
    <w:p>
      <w:pPr>
        <w:spacing w:after="0" w:line="78" w:lineRule="exact"/>
        <w:rPr>
          <w:sz w:val="20"/>
          <w:szCs w:val="20"/>
          <w:color w:val="auto"/>
        </w:rPr>
      </w:pPr>
    </w:p>
    <w:p>
      <w:pPr>
        <w:ind w:right="160"/>
        <w:spacing w:after="0" w:line="256" w:lineRule="auto"/>
        <w:rPr>
          <w:sz w:val="20"/>
          <w:szCs w:val="20"/>
          <w:color w:val="auto"/>
        </w:rPr>
      </w:pPr>
      <w:r>
        <w:rPr>
          <w:rFonts w:ascii="Arial" w:cs="Arial" w:eastAsia="Arial" w:hAnsi="Arial"/>
          <w:sz w:val="18"/>
          <w:szCs w:val="18"/>
          <w:color w:val="auto"/>
        </w:rPr>
        <w:t xml:space="preserve">The Nominating and Corporate Governance Committee has the authority to engage any independent legal and other advisors it deems necessary or appropriate to carry out its responsibilities. These independent advisors may be the regular advisors to ADI. For example, during fiscal year 2025 the Nominating and Corporate Governance Committee engaged a third-party executive search and leadership advisory firm to assist with identifying director nominees and assessing the composition of our Board of Directors. The Nominating and Corporate Governance Committee is empowered, without further action by the Board of Directors, to cause ADI to pay the compensation of any advisors that it engages as established by the Nominating and Corporate Governance Committee. For information relating to nominations of directors by our shareholders, see </w:t>
      </w:r>
      <w:r>
        <w:rPr>
          <w:rFonts w:ascii="Arial" w:cs="Arial" w:eastAsia="Arial" w:hAnsi="Arial"/>
          <w:sz w:val="18"/>
          <w:szCs w:val="18"/>
          <w:i w:val="1"/>
          <w:iCs w:val="1"/>
          <w:color w:val="auto"/>
        </w:rPr>
        <w:t>Director Candidates</w:t>
      </w:r>
      <w:r>
        <w:rPr>
          <w:rFonts w:ascii="Arial" w:cs="Arial" w:eastAsia="Arial" w:hAnsi="Arial"/>
          <w:sz w:val="18"/>
          <w:szCs w:val="18"/>
          <w:color w:val="auto"/>
        </w:rPr>
        <w:t xml:space="preserve"> above.</w:t>
      </w:r>
    </w:p>
    <w:p>
      <w:pPr>
        <w:spacing w:after="0" w:line="200" w:lineRule="exact"/>
        <w:rPr>
          <w:sz w:val="20"/>
          <w:szCs w:val="20"/>
          <w:color w:val="auto"/>
        </w:rPr>
      </w:pP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78"/>
        </w:trPr>
        <w:tc>
          <w:tcPr>
            <w:tcW w:w="10800" w:type="dxa"/>
            <w:vAlign w:val="bottom"/>
          </w:tcPr>
          <w:p>
            <w:pPr>
              <w:ind w:left="8980"/>
              <w:spacing w:after="0"/>
              <w:rPr>
                <w:sz w:val="20"/>
                <w:szCs w:val="20"/>
                <w:color w:val="auto"/>
              </w:rPr>
            </w:pPr>
            <w:r>
              <w:rPr>
                <w:rFonts w:ascii="Arial" w:cs="Arial" w:eastAsia="Arial" w:hAnsi="Arial"/>
                <w:sz w:val="16"/>
                <w:szCs w:val="16"/>
                <w:color w:val="0067B3"/>
              </w:rPr>
              <w:t>2026 Proxy Statement</w:t>
            </w:r>
          </w:p>
        </w:tc>
        <w:tc>
          <w:tcPr>
            <w:tcW w:w="440" w:type="dxa"/>
            <w:vAlign w:val="bottom"/>
          </w:tcPr>
          <w:p>
            <w:pPr>
              <w:jc w:val="right"/>
              <w:spacing w:after="0"/>
              <w:rPr>
                <w:sz w:val="20"/>
                <w:szCs w:val="20"/>
                <w:color w:val="auto"/>
              </w:rPr>
            </w:pPr>
            <w:r>
              <w:rPr>
                <w:rFonts w:ascii="Arial" w:cs="Arial" w:eastAsia="Arial" w:hAnsi="Arial"/>
                <w:sz w:val="20"/>
                <w:szCs w:val="20"/>
                <w:b w:val="1"/>
                <w:bCs w:val="1"/>
                <w:color w:val="auto"/>
              </w:rPr>
              <w:t>25</w:t>
            </w:r>
          </w:p>
        </w:tc>
      </w:tr>
      <w:tr>
        <w:trPr>
          <w:trHeight w:val="333"/>
        </w:trPr>
        <w:tc>
          <w:tcPr>
            <w:tcW w:w="1080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type w:val="continuous"/>
        </w:sectPr>
      </w:pPr>
    </w:p>
    <w:bookmarkStart w:id="32" w:name="page33"/>
    <w:bookmarkEnd w:id="32"/>
    <w:p>
      <w:pPr>
        <w:spacing w:after="0" w:line="210" w:lineRule="exact"/>
        <w:rPr>
          <w:sz w:val="20"/>
          <w:szCs w:val="20"/>
          <w:color w:val="auto"/>
        </w:rPr>
      </w:pPr>
    </w:p>
    <w:p>
      <w:pPr>
        <w:ind w:left="220" w:right="260"/>
        <w:spacing w:after="0" w:line="253" w:lineRule="auto"/>
        <w:rPr>
          <w:sz w:val="20"/>
          <w:szCs w:val="20"/>
          <w:color w:val="auto"/>
        </w:rPr>
      </w:pPr>
      <w:r>
        <w:rPr>
          <w:rFonts w:ascii="Arial" w:cs="Arial" w:eastAsia="Arial" w:hAnsi="Arial"/>
          <w:sz w:val="27"/>
          <w:szCs w:val="27"/>
          <w:b w:val="1"/>
          <w:bCs w:val="1"/>
          <w:color w:val="0067B3"/>
        </w:rPr>
        <w:t>Corporate Development Committee</w:t>
      </w:r>
    </w:p>
    <w:p>
      <w:pPr>
        <w:spacing w:after="0" w:line="68" w:lineRule="exact"/>
        <w:rPr>
          <w:sz w:val="20"/>
          <w:szCs w:val="20"/>
          <w:color w:val="auto"/>
        </w:rPr>
      </w:pPr>
    </w:p>
    <w:p>
      <w:pPr>
        <w:ind w:left="220"/>
        <w:spacing w:after="0"/>
        <w:rPr>
          <w:sz w:val="20"/>
          <w:szCs w:val="20"/>
          <w:color w:val="auto"/>
        </w:rPr>
      </w:pPr>
      <w:r>
        <w:rPr>
          <w:rFonts w:ascii="Arial" w:cs="Arial" w:eastAsia="Arial" w:hAnsi="Arial"/>
          <w:sz w:val="18"/>
          <w:szCs w:val="18"/>
          <w:b w:val="1"/>
          <w:bCs w:val="1"/>
          <w:color w:val="auto"/>
        </w:rPr>
        <w:t>Members</w:t>
      </w:r>
    </w:p>
    <w:p>
      <w:pPr>
        <w:spacing w:after="0" w:line="27" w:lineRule="exact"/>
        <w:rPr>
          <w:sz w:val="20"/>
          <w:szCs w:val="20"/>
          <w:color w:val="auto"/>
        </w:rPr>
      </w:pPr>
    </w:p>
    <w:p>
      <w:pPr>
        <w:ind w:left="220"/>
        <w:spacing w:after="0"/>
        <w:rPr>
          <w:sz w:val="20"/>
          <w:szCs w:val="20"/>
          <w:color w:val="auto"/>
        </w:rPr>
      </w:pPr>
      <w:r>
        <w:rPr>
          <w:rFonts w:ascii="Arial" w:cs="Arial" w:eastAsia="Arial" w:hAnsi="Arial"/>
          <w:sz w:val="18"/>
          <w:szCs w:val="18"/>
          <w:color w:val="0067B3"/>
        </w:rPr>
        <w:t>Edward H. Frank (Chair)</w:t>
      </w:r>
    </w:p>
    <w:p>
      <w:pPr>
        <w:spacing w:after="0" w:line="9" w:lineRule="exact"/>
        <w:rPr>
          <w:sz w:val="20"/>
          <w:szCs w:val="20"/>
          <w:color w:val="auto"/>
        </w:rPr>
      </w:pPr>
    </w:p>
    <w:p>
      <w:pPr>
        <w:ind w:left="220"/>
        <w:spacing w:after="0"/>
        <w:rPr>
          <w:sz w:val="20"/>
          <w:szCs w:val="20"/>
          <w:color w:val="auto"/>
        </w:rPr>
      </w:pPr>
      <w:r>
        <w:rPr>
          <w:rFonts w:ascii="Arial" w:cs="Arial" w:eastAsia="Arial" w:hAnsi="Arial"/>
          <w:sz w:val="18"/>
          <w:szCs w:val="18"/>
          <w:color w:val="auto"/>
        </w:rPr>
        <w:t>André Andonian</w:t>
      </w:r>
    </w:p>
    <w:p>
      <w:pPr>
        <w:spacing w:after="0" w:line="8" w:lineRule="exact"/>
        <w:rPr>
          <w:sz w:val="20"/>
          <w:szCs w:val="20"/>
          <w:color w:val="auto"/>
        </w:rPr>
      </w:pPr>
    </w:p>
    <w:p>
      <w:pPr>
        <w:ind w:left="220"/>
        <w:spacing w:after="0"/>
        <w:rPr>
          <w:sz w:val="20"/>
          <w:szCs w:val="20"/>
          <w:color w:val="auto"/>
        </w:rPr>
      </w:pPr>
      <w:r>
        <w:rPr>
          <w:rFonts w:ascii="Arial" w:cs="Arial" w:eastAsia="Arial" w:hAnsi="Arial"/>
          <w:sz w:val="18"/>
          <w:szCs w:val="18"/>
          <w:color w:val="auto"/>
        </w:rPr>
        <w:t>Peter B. Henry</w:t>
      </w:r>
    </w:p>
    <w:p>
      <w:pPr>
        <w:ind w:left="220"/>
        <w:spacing w:after="0"/>
        <w:rPr>
          <w:sz w:val="20"/>
          <w:szCs w:val="20"/>
          <w:color w:val="auto"/>
        </w:rPr>
      </w:pPr>
      <w:r>
        <w:rPr>
          <w:rFonts w:ascii="Arial" w:cs="Arial" w:eastAsia="Arial" w:hAnsi="Arial"/>
          <w:sz w:val="18"/>
          <w:szCs w:val="18"/>
          <w:color w:val="auto"/>
        </w:rPr>
        <w:t>Yoky Matsuoka</w:t>
      </w:r>
      <w:r>
        <w:rPr>
          <w:rFonts w:ascii="Arial" w:cs="Arial" w:eastAsia="Arial" w:hAnsi="Arial"/>
          <w:sz w:val="23"/>
          <w:szCs w:val="23"/>
          <w:color w:val="auto"/>
          <w:vertAlign w:val="superscript"/>
        </w:rPr>
        <w:t>(1)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ind w:left="220"/>
        <w:spacing w:after="0"/>
        <w:rPr>
          <w:sz w:val="20"/>
          <w:szCs w:val="20"/>
          <w:color w:val="auto"/>
        </w:rPr>
      </w:pPr>
      <w:r>
        <w:rPr>
          <w:rFonts w:ascii="Arial" w:cs="Arial" w:eastAsia="Arial" w:hAnsi="Arial"/>
          <w:sz w:val="18"/>
          <w:szCs w:val="18"/>
          <w:b w:val="1"/>
          <w:bCs w:val="1"/>
          <w:color w:val="auto"/>
        </w:rPr>
        <w:t xml:space="preserve">Meetings in 2025: </w:t>
      </w: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br w:type="column"/>
      </w:r>
    </w:p>
    <w:p>
      <w:pPr>
        <w:spacing w:after="0" w:line="92" w:lineRule="exact"/>
        <w:rPr>
          <w:sz w:val="20"/>
          <w:szCs w:val="20"/>
          <w:color w:val="auto"/>
        </w:rPr>
      </w:pPr>
    </w:p>
    <w:p>
      <w:pPr>
        <w:spacing w:after="0"/>
        <w:rPr>
          <w:sz w:val="20"/>
          <w:szCs w:val="20"/>
          <w:color w:val="auto"/>
        </w:rPr>
      </w:pPr>
      <w:r>
        <w:rPr>
          <w:rFonts w:ascii="Arial" w:cs="Arial" w:eastAsia="Arial" w:hAnsi="Arial"/>
          <w:sz w:val="18"/>
          <w:szCs w:val="18"/>
          <w:b w:val="1"/>
          <w:bCs w:val="1"/>
          <w:color w:val="0067B3"/>
        </w:rPr>
        <w:t>PRINCIPAL RESPONSIBILITIES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-1759585</wp:posOffset>
            </wp:positionH>
            <wp:positionV relativeFrom="paragraph">
              <wp:posOffset>-273050</wp:posOffset>
            </wp:positionV>
            <wp:extent cx="7132320" cy="304355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132320" cy="3043555"/>
                    </a:xfrm>
                    <a:prstGeom prst="rect">
                      <a:avLst/>
                    </a:prstGeom>
                    <a:noFill/>
                  </pic:spPr>
                </pic:pic>
              </a:graphicData>
            </a:graphic>
          </wp:anchor>
        </w:drawing>
      </w:r>
    </w:p>
    <w:p>
      <w:pPr>
        <w:spacing w:after="0" w:line="97" w:lineRule="exact"/>
        <w:rPr>
          <w:sz w:val="20"/>
          <w:szCs w:val="20"/>
          <w:color w:val="auto"/>
        </w:rPr>
      </w:pPr>
    </w:p>
    <w:p>
      <w:pPr>
        <w:ind w:right="240"/>
        <w:spacing w:after="0" w:line="287" w:lineRule="auto"/>
        <w:rPr>
          <w:sz w:val="20"/>
          <w:szCs w:val="20"/>
          <w:color w:val="auto"/>
        </w:rPr>
      </w:pPr>
      <w:r>
        <w:rPr>
          <w:rFonts w:ascii="Arial" w:cs="Arial" w:eastAsia="Arial" w:hAnsi="Arial"/>
          <w:sz w:val="18"/>
          <w:szCs w:val="18"/>
          <w:color w:val="auto"/>
        </w:rPr>
        <w:t>The primary responsibility of the Corporate Development Committee is to assist the Board of Directors in evaluating strategic transactions and investments, including reviewing:</w:t>
      </w:r>
    </w:p>
    <w:p>
      <w:pPr>
        <w:spacing w:after="0" w:line="45" w:lineRule="exact"/>
        <w:rPr>
          <w:sz w:val="20"/>
          <w:szCs w:val="20"/>
          <w:color w:val="auto"/>
        </w:rPr>
      </w:pPr>
    </w:p>
    <w:p>
      <w:pPr>
        <w:ind w:left="200" w:right="720" w:hanging="195"/>
        <w:spacing w:after="0" w:line="287" w:lineRule="auto"/>
        <w:tabs>
          <w:tab w:leader="none" w:pos="157" w:val="left"/>
        </w:tabs>
        <w:numPr>
          <w:ilvl w:val="0"/>
          <w:numId w:val="37"/>
        </w:numPr>
        <w:rPr>
          <w:rFonts w:ascii="Arial" w:cs="Arial" w:eastAsia="Arial" w:hAnsi="Arial"/>
          <w:sz w:val="13"/>
          <w:szCs w:val="13"/>
          <w:color w:val="0067B3"/>
        </w:rPr>
      </w:pPr>
      <w:r>
        <w:rPr>
          <w:rFonts w:ascii="Arial" w:cs="Arial" w:eastAsia="Arial" w:hAnsi="Arial"/>
          <w:sz w:val="18"/>
          <w:szCs w:val="18"/>
          <w:color w:val="auto"/>
        </w:rPr>
        <w:t>Significant strategic plans, transactions, and investments, including mergers, acquisitions, and divestitures; and</w:t>
      </w:r>
    </w:p>
    <w:p>
      <w:pPr>
        <w:spacing w:after="0" w:line="17" w:lineRule="exact"/>
        <w:rPr>
          <w:rFonts w:ascii="Arial" w:cs="Arial" w:eastAsia="Arial" w:hAnsi="Arial"/>
          <w:sz w:val="13"/>
          <w:szCs w:val="13"/>
          <w:color w:val="0067B3"/>
        </w:rPr>
      </w:pPr>
    </w:p>
    <w:p>
      <w:pPr>
        <w:ind w:left="160" w:hanging="155"/>
        <w:spacing w:after="0"/>
        <w:tabs>
          <w:tab w:leader="none" w:pos="160" w:val="left"/>
        </w:tabs>
        <w:numPr>
          <w:ilvl w:val="0"/>
          <w:numId w:val="37"/>
        </w:numPr>
        <w:rPr>
          <w:rFonts w:ascii="Arial" w:cs="Arial" w:eastAsia="Arial" w:hAnsi="Arial"/>
          <w:sz w:val="13"/>
          <w:szCs w:val="13"/>
          <w:color w:val="0067B3"/>
        </w:rPr>
      </w:pPr>
      <w:r>
        <w:rPr>
          <w:rFonts w:ascii="Arial" w:cs="Arial" w:eastAsia="Arial" w:hAnsi="Arial"/>
          <w:sz w:val="18"/>
          <w:szCs w:val="18"/>
          <w:color w:val="auto"/>
        </w:rPr>
        <w:t>The results, performance, and financial impact of material transactions.</w:t>
      </w:r>
    </w:p>
    <w:p>
      <w:pPr>
        <w:spacing w:after="0" w:line="117" w:lineRule="exact"/>
        <w:rPr>
          <w:sz w:val="20"/>
          <w:szCs w:val="20"/>
          <w:color w:val="auto"/>
        </w:rPr>
      </w:pPr>
    </w:p>
    <w:p>
      <w:pPr>
        <w:ind w:right="160"/>
        <w:spacing w:after="0" w:line="287" w:lineRule="auto"/>
        <w:rPr>
          <w:sz w:val="20"/>
          <w:szCs w:val="20"/>
          <w:color w:val="auto"/>
        </w:rPr>
      </w:pPr>
      <w:r>
        <w:rPr>
          <w:rFonts w:ascii="Arial" w:cs="Arial" w:eastAsia="Arial" w:hAnsi="Arial"/>
          <w:sz w:val="18"/>
          <w:szCs w:val="18"/>
          <w:color w:val="auto"/>
        </w:rPr>
        <w:t>All matters approved by the Corporate Development Committee are recommended to and also must be approved by our Board of Directors.</w:t>
      </w:r>
    </w:p>
    <w:p>
      <w:pPr>
        <w:spacing w:after="0" w:line="2409" w:lineRule="exact"/>
        <w:rPr>
          <w:sz w:val="20"/>
          <w:szCs w:val="20"/>
          <w:color w:val="auto"/>
        </w:rPr>
      </w:pPr>
    </w:p>
    <w:p>
      <w:pPr>
        <w:sectPr>
          <w:pgSz w:w="11900" w:h="16838" w:orient="portrait"/>
          <w:cols w:equalWidth="0" w:num="2">
            <w:col w:w="2180" w:space="600"/>
            <w:col w:w="8360"/>
          </w:cols>
          <w:pgMar w:left="320" w:top="1440" w:right="439" w:bottom="1440" w:gutter="0" w:footer="0" w:header="0"/>
        </w:sectPr>
      </w:pPr>
    </w:p>
    <w:p>
      <w:pPr>
        <w:spacing w:after="0" w:line="84" w:lineRule="exact"/>
        <w:rPr>
          <w:sz w:val="20"/>
          <w:szCs w:val="20"/>
          <w:color w:val="auto"/>
        </w:rPr>
      </w:pPr>
    </w:p>
    <w:p>
      <w:pPr>
        <w:ind w:left="220" w:hanging="212"/>
        <w:spacing w:after="0"/>
        <w:tabs>
          <w:tab w:leader="none" w:pos="220" w:val="left"/>
        </w:tabs>
        <w:numPr>
          <w:ilvl w:val="0"/>
          <w:numId w:val="38"/>
        </w:numPr>
        <w:rPr>
          <w:rFonts w:ascii="Arial" w:cs="Arial" w:eastAsia="Arial" w:hAnsi="Arial"/>
          <w:sz w:val="21"/>
          <w:szCs w:val="21"/>
          <w:color w:val="auto"/>
          <w:vertAlign w:val="superscript"/>
        </w:rPr>
      </w:pPr>
      <w:r>
        <w:rPr>
          <w:rFonts w:ascii="Arial" w:cs="Arial" w:eastAsia="Arial" w:hAnsi="Arial"/>
          <w:sz w:val="16"/>
          <w:szCs w:val="16"/>
          <w:color w:val="auto"/>
        </w:rPr>
        <w:t>Dr. Matsuoka was appointed as a member of the Corporate Development Committee on January 20, 2026.</w:t>
      </w:r>
    </w:p>
    <w:p>
      <w:pPr>
        <w:spacing w:after="0" w:line="91" w:lineRule="exact"/>
        <w:rPr>
          <w:sz w:val="20"/>
          <w:szCs w:val="20"/>
          <w:color w:val="auto"/>
        </w:rPr>
      </w:pPr>
    </w:p>
    <w:p>
      <w:pPr>
        <w:ind w:right="260"/>
        <w:spacing w:after="0" w:line="262" w:lineRule="auto"/>
        <w:rPr>
          <w:sz w:val="20"/>
          <w:szCs w:val="20"/>
          <w:color w:val="auto"/>
        </w:rPr>
      </w:pPr>
      <w:r>
        <w:rPr>
          <w:rFonts w:ascii="Arial" w:cs="Arial" w:eastAsia="Arial" w:hAnsi="Arial"/>
          <w:sz w:val="18"/>
          <w:szCs w:val="18"/>
          <w:color w:val="auto"/>
        </w:rPr>
        <w:t>The Corporate Development Committee has the authority to engage any independent legal and other advisors it deems necessary or appropriate to carry out its responsibilities. These independent advisors may be the regular advisors to ADI. The Corporate Development Committee is empowered, without further action by the Board of Directors, to cause ADI to pay the compensation of these advisors as established by the Corporate Development Committee.</w:t>
      </w:r>
    </w:p>
    <w:p>
      <w:pPr>
        <w:spacing w:after="0" w:line="205" w:lineRule="exact"/>
        <w:rPr>
          <w:sz w:val="20"/>
          <w:szCs w:val="20"/>
          <w:color w:val="auto"/>
        </w:rPr>
      </w:pPr>
    </w:p>
    <w:p>
      <w:pPr>
        <w:spacing w:after="0"/>
        <w:rPr>
          <w:sz w:val="20"/>
          <w:szCs w:val="20"/>
          <w:color w:val="auto"/>
        </w:rPr>
      </w:pPr>
      <w:r>
        <w:rPr>
          <w:rFonts w:ascii="Arial" w:cs="Arial" w:eastAsia="Arial" w:hAnsi="Arial"/>
          <w:sz w:val="32"/>
          <w:szCs w:val="32"/>
          <w:b w:val="1"/>
          <w:bCs w:val="1"/>
          <w:color w:val="auto"/>
        </w:rPr>
        <w:t>Meetings and Attendance; Executive Sessions</w:t>
      </w:r>
    </w:p>
    <w:p>
      <w:pPr>
        <w:spacing w:after="0" w:line="156" w:lineRule="exact"/>
        <w:rPr>
          <w:sz w:val="20"/>
          <w:szCs w:val="20"/>
          <w:color w:val="auto"/>
        </w:rPr>
      </w:pPr>
    </w:p>
    <w:p>
      <w:pPr>
        <w:ind w:right="120"/>
        <w:spacing w:after="0" w:line="268" w:lineRule="auto"/>
        <w:rPr>
          <w:sz w:val="20"/>
          <w:szCs w:val="20"/>
          <w:color w:val="auto"/>
        </w:rPr>
      </w:pPr>
      <w:r>
        <w:rPr>
          <w:rFonts w:ascii="Arial" w:cs="Arial" w:eastAsia="Arial" w:hAnsi="Arial"/>
          <w:sz w:val="18"/>
          <w:szCs w:val="18"/>
          <w:color w:val="auto"/>
        </w:rPr>
        <w:t>Our Board of Directors met 9 times during the fiscal year ended November 1, 2025 (including by telephone and video conference). Each of the directors attended at least 75% of the aggregate of the total number of meetings of our Board of Directors and the total number of meetings of all committees of the Board of Directors on which he or she served during fiscal year 2025.</w:t>
      </w:r>
    </w:p>
    <w:p>
      <w:pPr>
        <w:spacing w:after="0" w:line="63" w:lineRule="exact"/>
        <w:rPr>
          <w:sz w:val="20"/>
          <w:szCs w:val="20"/>
          <w:color w:val="auto"/>
        </w:rPr>
      </w:pPr>
    </w:p>
    <w:p>
      <w:pPr>
        <w:ind w:right="140"/>
        <w:spacing w:after="0" w:line="287" w:lineRule="auto"/>
        <w:rPr>
          <w:sz w:val="20"/>
          <w:szCs w:val="20"/>
          <w:color w:val="auto"/>
        </w:rPr>
      </w:pPr>
      <w:r>
        <w:rPr>
          <w:rFonts w:ascii="Arial" w:cs="Arial" w:eastAsia="Arial" w:hAnsi="Arial"/>
          <w:sz w:val="18"/>
          <w:szCs w:val="18"/>
          <w:color w:val="auto"/>
        </w:rPr>
        <w:t>Our Corporate Governance Guidelines set forth our policy that directors are expected to attend annual meetings of shareholders. All of our then-serving directors attended our 2025 Annual Meeting.</w:t>
      </w:r>
    </w:p>
    <w:p>
      <w:pPr>
        <w:spacing w:after="0" w:line="182" w:lineRule="exact"/>
        <w:rPr>
          <w:sz w:val="20"/>
          <w:szCs w:val="20"/>
          <w:color w:val="auto"/>
        </w:rPr>
      </w:pPr>
    </w:p>
    <w:p>
      <w:pPr>
        <w:spacing w:after="0"/>
        <w:rPr>
          <w:sz w:val="20"/>
          <w:szCs w:val="20"/>
          <w:color w:val="auto"/>
        </w:rPr>
      </w:pPr>
      <w:r>
        <w:rPr>
          <w:rFonts w:ascii="Arial" w:cs="Arial" w:eastAsia="Arial" w:hAnsi="Arial"/>
          <w:sz w:val="32"/>
          <w:szCs w:val="32"/>
          <w:b w:val="1"/>
          <w:bCs w:val="1"/>
          <w:color w:val="auto"/>
        </w:rPr>
        <w:t>Director Education and Orientation Program</w:t>
      </w:r>
    </w:p>
    <w:p>
      <w:pPr>
        <w:spacing w:after="0" w:line="156" w:lineRule="exact"/>
        <w:rPr>
          <w:sz w:val="20"/>
          <w:szCs w:val="20"/>
          <w:color w:val="auto"/>
        </w:rPr>
      </w:pPr>
    </w:p>
    <w:p>
      <w:pPr>
        <w:spacing w:after="0" w:line="275" w:lineRule="auto"/>
        <w:rPr>
          <w:sz w:val="20"/>
          <w:szCs w:val="20"/>
          <w:color w:val="auto"/>
        </w:rPr>
      </w:pPr>
      <w:r>
        <w:rPr>
          <w:rFonts w:ascii="Arial" w:cs="Arial" w:eastAsia="Arial" w:hAnsi="Arial"/>
          <w:sz w:val="17"/>
          <w:szCs w:val="17"/>
          <w:color w:val="auto"/>
        </w:rPr>
        <w:t>We encourage our directors to attend director education programs and provide educational opportunities to our directors through a variety of platforms. In fiscal year 2025, we continued to focus our director education program on topics that advance our directors’ technical acumen and literacy. The Nominating and Corporate Governance Committee reviews director participation in our director education programs on a regular basis. We reimburse the costs of attending such programs. We also provide members of our Board of Directors a membership to the NACD. Further, we include educational topics regularly at our scheduled Board of Directors’ meetings. During such sessions, an outside party presents on a topic that is relevant to our business and strategic objectives and of interest to our Board of Directors.</w:t>
      </w:r>
    </w:p>
    <w:p>
      <w:pPr>
        <w:spacing w:after="0" w:line="60" w:lineRule="exact"/>
        <w:rPr>
          <w:sz w:val="20"/>
          <w:szCs w:val="20"/>
          <w:color w:val="auto"/>
        </w:rPr>
      </w:pPr>
    </w:p>
    <w:p>
      <w:pPr>
        <w:spacing w:after="0" w:line="262" w:lineRule="auto"/>
        <w:rPr>
          <w:sz w:val="20"/>
          <w:szCs w:val="20"/>
          <w:color w:val="auto"/>
        </w:rPr>
      </w:pPr>
      <w:r>
        <w:rPr>
          <w:rFonts w:ascii="Arial" w:cs="Arial" w:eastAsia="Arial" w:hAnsi="Arial"/>
          <w:sz w:val="18"/>
          <w:szCs w:val="18"/>
          <w:color w:val="auto"/>
        </w:rPr>
        <w:t>Also, all new directors participate in our director orientation program. This orientation program is designed to familiarize new directors with ADI and our Board of Directors through a review of background material, meetings with senior management, and facilities tours. This orientation allows new directors to become familiar with our business and strategic plan, products, technologies, and end markets, corporate governance practices, compensation practices, and other key policies and practices.</w:t>
      </w:r>
    </w:p>
    <w:p>
      <w:pPr>
        <w:spacing w:after="0" w:line="200" w:lineRule="exact"/>
        <w:rPr>
          <w:sz w:val="20"/>
          <w:szCs w:val="20"/>
          <w:color w:val="auto"/>
        </w:rPr>
      </w:pPr>
    </w:p>
    <w:p>
      <w:pPr>
        <w:spacing w:after="0" w:line="290" w:lineRule="exact"/>
        <w:rPr>
          <w:sz w:val="20"/>
          <w:szCs w:val="20"/>
          <w:color w:val="auto"/>
        </w:rPr>
      </w:pPr>
    </w:p>
    <w:p>
      <w:pPr>
        <w:ind w:left="640" w:hanging="614"/>
        <w:spacing w:after="0"/>
        <w:tabs>
          <w:tab w:leader="none" w:pos="640" w:val="left"/>
        </w:tabs>
        <w:numPr>
          <w:ilvl w:val="0"/>
          <w:numId w:val="39"/>
        </w:numPr>
        <w:rPr>
          <w:rFonts w:ascii="Arial" w:cs="Arial" w:eastAsia="Arial" w:hAnsi="Arial"/>
          <w:sz w:val="20"/>
          <w:szCs w:val="20"/>
          <w:b w:val="1"/>
          <w:bCs w:val="1"/>
          <w:color w:val="auto"/>
        </w:rPr>
      </w:pPr>
      <w:r>
        <w:rPr>
          <w:rFonts w:ascii="Arial" w:cs="Arial" w:eastAsia="Arial" w:hAnsi="Arial"/>
          <w:sz w:val="16"/>
          <w:szCs w:val="16"/>
          <w:color w:val="6D6E71"/>
        </w:rPr>
        <w:t>Corporate Governance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186055</wp:posOffset>
            </wp:positionV>
            <wp:extent cx="7157720" cy="4254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1440" w:right="439" w:bottom="1440" w:gutter="0" w:footer="0" w:header="0"/>
          <w:type w:val="continuous"/>
        </w:sectPr>
      </w:pPr>
    </w:p>
    <w:bookmarkStart w:id="33" w:name="page34"/>
    <w:bookmarkEnd w:id="33"/>
    <w:p>
      <w:pPr>
        <w:spacing w:after="0"/>
        <w:rPr>
          <w:sz w:val="20"/>
          <w:szCs w:val="20"/>
          <w:color w:val="auto"/>
        </w:rPr>
      </w:pPr>
      <w:r>
        <w:rPr>
          <w:rFonts w:ascii="Arial" w:cs="Arial" w:eastAsia="Arial" w:hAnsi="Arial"/>
          <w:sz w:val="32"/>
          <w:szCs w:val="32"/>
          <w:b w:val="1"/>
          <w:bCs w:val="1"/>
          <w:color w:val="auto"/>
        </w:rPr>
        <w:t>Board Evaluations</w:t>
      </w:r>
    </w:p>
    <w:p>
      <w:pPr>
        <w:spacing w:after="0" w:line="182" w:lineRule="exact"/>
        <w:rPr>
          <w:sz w:val="20"/>
          <w:szCs w:val="20"/>
          <w:color w:val="auto"/>
        </w:rPr>
      </w:pPr>
    </w:p>
    <w:tbl>
      <w:tblPr>
        <w:tblLayout w:type="fixed"/>
        <w:tblInd w:w="10" w:type="dxa"/>
        <w:tblCellMar>
          <w:top w:w="0" w:type="dxa"/>
          <w:left w:w="0" w:type="dxa"/>
          <w:bottom w:w="0" w:type="dxa"/>
          <w:right w:w="0" w:type="dxa"/>
        </w:tblCellMar>
      </w:tblPr>
      <w:tr>
        <w:trPr>
          <w:trHeight w:val="162"/>
        </w:trPr>
        <w:tc>
          <w:tcPr>
            <w:tcW w:w="220" w:type="dxa"/>
            <w:vAlign w:val="bottom"/>
            <w:tcBorders>
              <w:top w:val="single" w:sz="8" w:color="0067B3"/>
              <w:left w:val="single" w:sz="8" w:color="0067B3"/>
            </w:tcBorders>
          </w:tcPr>
          <w:p>
            <w:pPr>
              <w:spacing w:after="0"/>
              <w:rPr>
                <w:sz w:val="14"/>
                <w:szCs w:val="14"/>
                <w:color w:val="auto"/>
              </w:rPr>
            </w:pPr>
          </w:p>
        </w:tc>
        <w:tc>
          <w:tcPr>
            <w:tcW w:w="2440" w:type="dxa"/>
            <w:vAlign w:val="bottom"/>
            <w:tcBorders>
              <w:top w:val="single" w:sz="8" w:color="0067B3"/>
            </w:tcBorders>
          </w:tcPr>
          <w:p>
            <w:pPr>
              <w:spacing w:after="0"/>
              <w:rPr>
                <w:sz w:val="14"/>
                <w:szCs w:val="14"/>
                <w:color w:val="auto"/>
              </w:rPr>
            </w:pPr>
          </w:p>
        </w:tc>
        <w:tc>
          <w:tcPr>
            <w:tcW w:w="320" w:type="dxa"/>
            <w:vAlign w:val="bottom"/>
            <w:tcBorders>
              <w:top w:val="single" w:sz="8" w:color="0067B3"/>
            </w:tcBorders>
          </w:tcPr>
          <w:p>
            <w:pPr>
              <w:spacing w:after="0"/>
              <w:rPr>
                <w:sz w:val="14"/>
                <w:szCs w:val="14"/>
                <w:color w:val="auto"/>
              </w:rPr>
            </w:pPr>
          </w:p>
        </w:tc>
        <w:tc>
          <w:tcPr>
            <w:tcW w:w="2460" w:type="dxa"/>
            <w:vAlign w:val="bottom"/>
            <w:tcBorders>
              <w:top w:val="single" w:sz="8" w:color="0067B3"/>
            </w:tcBorders>
          </w:tcPr>
          <w:p>
            <w:pPr>
              <w:spacing w:after="0"/>
              <w:rPr>
                <w:sz w:val="14"/>
                <w:szCs w:val="14"/>
                <w:color w:val="auto"/>
              </w:rPr>
            </w:pPr>
          </w:p>
        </w:tc>
        <w:tc>
          <w:tcPr>
            <w:tcW w:w="320" w:type="dxa"/>
            <w:vAlign w:val="bottom"/>
            <w:tcBorders>
              <w:top w:val="single" w:sz="8" w:color="0067B3"/>
            </w:tcBorders>
          </w:tcPr>
          <w:p>
            <w:pPr>
              <w:spacing w:after="0"/>
              <w:rPr>
                <w:sz w:val="14"/>
                <w:szCs w:val="14"/>
                <w:color w:val="auto"/>
              </w:rPr>
            </w:pPr>
          </w:p>
        </w:tc>
        <w:tc>
          <w:tcPr>
            <w:tcW w:w="2460" w:type="dxa"/>
            <w:vAlign w:val="bottom"/>
            <w:tcBorders>
              <w:top w:val="single" w:sz="8" w:color="0067B3"/>
            </w:tcBorders>
          </w:tcPr>
          <w:p>
            <w:pPr>
              <w:spacing w:after="0"/>
              <w:rPr>
                <w:sz w:val="14"/>
                <w:szCs w:val="14"/>
                <w:color w:val="auto"/>
              </w:rPr>
            </w:pPr>
          </w:p>
        </w:tc>
        <w:tc>
          <w:tcPr>
            <w:tcW w:w="320" w:type="dxa"/>
            <w:vAlign w:val="bottom"/>
            <w:tcBorders>
              <w:top w:val="single" w:sz="8" w:color="0067B3"/>
            </w:tcBorders>
          </w:tcPr>
          <w:p>
            <w:pPr>
              <w:spacing w:after="0"/>
              <w:rPr>
                <w:sz w:val="14"/>
                <w:szCs w:val="14"/>
                <w:color w:val="auto"/>
              </w:rPr>
            </w:pPr>
          </w:p>
        </w:tc>
        <w:tc>
          <w:tcPr>
            <w:tcW w:w="2480" w:type="dxa"/>
            <w:vAlign w:val="bottom"/>
            <w:tcBorders>
              <w:top w:val="single" w:sz="8" w:color="0067B3"/>
            </w:tcBorders>
          </w:tcPr>
          <w:p>
            <w:pPr>
              <w:spacing w:after="0"/>
              <w:rPr>
                <w:sz w:val="14"/>
                <w:szCs w:val="14"/>
                <w:color w:val="auto"/>
              </w:rPr>
            </w:pPr>
          </w:p>
        </w:tc>
        <w:tc>
          <w:tcPr>
            <w:tcW w:w="240" w:type="dxa"/>
            <w:vAlign w:val="bottom"/>
            <w:tcBorders>
              <w:top w:val="single" w:sz="8" w:color="0067B3"/>
              <w:right w:val="single" w:sz="8" w:color="0067B3"/>
            </w:tcBorders>
          </w:tcPr>
          <w:p>
            <w:pPr>
              <w:spacing w:after="0"/>
              <w:rPr>
                <w:sz w:val="14"/>
                <w:szCs w:val="14"/>
                <w:color w:val="auto"/>
              </w:rPr>
            </w:pPr>
          </w:p>
        </w:tc>
        <w:tc>
          <w:tcPr>
            <w:tcW w:w="0" w:type="dxa"/>
            <w:vAlign w:val="bottom"/>
          </w:tcPr>
          <w:p>
            <w:pPr>
              <w:spacing w:after="0"/>
              <w:rPr>
                <w:sz w:val="1"/>
                <w:szCs w:val="1"/>
                <w:color w:val="auto"/>
              </w:rPr>
            </w:pPr>
          </w:p>
        </w:tc>
      </w:tr>
      <w:tr>
        <w:trPr>
          <w:trHeight w:val="427"/>
        </w:trPr>
        <w:tc>
          <w:tcPr>
            <w:tcW w:w="220" w:type="dxa"/>
            <w:vAlign w:val="bottom"/>
            <w:tcBorders>
              <w:left w:val="single" w:sz="8" w:color="0067B3"/>
            </w:tcBorders>
          </w:tcPr>
          <w:p>
            <w:pPr>
              <w:spacing w:after="0"/>
              <w:rPr>
                <w:sz w:val="24"/>
                <w:szCs w:val="24"/>
                <w:color w:val="auto"/>
              </w:rPr>
            </w:pPr>
          </w:p>
        </w:tc>
        <w:tc>
          <w:tcPr>
            <w:tcW w:w="2440" w:type="dxa"/>
            <w:vAlign w:val="bottom"/>
            <w:shd w:val="clear" w:color="auto" w:fill="E2E6F4"/>
          </w:tcPr>
          <w:p>
            <w:pPr>
              <w:ind w:left="140"/>
              <w:spacing w:after="0"/>
              <w:rPr>
                <w:sz w:val="20"/>
                <w:szCs w:val="20"/>
                <w:color w:val="auto"/>
              </w:rPr>
            </w:pPr>
            <w:r>
              <w:rPr>
                <w:rFonts w:ascii="Arial" w:cs="Arial" w:eastAsia="Arial" w:hAnsi="Arial"/>
                <w:sz w:val="18"/>
                <w:szCs w:val="18"/>
                <w:b w:val="1"/>
                <w:bCs w:val="1"/>
                <w:color w:val="0067B3"/>
              </w:rPr>
              <w:t>Development of Annual</w:t>
            </w:r>
          </w:p>
        </w:tc>
        <w:tc>
          <w:tcPr>
            <w:tcW w:w="320" w:type="dxa"/>
            <w:vAlign w:val="bottom"/>
          </w:tcPr>
          <w:p>
            <w:pPr>
              <w:spacing w:after="0"/>
              <w:rPr>
                <w:sz w:val="24"/>
                <w:szCs w:val="24"/>
                <w:color w:val="auto"/>
              </w:rPr>
            </w:pPr>
          </w:p>
        </w:tc>
        <w:tc>
          <w:tcPr>
            <w:tcW w:w="2460" w:type="dxa"/>
            <w:vAlign w:val="bottom"/>
            <w:shd w:val="clear" w:color="auto" w:fill="E2E6F4"/>
          </w:tcPr>
          <w:p>
            <w:pPr>
              <w:ind w:left="140"/>
              <w:spacing w:after="0"/>
              <w:rPr>
                <w:sz w:val="20"/>
                <w:szCs w:val="20"/>
                <w:color w:val="auto"/>
              </w:rPr>
            </w:pPr>
            <w:r>
              <w:rPr>
                <w:rFonts w:ascii="Arial" w:cs="Arial" w:eastAsia="Arial" w:hAnsi="Arial"/>
                <w:sz w:val="18"/>
                <w:szCs w:val="18"/>
                <w:b w:val="1"/>
                <w:bCs w:val="1"/>
                <w:color w:val="0067B3"/>
              </w:rPr>
              <w:t>Written Questionnaires</w:t>
            </w:r>
          </w:p>
        </w:tc>
        <w:tc>
          <w:tcPr>
            <w:tcW w:w="320" w:type="dxa"/>
            <w:vAlign w:val="bottom"/>
          </w:tcPr>
          <w:p>
            <w:pPr>
              <w:spacing w:after="0"/>
              <w:rPr>
                <w:sz w:val="24"/>
                <w:szCs w:val="24"/>
                <w:color w:val="auto"/>
              </w:rPr>
            </w:pPr>
          </w:p>
        </w:tc>
        <w:tc>
          <w:tcPr>
            <w:tcW w:w="2460" w:type="dxa"/>
            <w:vAlign w:val="bottom"/>
            <w:shd w:val="clear" w:color="auto" w:fill="E2E6F4"/>
          </w:tcPr>
          <w:p>
            <w:pPr>
              <w:ind w:left="140"/>
              <w:spacing w:after="0"/>
              <w:rPr>
                <w:sz w:val="20"/>
                <w:szCs w:val="20"/>
                <w:color w:val="auto"/>
              </w:rPr>
            </w:pPr>
            <w:r>
              <w:rPr>
                <w:rFonts w:ascii="Arial" w:cs="Arial" w:eastAsia="Arial" w:hAnsi="Arial"/>
                <w:sz w:val="18"/>
                <w:szCs w:val="18"/>
                <w:b w:val="1"/>
                <w:bCs w:val="1"/>
                <w:color w:val="0067B3"/>
              </w:rPr>
              <w:t>One-on-One Discussions</w:t>
            </w:r>
          </w:p>
        </w:tc>
        <w:tc>
          <w:tcPr>
            <w:tcW w:w="320" w:type="dxa"/>
            <w:vAlign w:val="bottom"/>
          </w:tcPr>
          <w:p>
            <w:pPr>
              <w:spacing w:after="0"/>
              <w:rPr>
                <w:sz w:val="24"/>
                <w:szCs w:val="24"/>
                <w:color w:val="auto"/>
              </w:rPr>
            </w:pPr>
          </w:p>
        </w:tc>
        <w:tc>
          <w:tcPr>
            <w:tcW w:w="2480" w:type="dxa"/>
            <w:vAlign w:val="bottom"/>
            <w:shd w:val="clear" w:color="auto" w:fill="E2E6F4"/>
          </w:tcPr>
          <w:p>
            <w:pPr>
              <w:ind w:left="140"/>
              <w:spacing w:after="0"/>
              <w:rPr>
                <w:sz w:val="20"/>
                <w:szCs w:val="20"/>
                <w:color w:val="auto"/>
              </w:rPr>
            </w:pPr>
            <w:r>
              <w:rPr>
                <w:rFonts w:ascii="Arial" w:cs="Arial" w:eastAsia="Arial" w:hAnsi="Arial"/>
                <w:sz w:val="18"/>
                <w:szCs w:val="18"/>
                <w:b w:val="1"/>
                <w:bCs w:val="1"/>
                <w:color w:val="0067B3"/>
              </w:rPr>
              <w:t>Evaluation of Results</w:t>
            </w:r>
          </w:p>
        </w:tc>
        <w:tc>
          <w:tcPr>
            <w:tcW w:w="240" w:type="dxa"/>
            <w:vAlign w:val="bottom"/>
            <w:tcBorders>
              <w:right w:val="single" w:sz="8" w:color="0067B3"/>
            </w:tcBorders>
          </w:tcPr>
          <w:p>
            <w:pPr>
              <w:spacing w:after="0"/>
              <w:rPr>
                <w:sz w:val="24"/>
                <w:szCs w:val="24"/>
                <w:color w:val="auto"/>
              </w:rPr>
            </w:pPr>
          </w:p>
        </w:tc>
        <w:tc>
          <w:tcPr>
            <w:tcW w:w="0" w:type="dxa"/>
            <w:vAlign w:val="bottom"/>
          </w:tcPr>
          <w:p>
            <w:pPr>
              <w:spacing w:after="0"/>
              <w:rPr>
                <w:sz w:val="1"/>
                <w:szCs w:val="1"/>
                <w:color w:val="auto"/>
              </w:rPr>
            </w:pPr>
          </w:p>
        </w:tc>
      </w:tr>
      <w:tr>
        <w:trPr>
          <w:trHeight w:val="247"/>
        </w:trPr>
        <w:tc>
          <w:tcPr>
            <w:tcW w:w="220" w:type="dxa"/>
            <w:vAlign w:val="bottom"/>
            <w:tcBorders>
              <w:left w:val="single" w:sz="8" w:color="0067B3"/>
            </w:tcBorders>
          </w:tcPr>
          <w:p>
            <w:pPr>
              <w:spacing w:after="0"/>
              <w:rPr>
                <w:sz w:val="21"/>
                <w:szCs w:val="21"/>
                <w:color w:val="auto"/>
              </w:rPr>
            </w:pPr>
          </w:p>
        </w:tc>
        <w:tc>
          <w:tcPr>
            <w:tcW w:w="2440" w:type="dxa"/>
            <w:vAlign w:val="bottom"/>
            <w:shd w:val="clear" w:color="auto" w:fill="E2E6F4"/>
          </w:tcPr>
          <w:p>
            <w:pPr>
              <w:ind w:left="140"/>
              <w:spacing w:after="0"/>
              <w:rPr>
                <w:sz w:val="20"/>
                <w:szCs w:val="20"/>
                <w:color w:val="auto"/>
              </w:rPr>
            </w:pPr>
            <w:r>
              <w:rPr>
                <w:rFonts w:ascii="Arial" w:cs="Arial" w:eastAsia="Arial" w:hAnsi="Arial"/>
                <w:sz w:val="18"/>
                <w:szCs w:val="18"/>
                <w:b w:val="1"/>
                <w:bCs w:val="1"/>
                <w:color w:val="0067B3"/>
              </w:rPr>
              <w:t>Evaluation Process</w:t>
            </w:r>
          </w:p>
        </w:tc>
        <w:tc>
          <w:tcPr>
            <w:tcW w:w="320" w:type="dxa"/>
            <w:vAlign w:val="bottom"/>
          </w:tcPr>
          <w:p>
            <w:pPr>
              <w:spacing w:after="0"/>
              <w:rPr>
                <w:sz w:val="21"/>
                <w:szCs w:val="21"/>
                <w:color w:val="auto"/>
              </w:rPr>
            </w:pPr>
          </w:p>
        </w:tc>
        <w:tc>
          <w:tcPr>
            <w:tcW w:w="2460" w:type="dxa"/>
            <w:vAlign w:val="bottom"/>
            <w:vMerge w:val="restart"/>
            <w:shd w:val="clear" w:color="auto" w:fill="E2E6F4"/>
          </w:tcPr>
          <w:p>
            <w:pPr>
              <w:ind w:left="140"/>
              <w:spacing w:after="0"/>
              <w:rPr>
                <w:sz w:val="20"/>
                <w:szCs w:val="20"/>
                <w:color w:val="auto"/>
              </w:rPr>
            </w:pPr>
            <w:r>
              <w:rPr>
                <w:rFonts w:ascii="Arial" w:cs="Arial" w:eastAsia="Arial" w:hAnsi="Arial"/>
                <w:sz w:val="18"/>
                <w:szCs w:val="18"/>
                <w:color w:val="auto"/>
              </w:rPr>
              <w:t>Each director undertakes</w:t>
            </w:r>
          </w:p>
        </w:tc>
        <w:tc>
          <w:tcPr>
            <w:tcW w:w="320" w:type="dxa"/>
            <w:vAlign w:val="bottom"/>
          </w:tcPr>
          <w:p>
            <w:pPr>
              <w:spacing w:after="0"/>
              <w:rPr>
                <w:sz w:val="21"/>
                <w:szCs w:val="21"/>
                <w:color w:val="auto"/>
              </w:rPr>
            </w:pPr>
          </w:p>
        </w:tc>
        <w:tc>
          <w:tcPr>
            <w:tcW w:w="2460" w:type="dxa"/>
            <w:vAlign w:val="bottom"/>
            <w:vMerge w:val="restart"/>
            <w:shd w:val="clear" w:color="auto" w:fill="E2E6F4"/>
          </w:tcPr>
          <w:p>
            <w:pPr>
              <w:ind w:left="140"/>
              <w:spacing w:after="0"/>
              <w:rPr>
                <w:sz w:val="20"/>
                <w:szCs w:val="20"/>
                <w:color w:val="auto"/>
              </w:rPr>
            </w:pPr>
            <w:r>
              <w:rPr>
                <w:rFonts w:ascii="Arial" w:cs="Arial" w:eastAsia="Arial" w:hAnsi="Arial"/>
                <w:sz w:val="18"/>
                <w:szCs w:val="18"/>
                <w:color w:val="auto"/>
              </w:rPr>
              <w:t>A third-party facilitator also</w:t>
            </w:r>
          </w:p>
        </w:tc>
        <w:tc>
          <w:tcPr>
            <w:tcW w:w="320" w:type="dxa"/>
            <w:vAlign w:val="bottom"/>
          </w:tcPr>
          <w:p>
            <w:pPr>
              <w:spacing w:after="0"/>
              <w:rPr>
                <w:sz w:val="21"/>
                <w:szCs w:val="21"/>
                <w:color w:val="auto"/>
              </w:rPr>
            </w:pPr>
          </w:p>
        </w:tc>
        <w:tc>
          <w:tcPr>
            <w:tcW w:w="2480" w:type="dxa"/>
            <w:vAlign w:val="bottom"/>
            <w:vMerge w:val="restart"/>
            <w:shd w:val="clear" w:color="auto" w:fill="E2E6F4"/>
          </w:tcPr>
          <w:p>
            <w:pPr>
              <w:ind w:left="140"/>
              <w:spacing w:after="0"/>
              <w:rPr>
                <w:sz w:val="20"/>
                <w:szCs w:val="20"/>
                <w:color w:val="auto"/>
              </w:rPr>
            </w:pPr>
            <w:r>
              <w:rPr>
                <w:rFonts w:ascii="Arial" w:cs="Arial" w:eastAsia="Arial" w:hAnsi="Arial"/>
                <w:sz w:val="18"/>
                <w:szCs w:val="18"/>
                <w:color w:val="auto"/>
              </w:rPr>
              <w:t>The third-party facilitator</w:t>
            </w:r>
          </w:p>
        </w:tc>
        <w:tc>
          <w:tcPr>
            <w:tcW w:w="240" w:type="dxa"/>
            <w:vAlign w:val="bottom"/>
            <w:tcBorders>
              <w:right w:val="single" w:sz="8" w:color="0067B3"/>
            </w:tcBorders>
          </w:tcPr>
          <w:p>
            <w:pPr>
              <w:spacing w:after="0"/>
              <w:rPr>
                <w:sz w:val="21"/>
                <w:szCs w:val="21"/>
                <w:color w:val="auto"/>
              </w:rPr>
            </w:pPr>
          </w:p>
        </w:tc>
        <w:tc>
          <w:tcPr>
            <w:tcW w:w="0" w:type="dxa"/>
            <w:vAlign w:val="bottom"/>
          </w:tcPr>
          <w:p>
            <w:pPr>
              <w:spacing w:after="0"/>
              <w:rPr>
                <w:sz w:val="1"/>
                <w:szCs w:val="1"/>
                <w:color w:val="auto"/>
              </w:rPr>
            </w:pPr>
          </w:p>
        </w:tc>
      </w:tr>
      <w:tr>
        <w:trPr>
          <w:trHeight w:val="77"/>
        </w:trPr>
        <w:tc>
          <w:tcPr>
            <w:tcW w:w="220" w:type="dxa"/>
            <w:vAlign w:val="bottom"/>
            <w:tcBorders>
              <w:left w:val="single" w:sz="8" w:color="0067B3"/>
            </w:tcBorders>
          </w:tcPr>
          <w:p>
            <w:pPr>
              <w:spacing w:after="0"/>
              <w:rPr>
                <w:sz w:val="6"/>
                <w:szCs w:val="6"/>
                <w:color w:val="auto"/>
              </w:rPr>
            </w:pPr>
          </w:p>
        </w:tc>
        <w:tc>
          <w:tcPr>
            <w:tcW w:w="2440" w:type="dxa"/>
            <w:vAlign w:val="bottom"/>
            <w:shd w:val="clear" w:color="auto" w:fill="E2E6F4"/>
          </w:tcPr>
          <w:p>
            <w:pPr>
              <w:spacing w:after="0"/>
              <w:rPr>
                <w:sz w:val="6"/>
                <w:szCs w:val="6"/>
                <w:color w:val="auto"/>
              </w:rPr>
            </w:pPr>
          </w:p>
        </w:tc>
        <w:tc>
          <w:tcPr>
            <w:tcW w:w="320" w:type="dxa"/>
            <w:vAlign w:val="bottom"/>
          </w:tcPr>
          <w:p>
            <w:pPr>
              <w:spacing w:after="0"/>
              <w:rPr>
                <w:sz w:val="6"/>
                <w:szCs w:val="6"/>
                <w:color w:val="auto"/>
              </w:rPr>
            </w:pPr>
          </w:p>
        </w:tc>
        <w:tc>
          <w:tcPr>
            <w:tcW w:w="2460" w:type="dxa"/>
            <w:vAlign w:val="bottom"/>
            <w:vMerge w:val="continue"/>
            <w:shd w:val="clear" w:color="auto" w:fill="E2E6F4"/>
          </w:tcPr>
          <w:p>
            <w:pPr>
              <w:spacing w:after="0"/>
              <w:rPr>
                <w:sz w:val="6"/>
                <w:szCs w:val="6"/>
                <w:color w:val="auto"/>
              </w:rPr>
            </w:pPr>
          </w:p>
        </w:tc>
        <w:tc>
          <w:tcPr>
            <w:tcW w:w="320" w:type="dxa"/>
            <w:vAlign w:val="bottom"/>
          </w:tcPr>
          <w:p>
            <w:pPr>
              <w:spacing w:after="0"/>
              <w:rPr>
                <w:sz w:val="6"/>
                <w:szCs w:val="6"/>
                <w:color w:val="auto"/>
              </w:rPr>
            </w:pPr>
          </w:p>
        </w:tc>
        <w:tc>
          <w:tcPr>
            <w:tcW w:w="2460" w:type="dxa"/>
            <w:vAlign w:val="bottom"/>
            <w:vMerge w:val="continue"/>
            <w:shd w:val="clear" w:color="auto" w:fill="E2E6F4"/>
          </w:tcPr>
          <w:p>
            <w:pPr>
              <w:spacing w:after="0"/>
              <w:rPr>
                <w:sz w:val="6"/>
                <w:szCs w:val="6"/>
                <w:color w:val="auto"/>
              </w:rPr>
            </w:pPr>
          </w:p>
        </w:tc>
        <w:tc>
          <w:tcPr>
            <w:tcW w:w="320" w:type="dxa"/>
            <w:vAlign w:val="bottom"/>
          </w:tcPr>
          <w:p>
            <w:pPr>
              <w:spacing w:after="0"/>
              <w:rPr>
                <w:sz w:val="6"/>
                <w:szCs w:val="6"/>
                <w:color w:val="auto"/>
              </w:rPr>
            </w:pPr>
          </w:p>
        </w:tc>
        <w:tc>
          <w:tcPr>
            <w:tcW w:w="2480" w:type="dxa"/>
            <w:vAlign w:val="bottom"/>
            <w:vMerge w:val="continue"/>
            <w:shd w:val="clear" w:color="auto" w:fill="E2E6F4"/>
          </w:tcPr>
          <w:p>
            <w:pPr>
              <w:spacing w:after="0"/>
              <w:rPr>
                <w:sz w:val="6"/>
                <w:szCs w:val="6"/>
                <w:color w:val="auto"/>
              </w:rPr>
            </w:pPr>
          </w:p>
        </w:tc>
        <w:tc>
          <w:tcPr>
            <w:tcW w:w="240" w:type="dxa"/>
            <w:vAlign w:val="bottom"/>
            <w:tcBorders>
              <w:right w:val="single" w:sz="8" w:color="0067B3"/>
            </w:tcBorders>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20" w:type="dxa"/>
            <w:vAlign w:val="bottom"/>
            <w:tcBorders>
              <w:left w:val="single" w:sz="8" w:color="0067B3"/>
            </w:tcBorders>
          </w:tcPr>
          <w:p>
            <w:pPr>
              <w:spacing w:after="0"/>
              <w:rPr>
                <w:sz w:val="18"/>
                <w:szCs w:val="18"/>
                <w:color w:val="auto"/>
              </w:rPr>
            </w:pPr>
          </w:p>
        </w:tc>
        <w:tc>
          <w:tcPr>
            <w:tcW w:w="2440" w:type="dxa"/>
            <w:vAlign w:val="bottom"/>
            <w:shd w:val="clear" w:color="auto" w:fill="E2E6F4"/>
          </w:tcPr>
          <w:p>
            <w:pPr>
              <w:ind w:left="140"/>
              <w:spacing w:after="0"/>
              <w:rPr>
                <w:sz w:val="20"/>
                <w:szCs w:val="20"/>
                <w:color w:val="auto"/>
              </w:rPr>
            </w:pPr>
            <w:r>
              <w:rPr>
                <w:rFonts w:ascii="Arial" w:cs="Arial" w:eastAsia="Arial" w:hAnsi="Arial"/>
                <w:sz w:val="18"/>
                <w:szCs w:val="18"/>
                <w:color w:val="auto"/>
              </w:rPr>
              <w:t>Each December, our Lead</w:t>
            </w:r>
          </w:p>
        </w:tc>
        <w:tc>
          <w:tcPr>
            <w:tcW w:w="320" w:type="dxa"/>
            <w:vAlign w:val="bottom"/>
          </w:tcPr>
          <w:p>
            <w:pPr>
              <w:spacing w:after="0"/>
              <w:rPr>
                <w:sz w:val="18"/>
                <w:szCs w:val="18"/>
                <w:color w:val="auto"/>
              </w:rPr>
            </w:pPr>
          </w:p>
        </w:tc>
        <w:tc>
          <w:tcPr>
            <w:tcW w:w="2460" w:type="dxa"/>
            <w:vAlign w:val="bottom"/>
            <w:shd w:val="clear" w:color="auto" w:fill="E2E6F4"/>
          </w:tcPr>
          <w:p>
            <w:pPr>
              <w:ind w:left="140"/>
              <w:spacing w:after="0"/>
              <w:rPr>
                <w:sz w:val="20"/>
                <w:szCs w:val="20"/>
                <w:color w:val="auto"/>
              </w:rPr>
            </w:pPr>
            <w:r>
              <w:rPr>
                <w:rFonts w:ascii="Arial" w:cs="Arial" w:eastAsia="Arial" w:hAnsi="Arial"/>
                <w:sz w:val="18"/>
                <w:szCs w:val="18"/>
                <w:color w:val="auto"/>
              </w:rPr>
              <w:t>an evaluation of the Board</w:t>
            </w:r>
          </w:p>
        </w:tc>
        <w:tc>
          <w:tcPr>
            <w:tcW w:w="320" w:type="dxa"/>
            <w:vAlign w:val="bottom"/>
          </w:tcPr>
          <w:p>
            <w:pPr>
              <w:spacing w:after="0"/>
              <w:rPr>
                <w:sz w:val="18"/>
                <w:szCs w:val="18"/>
                <w:color w:val="auto"/>
              </w:rPr>
            </w:pPr>
          </w:p>
        </w:tc>
        <w:tc>
          <w:tcPr>
            <w:tcW w:w="2460" w:type="dxa"/>
            <w:vAlign w:val="bottom"/>
            <w:shd w:val="clear" w:color="auto" w:fill="E2E6F4"/>
          </w:tcPr>
          <w:p>
            <w:pPr>
              <w:ind w:left="140"/>
              <w:spacing w:after="0"/>
              <w:rPr>
                <w:sz w:val="20"/>
                <w:szCs w:val="20"/>
                <w:color w:val="auto"/>
              </w:rPr>
            </w:pPr>
            <w:r>
              <w:rPr>
                <w:rFonts w:ascii="Arial" w:cs="Arial" w:eastAsia="Arial" w:hAnsi="Arial"/>
                <w:sz w:val="18"/>
                <w:szCs w:val="18"/>
                <w:color w:val="auto"/>
              </w:rPr>
              <w:t>has conversations with</w:t>
            </w:r>
          </w:p>
        </w:tc>
        <w:tc>
          <w:tcPr>
            <w:tcW w:w="320" w:type="dxa"/>
            <w:vAlign w:val="bottom"/>
          </w:tcPr>
          <w:p>
            <w:pPr>
              <w:spacing w:after="0"/>
              <w:rPr>
                <w:sz w:val="18"/>
                <w:szCs w:val="18"/>
                <w:color w:val="auto"/>
              </w:rPr>
            </w:pPr>
          </w:p>
        </w:tc>
        <w:tc>
          <w:tcPr>
            <w:tcW w:w="2480" w:type="dxa"/>
            <w:vAlign w:val="bottom"/>
            <w:shd w:val="clear" w:color="auto" w:fill="E2E6F4"/>
          </w:tcPr>
          <w:p>
            <w:pPr>
              <w:ind w:left="140"/>
              <w:spacing w:after="0"/>
              <w:rPr>
                <w:sz w:val="20"/>
                <w:szCs w:val="20"/>
                <w:color w:val="auto"/>
              </w:rPr>
            </w:pPr>
            <w:r>
              <w:rPr>
                <w:rFonts w:ascii="Arial" w:cs="Arial" w:eastAsia="Arial" w:hAnsi="Arial"/>
                <w:sz w:val="18"/>
                <w:szCs w:val="18"/>
                <w:color w:val="auto"/>
              </w:rPr>
              <w:t>summarizes results from</w:t>
            </w:r>
          </w:p>
        </w:tc>
        <w:tc>
          <w:tcPr>
            <w:tcW w:w="240" w:type="dxa"/>
            <w:vAlign w:val="bottom"/>
            <w:tcBorders>
              <w:right w:val="single" w:sz="8" w:color="0067B3"/>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0" w:type="dxa"/>
            <w:vAlign w:val="bottom"/>
            <w:tcBorders>
              <w:left w:val="single" w:sz="8" w:color="0067B3"/>
            </w:tcBorders>
          </w:tcPr>
          <w:p>
            <w:pPr>
              <w:spacing w:after="0"/>
              <w:rPr>
                <w:sz w:val="18"/>
                <w:szCs w:val="18"/>
                <w:color w:val="auto"/>
              </w:rPr>
            </w:pPr>
          </w:p>
        </w:tc>
        <w:tc>
          <w:tcPr>
            <w:tcW w:w="2440" w:type="dxa"/>
            <w:vAlign w:val="bottom"/>
            <w:shd w:val="clear" w:color="auto" w:fill="E2E6F4"/>
          </w:tcPr>
          <w:p>
            <w:pPr>
              <w:ind w:left="140"/>
              <w:spacing w:after="0"/>
              <w:rPr>
                <w:sz w:val="20"/>
                <w:szCs w:val="20"/>
                <w:color w:val="auto"/>
              </w:rPr>
            </w:pPr>
            <w:r>
              <w:rPr>
                <w:rFonts w:ascii="Arial" w:cs="Arial" w:eastAsia="Arial" w:hAnsi="Arial"/>
                <w:sz w:val="18"/>
                <w:szCs w:val="18"/>
                <w:color w:val="auto"/>
              </w:rPr>
              <w:t>Independent Director, in</w:t>
            </w:r>
          </w:p>
        </w:tc>
        <w:tc>
          <w:tcPr>
            <w:tcW w:w="320" w:type="dxa"/>
            <w:vAlign w:val="bottom"/>
          </w:tcPr>
          <w:p>
            <w:pPr>
              <w:spacing w:after="0"/>
              <w:rPr>
                <w:sz w:val="18"/>
                <w:szCs w:val="18"/>
                <w:color w:val="auto"/>
              </w:rPr>
            </w:pPr>
          </w:p>
        </w:tc>
        <w:tc>
          <w:tcPr>
            <w:tcW w:w="2460" w:type="dxa"/>
            <w:vAlign w:val="bottom"/>
            <w:shd w:val="clear" w:color="auto" w:fill="E2E6F4"/>
          </w:tcPr>
          <w:p>
            <w:pPr>
              <w:ind w:left="140"/>
              <w:spacing w:after="0"/>
              <w:rPr>
                <w:sz w:val="20"/>
                <w:szCs w:val="20"/>
                <w:color w:val="auto"/>
              </w:rPr>
            </w:pPr>
            <w:r>
              <w:rPr>
                <w:rFonts w:ascii="Arial" w:cs="Arial" w:eastAsia="Arial" w:hAnsi="Arial"/>
                <w:sz w:val="18"/>
                <w:szCs w:val="18"/>
                <w:color w:val="auto"/>
              </w:rPr>
              <w:t>of Directors and each of</w:t>
            </w:r>
          </w:p>
        </w:tc>
        <w:tc>
          <w:tcPr>
            <w:tcW w:w="320" w:type="dxa"/>
            <w:vAlign w:val="bottom"/>
          </w:tcPr>
          <w:p>
            <w:pPr>
              <w:spacing w:after="0"/>
              <w:rPr>
                <w:sz w:val="18"/>
                <w:szCs w:val="18"/>
                <w:color w:val="auto"/>
              </w:rPr>
            </w:pPr>
          </w:p>
        </w:tc>
        <w:tc>
          <w:tcPr>
            <w:tcW w:w="2460" w:type="dxa"/>
            <w:vAlign w:val="bottom"/>
            <w:shd w:val="clear" w:color="auto" w:fill="E2E6F4"/>
          </w:tcPr>
          <w:p>
            <w:pPr>
              <w:ind w:left="140"/>
              <w:spacing w:after="0"/>
              <w:rPr>
                <w:sz w:val="20"/>
                <w:szCs w:val="20"/>
                <w:color w:val="auto"/>
              </w:rPr>
            </w:pPr>
            <w:r>
              <w:rPr>
                <w:rFonts w:ascii="Arial" w:cs="Arial" w:eastAsia="Arial" w:hAnsi="Arial"/>
                <w:sz w:val="18"/>
                <w:szCs w:val="18"/>
                <w:color w:val="auto"/>
              </w:rPr>
              <w:t>each member of our Board</w:t>
            </w:r>
          </w:p>
        </w:tc>
        <w:tc>
          <w:tcPr>
            <w:tcW w:w="320" w:type="dxa"/>
            <w:vAlign w:val="bottom"/>
          </w:tcPr>
          <w:p>
            <w:pPr>
              <w:spacing w:after="0"/>
              <w:rPr>
                <w:sz w:val="18"/>
                <w:szCs w:val="18"/>
                <w:color w:val="auto"/>
              </w:rPr>
            </w:pPr>
          </w:p>
        </w:tc>
        <w:tc>
          <w:tcPr>
            <w:tcW w:w="2480" w:type="dxa"/>
            <w:vAlign w:val="bottom"/>
            <w:shd w:val="clear" w:color="auto" w:fill="E2E6F4"/>
          </w:tcPr>
          <w:p>
            <w:pPr>
              <w:ind w:left="140"/>
              <w:spacing w:after="0"/>
              <w:rPr>
                <w:sz w:val="20"/>
                <w:szCs w:val="20"/>
                <w:color w:val="auto"/>
              </w:rPr>
            </w:pPr>
            <w:r>
              <w:rPr>
                <w:rFonts w:ascii="Arial" w:cs="Arial" w:eastAsia="Arial" w:hAnsi="Arial"/>
                <w:sz w:val="18"/>
                <w:szCs w:val="18"/>
                <w:color w:val="auto"/>
              </w:rPr>
              <w:t>the questionnaires and</w:t>
            </w:r>
          </w:p>
        </w:tc>
        <w:tc>
          <w:tcPr>
            <w:tcW w:w="240" w:type="dxa"/>
            <w:vAlign w:val="bottom"/>
            <w:tcBorders>
              <w:right w:val="single" w:sz="8" w:color="0067B3"/>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0" w:type="dxa"/>
            <w:vAlign w:val="bottom"/>
            <w:tcBorders>
              <w:left w:val="single" w:sz="8" w:color="0067B3"/>
            </w:tcBorders>
          </w:tcPr>
          <w:p>
            <w:pPr>
              <w:spacing w:after="0"/>
              <w:rPr>
                <w:sz w:val="18"/>
                <w:szCs w:val="18"/>
                <w:color w:val="auto"/>
              </w:rPr>
            </w:pPr>
          </w:p>
        </w:tc>
        <w:tc>
          <w:tcPr>
            <w:tcW w:w="2440" w:type="dxa"/>
            <w:vAlign w:val="bottom"/>
            <w:shd w:val="clear" w:color="auto" w:fill="E2E6F4"/>
          </w:tcPr>
          <w:p>
            <w:pPr>
              <w:ind w:left="140"/>
              <w:spacing w:after="0"/>
              <w:rPr>
                <w:sz w:val="20"/>
                <w:szCs w:val="20"/>
                <w:color w:val="auto"/>
              </w:rPr>
            </w:pPr>
            <w:r>
              <w:rPr>
                <w:rFonts w:ascii="Arial" w:cs="Arial" w:eastAsia="Arial" w:hAnsi="Arial"/>
                <w:sz w:val="18"/>
                <w:szCs w:val="18"/>
                <w:color w:val="auto"/>
              </w:rPr>
              <w:t>consultation with our CEO</w:t>
            </w:r>
          </w:p>
        </w:tc>
        <w:tc>
          <w:tcPr>
            <w:tcW w:w="320" w:type="dxa"/>
            <w:vAlign w:val="bottom"/>
          </w:tcPr>
          <w:p>
            <w:pPr>
              <w:spacing w:after="0"/>
              <w:rPr>
                <w:sz w:val="18"/>
                <w:szCs w:val="18"/>
                <w:color w:val="auto"/>
              </w:rPr>
            </w:pPr>
          </w:p>
        </w:tc>
        <w:tc>
          <w:tcPr>
            <w:tcW w:w="2460" w:type="dxa"/>
            <w:vAlign w:val="bottom"/>
            <w:shd w:val="clear" w:color="auto" w:fill="E2E6F4"/>
          </w:tcPr>
          <w:p>
            <w:pPr>
              <w:ind w:left="140"/>
              <w:spacing w:after="0"/>
              <w:rPr>
                <w:sz w:val="20"/>
                <w:szCs w:val="20"/>
                <w:color w:val="auto"/>
              </w:rPr>
            </w:pPr>
            <w:r>
              <w:rPr>
                <w:rFonts w:ascii="Arial" w:cs="Arial" w:eastAsia="Arial" w:hAnsi="Arial"/>
                <w:sz w:val="18"/>
                <w:szCs w:val="18"/>
                <w:color w:val="auto"/>
              </w:rPr>
              <w:t>its committees. In fiscal</w:t>
            </w:r>
          </w:p>
        </w:tc>
        <w:tc>
          <w:tcPr>
            <w:tcW w:w="320" w:type="dxa"/>
            <w:vAlign w:val="bottom"/>
          </w:tcPr>
          <w:p>
            <w:pPr>
              <w:spacing w:after="0"/>
              <w:rPr>
                <w:sz w:val="18"/>
                <w:szCs w:val="18"/>
                <w:color w:val="auto"/>
              </w:rPr>
            </w:pPr>
          </w:p>
        </w:tc>
        <w:tc>
          <w:tcPr>
            <w:tcW w:w="2460" w:type="dxa"/>
            <w:vAlign w:val="bottom"/>
            <w:shd w:val="clear" w:color="auto" w:fill="E2E6F4"/>
          </w:tcPr>
          <w:p>
            <w:pPr>
              <w:ind w:left="140"/>
              <w:spacing w:after="0"/>
              <w:rPr>
                <w:sz w:val="20"/>
                <w:szCs w:val="20"/>
                <w:color w:val="auto"/>
              </w:rPr>
            </w:pPr>
            <w:r>
              <w:rPr>
                <w:rFonts w:ascii="Arial" w:cs="Arial" w:eastAsia="Arial" w:hAnsi="Arial"/>
                <w:sz w:val="18"/>
                <w:szCs w:val="18"/>
                <w:color w:val="auto"/>
              </w:rPr>
              <w:t>of Directors designed to</w:t>
            </w:r>
          </w:p>
        </w:tc>
        <w:tc>
          <w:tcPr>
            <w:tcW w:w="320" w:type="dxa"/>
            <w:vAlign w:val="bottom"/>
          </w:tcPr>
          <w:p>
            <w:pPr>
              <w:spacing w:after="0"/>
              <w:rPr>
                <w:sz w:val="18"/>
                <w:szCs w:val="18"/>
                <w:color w:val="auto"/>
              </w:rPr>
            </w:pPr>
          </w:p>
        </w:tc>
        <w:tc>
          <w:tcPr>
            <w:tcW w:w="2480" w:type="dxa"/>
            <w:vAlign w:val="bottom"/>
            <w:shd w:val="clear" w:color="auto" w:fill="E2E6F4"/>
          </w:tcPr>
          <w:p>
            <w:pPr>
              <w:ind w:left="140"/>
              <w:spacing w:after="0"/>
              <w:rPr>
                <w:sz w:val="20"/>
                <w:szCs w:val="20"/>
                <w:color w:val="auto"/>
              </w:rPr>
            </w:pPr>
            <w:r>
              <w:rPr>
                <w:rFonts w:ascii="Arial" w:cs="Arial" w:eastAsia="Arial" w:hAnsi="Arial"/>
                <w:sz w:val="18"/>
                <w:szCs w:val="18"/>
                <w:color w:val="auto"/>
              </w:rPr>
              <w:t>discussions, and our Lead</w:t>
            </w:r>
          </w:p>
        </w:tc>
        <w:tc>
          <w:tcPr>
            <w:tcW w:w="240" w:type="dxa"/>
            <w:vAlign w:val="bottom"/>
            <w:tcBorders>
              <w:right w:val="single" w:sz="8" w:color="0067B3"/>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0" w:type="dxa"/>
            <w:vAlign w:val="bottom"/>
            <w:tcBorders>
              <w:left w:val="single" w:sz="8" w:color="0067B3"/>
            </w:tcBorders>
          </w:tcPr>
          <w:p>
            <w:pPr>
              <w:spacing w:after="0"/>
              <w:rPr>
                <w:sz w:val="18"/>
                <w:szCs w:val="18"/>
                <w:color w:val="auto"/>
              </w:rPr>
            </w:pPr>
          </w:p>
        </w:tc>
        <w:tc>
          <w:tcPr>
            <w:tcW w:w="2440" w:type="dxa"/>
            <w:vAlign w:val="bottom"/>
            <w:shd w:val="clear" w:color="auto" w:fill="E2E6F4"/>
          </w:tcPr>
          <w:p>
            <w:pPr>
              <w:ind w:left="140"/>
              <w:spacing w:after="0"/>
              <w:rPr>
                <w:sz w:val="20"/>
                <w:szCs w:val="20"/>
                <w:color w:val="auto"/>
              </w:rPr>
            </w:pPr>
            <w:r>
              <w:rPr>
                <w:rFonts w:ascii="Arial" w:cs="Arial" w:eastAsia="Arial" w:hAnsi="Arial"/>
                <w:sz w:val="18"/>
                <w:szCs w:val="18"/>
                <w:color w:val="auto"/>
              </w:rPr>
              <w:t>and Chair and our Chief</w:t>
            </w:r>
          </w:p>
        </w:tc>
        <w:tc>
          <w:tcPr>
            <w:tcW w:w="320" w:type="dxa"/>
            <w:vAlign w:val="bottom"/>
          </w:tcPr>
          <w:p>
            <w:pPr>
              <w:spacing w:after="0"/>
              <w:rPr>
                <w:sz w:val="18"/>
                <w:szCs w:val="18"/>
                <w:color w:val="auto"/>
              </w:rPr>
            </w:pPr>
          </w:p>
        </w:tc>
        <w:tc>
          <w:tcPr>
            <w:tcW w:w="2460" w:type="dxa"/>
            <w:vAlign w:val="bottom"/>
            <w:shd w:val="clear" w:color="auto" w:fill="E2E6F4"/>
          </w:tcPr>
          <w:p>
            <w:pPr>
              <w:ind w:left="140"/>
              <w:spacing w:after="0"/>
              <w:rPr>
                <w:sz w:val="20"/>
                <w:szCs w:val="20"/>
                <w:color w:val="auto"/>
              </w:rPr>
            </w:pPr>
            <w:r>
              <w:rPr>
                <w:rFonts w:ascii="Arial" w:cs="Arial" w:eastAsia="Arial" w:hAnsi="Arial"/>
                <w:sz w:val="18"/>
                <w:szCs w:val="18"/>
                <w:color w:val="auto"/>
              </w:rPr>
              <w:t>year 2025, the Board of</w:t>
            </w:r>
          </w:p>
        </w:tc>
        <w:tc>
          <w:tcPr>
            <w:tcW w:w="320" w:type="dxa"/>
            <w:vAlign w:val="bottom"/>
          </w:tcPr>
          <w:p>
            <w:pPr>
              <w:spacing w:after="0"/>
              <w:rPr>
                <w:sz w:val="18"/>
                <w:szCs w:val="18"/>
                <w:color w:val="auto"/>
              </w:rPr>
            </w:pPr>
          </w:p>
        </w:tc>
        <w:tc>
          <w:tcPr>
            <w:tcW w:w="2460" w:type="dxa"/>
            <w:vAlign w:val="bottom"/>
            <w:shd w:val="clear" w:color="auto" w:fill="E2E6F4"/>
          </w:tcPr>
          <w:p>
            <w:pPr>
              <w:ind w:left="140"/>
              <w:spacing w:after="0"/>
              <w:rPr>
                <w:sz w:val="20"/>
                <w:szCs w:val="20"/>
                <w:color w:val="auto"/>
              </w:rPr>
            </w:pPr>
            <w:r>
              <w:rPr>
                <w:rFonts w:ascii="Arial" w:cs="Arial" w:eastAsia="Arial" w:hAnsi="Arial"/>
                <w:sz w:val="18"/>
                <w:szCs w:val="18"/>
                <w:color w:val="auto"/>
              </w:rPr>
              <w:t>assess the effectiveness of</w:t>
            </w:r>
          </w:p>
        </w:tc>
        <w:tc>
          <w:tcPr>
            <w:tcW w:w="320" w:type="dxa"/>
            <w:vAlign w:val="bottom"/>
          </w:tcPr>
          <w:p>
            <w:pPr>
              <w:spacing w:after="0"/>
              <w:rPr>
                <w:sz w:val="18"/>
                <w:szCs w:val="18"/>
                <w:color w:val="auto"/>
              </w:rPr>
            </w:pPr>
          </w:p>
        </w:tc>
        <w:tc>
          <w:tcPr>
            <w:tcW w:w="2480" w:type="dxa"/>
            <w:vAlign w:val="bottom"/>
            <w:shd w:val="clear" w:color="auto" w:fill="E2E6F4"/>
          </w:tcPr>
          <w:p>
            <w:pPr>
              <w:ind w:left="140"/>
              <w:spacing w:after="0"/>
              <w:rPr>
                <w:sz w:val="20"/>
                <w:szCs w:val="20"/>
                <w:color w:val="auto"/>
              </w:rPr>
            </w:pPr>
            <w:r>
              <w:rPr>
                <w:rFonts w:ascii="Arial" w:cs="Arial" w:eastAsia="Arial" w:hAnsi="Arial"/>
                <w:sz w:val="18"/>
                <w:szCs w:val="18"/>
                <w:color w:val="auto"/>
              </w:rPr>
              <w:t>Independent Director</w:t>
            </w:r>
          </w:p>
        </w:tc>
        <w:tc>
          <w:tcPr>
            <w:tcW w:w="240" w:type="dxa"/>
            <w:vAlign w:val="bottom"/>
            <w:tcBorders>
              <w:right w:val="single" w:sz="8" w:color="0067B3"/>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0" w:type="dxa"/>
            <w:vAlign w:val="bottom"/>
            <w:tcBorders>
              <w:left w:val="single" w:sz="8" w:color="0067B3"/>
            </w:tcBorders>
          </w:tcPr>
          <w:p>
            <w:pPr>
              <w:spacing w:after="0"/>
              <w:rPr>
                <w:sz w:val="18"/>
                <w:szCs w:val="18"/>
                <w:color w:val="auto"/>
              </w:rPr>
            </w:pPr>
          </w:p>
        </w:tc>
        <w:tc>
          <w:tcPr>
            <w:tcW w:w="2440" w:type="dxa"/>
            <w:vAlign w:val="bottom"/>
            <w:shd w:val="clear" w:color="auto" w:fill="E2E6F4"/>
          </w:tcPr>
          <w:p>
            <w:pPr>
              <w:ind w:left="140"/>
              <w:spacing w:after="0"/>
              <w:rPr>
                <w:sz w:val="20"/>
                <w:szCs w:val="20"/>
                <w:color w:val="auto"/>
              </w:rPr>
            </w:pPr>
            <w:r>
              <w:rPr>
                <w:rFonts w:ascii="Arial" w:cs="Arial" w:eastAsia="Arial" w:hAnsi="Arial"/>
                <w:sz w:val="18"/>
                <w:szCs w:val="18"/>
                <w:color w:val="auto"/>
              </w:rPr>
              <w:t>Legal Officer, discuss the</w:t>
            </w:r>
          </w:p>
        </w:tc>
        <w:tc>
          <w:tcPr>
            <w:tcW w:w="320" w:type="dxa"/>
            <w:vAlign w:val="bottom"/>
          </w:tcPr>
          <w:p>
            <w:pPr>
              <w:spacing w:after="0"/>
              <w:rPr>
                <w:sz w:val="18"/>
                <w:szCs w:val="18"/>
                <w:color w:val="auto"/>
              </w:rPr>
            </w:pPr>
          </w:p>
        </w:tc>
        <w:tc>
          <w:tcPr>
            <w:tcW w:w="2460" w:type="dxa"/>
            <w:vAlign w:val="bottom"/>
            <w:shd w:val="clear" w:color="auto" w:fill="E2E6F4"/>
          </w:tcPr>
          <w:p>
            <w:pPr>
              <w:ind w:left="140"/>
              <w:spacing w:after="0"/>
              <w:rPr>
                <w:sz w:val="20"/>
                <w:szCs w:val="20"/>
                <w:color w:val="auto"/>
              </w:rPr>
            </w:pPr>
            <w:r>
              <w:rPr>
                <w:rFonts w:ascii="Arial" w:cs="Arial" w:eastAsia="Arial" w:hAnsi="Arial"/>
                <w:sz w:val="18"/>
                <w:szCs w:val="18"/>
                <w:color w:val="auto"/>
              </w:rPr>
              <w:t>Directors enhanced the</w:t>
            </w:r>
          </w:p>
        </w:tc>
        <w:tc>
          <w:tcPr>
            <w:tcW w:w="320" w:type="dxa"/>
            <w:vAlign w:val="bottom"/>
          </w:tcPr>
          <w:p>
            <w:pPr>
              <w:spacing w:after="0"/>
              <w:rPr>
                <w:sz w:val="18"/>
                <w:szCs w:val="18"/>
                <w:color w:val="auto"/>
              </w:rPr>
            </w:pPr>
          </w:p>
        </w:tc>
        <w:tc>
          <w:tcPr>
            <w:tcW w:w="2460" w:type="dxa"/>
            <w:vAlign w:val="bottom"/>
            <w:shd w:val="clear" w:color="auto" w:fill="E2E6F4"/>
          </w:tcPr>
          <w:p>
            <w:pPr>
              <w:ind w:left="140"/>
              <w:spacing w:after="0"/>
              <w:rPr>
                <w:sz w:val="20"/>
                <w:szCs w:val="20"/>
                <w:color w:val="auto"/>
              </w:rPr>
            </w:pPr>
            <w:r>
              <w:rPr>
                <w:rFonts w:ascii="Arial" w:cs="Arial" w:eastAsia="Arial" w:hAnsi="Arial"/>
                <w:sz w:val="18"/>
                <w:szCs w:val="18"/>
                <w:color w:val="auto"/>
              </w:rPr>
              <w:t>our Board of Directors and</w:t>
            </w:r>
          </w:p>
        </w:tc>
        <w:tc>
          <w:tcPr>
            <w:tcW w:w="320" w:type="dxa"/>
            <w:vAlign w:val="bottom"/>
          </w:tcPr>
          <w:p>
            <w:pPr>
              <w:spacing w:after="0"/>
              <w:rPr>
                <w:sz w:val="18"/>
                <w:szCs w:val="18"/>
                <w:color w:val="auto"/>
              </w:rPr>
            </w:pPr>
          </w:p>
        </w:tc>
        <w:tc>
          <w:tcPr>
            <w:tcW w:w="2480" w:type="dxa"/>
            <w:vAlign w:val="bottom"/>
            <w:shd w:val="clear" w:color="auto" w:fill="E2E6F4"/>
          </w:tcPr>
          <w:p>
            <w:pPr>
              <w:ind w:left="140"/>
              <w:spacing w:after="0"/>
              <w:rPr>
                <w:sz w:val="20"/>
                <w:szCs w:val="20"/>
                <w:color w:val="auto"/>
              </w:rPr>
            </w:pPr>
            <w:r>
              <w:rPr>
                <w:rFonts w:ascii="Arial" w:cs="Arial" w:eastAsia="Arial" w:hAnsi="Arial"/>
                <w:sz w:val="18"/>
                <w:szCs w:val="18"/>
                <w:color w:val="auto"/>
              </w:rPr>
              <w:t>provides summaries of the</w:t>
            </w:r>
          </w:p>
        </w:tc>
        <w:tc>
          <w:tcPr>
            <w:tcW w:w="240" w:type="dxa"/>
            <w:vAlign w:val="bottom"/>
            <w:tcBorders>
              <w:right w:val="single" w:sz="8" w:color="0067B3"/>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0" w:type="dxa"/>
            <w:vAlign w:val="bottom"/>
            <w:tcBorders>
              <w:left w:val="single" w:sz="8" w:color="0067B3"/>
            </w:tcBorders>
          </w:tcPr>
          <w:p>
            <w:pPr>
              <w:spacing w:after="0"/>
              <w:rPr>
                <w:sz w:val="18"/>
                <w:szCs w:val="18"/>
                <w:color w:val="auto"/>
              </w:rPr>
            </w:pPr>
          </w:p>
        </w:tc>
        <w:tc>
          <w:tcPr>
            <w:tcW w:w="2440" w:type="dxa"/>
            <w:vAlign w:val="bottom"/>
            <w:shd w:val="clear" w:color="auto" w:fill="E2E6F4"/>
          </w:tcPr>
          <w:p>
            <w:pPr>
              <w:ind w:left="140"/>
              <w:spacing w:after="0"/>
              <w:rPr>
                <w:sz w:val="20"/>
                <w:szCs w:val="20"/>
                <w:color w:val="auto"/>
              </w:rPr>
            </w:pPr>
            <w:r>
              <w:rPr>
                <w:rFonts w:ascii="Arial" w:cs="Arial" w:eastAsia="Arial" w:hAnsi="Arial"/>
                <w:sz w:val="18"/>
                <w:szCs w:val="18"/>
                <w:color w:val="auto"/>
              </w:rPr>
              <w:t>Board of Directors’</w:t>
            </w:r>
          </w:p>
        </w:tc>
        <w:tc>
          <w:tcPr>
            <w:tcW w:w="320" w:type="dxa"/>
            <w:vAlign w:val="bottom"/>
          </w:tcPr>
          <w:p>
            <w:pPr>
              <w:spacing w:after="0"/>
              <w:rPr>
                <w:sz w:val="18"/>
                <w:szCs w:val="18"/>
                <w:color w:val="auto"/>
              </w:rPr>
            </w:pPr>
          </w:p>
        </w:tc>
        <w:tc>
          <w:tcPr>
            <w:tcW w:w="2460" w:type="dxa"/>
            <w:vAlign w:val="bottom"/>
            <w:shd w:val="clear" w:color="auto" w:fill="E2E6F4"/>
          </w:tcPr>
          <w:p>
            <w:pPr>
              <w:ind w:left="140"/>
              <w:spacing w:after="0"/>
              <w:rPr>
                <w:sz w:val="20"/>
                <w:szCs w:val="20"/>
                <w:color w:val="auto"/>
              </w:rPr>
            </w:pPr>
            <w:r>
              <w:rPr>
                <w:rFonts w:ascii="Arial" w:cs="Arial" w:eastAsia="Arial" w:hAnsi="Arial"/>
                <w:sz w:val="18"/>
                <w:szCs w:val="18"/>
                <w:color w:val="auto"/>
              </w:rPr>
              <w:t>annual evaluation process</w:t>
            </w:r>
          </w:p>
        </w:tc>
        <w:tc>
          <w:tcPr>
            <w:tcW w:w="320" w:type="dxa"/>
            <w:vAlign w:val="bottom"/>
          </w:tcPr>
          <w:p>
            <w:pPr>
              <w:spacing w:after="0"/>
              <w:rPr>
                <w:sz w:val="18"/>
                <w:szCs w:val="18"/>
                <w:color w:val="auto"/>
              </w:rPr>
            </w:pPr>
          </w:p>
        </w:tc>
        <w:tc>
          <w:tcPr>
            <w:tcW w:w="2460" w:type="dxa"/>
            <w:vAlign w:val="bottom"/>
            <w:shd w:val="clear" w:color="auto" w:fill="E2E6F4"/>
          </w:tcPr>
          <w:p>
            <w:pPr>
              <w:ind w:left="140"/>
              <w:spacing w:after="0"/>
              <w:rPr>
                <w:sz w:val="20"/>
                <w:szCs w:val="20"/>
                <w:color w:val="auto"/>
              </w:rPr>
            </w:pPr>
            <w:r>
              <w:rPr>
                <w:rFonts w:ascii="Arial" w:cs="Arial" w:eastAsia="Arial" w:hAnsi="Arial"/>
                <w:sz w:val="18"/>
                <w:szCs w:val="18"/>
                <w:color w:val="auto"/>
              </w:rPr>
              <w:t>the themes arising from the</w:t>
            </w:r>
          </w:p>
        </w:tc>
        <w:tc>
          <w:tcPr>
            <w:tcW w:w="320" w:type="dxa"/>
            <w:vAlign w:val="bottom"/>
          </w:tcPr>
          <w:p>
            <w:pPr>
              <w:spacing w:after="0"/>
              <w:rPr>
                <w:sz w:val="18"/>
                <w:szCs w:val="18"/>
                <w:color w:val="auto"/>
              </w:rPr>
            </w:pPr>
          </w:p>
        </w:tc>
        <w:tc>
          <w:tcPr>
            <w:tcW w:w="2480" w:type="dxa"/>
            <w:vAlign w:val="bottom"/>
            <w:shd w:val="clear" w:color="auto" w:fill="E2E6F4"/>
          </w:tcPr>
          <w:p>
            <w:pPr>
              <w:ind w:left="140"/>
              <w:spacing w:after="0"/>
              <w:rPr>
                <w:sz w:val="20"/>
                <w:szCs w:val="20"/>
                <w:color w:val="auto"/>
              </w:rPr>
            </w:pPr>
            <w:r>
              <w:rPr>
                <w:rFonts w:ascii="Arial" w:cs="Arial" w:eastAsia="Arial" w:hAnsi="Arial"/>
                <w:sz w:val="18"/>
                <w:szCs w:val="18"/>
                <w:color w:val="auto"/>
              </w:rPr>
              <w:t>evaluations to the Board of</w:t>
            </w:r>
          </w:p>
        </w:tc>
        <w:tc>
          <w:tcPr>
            <w:tcW w:w="240" w:type="dxa"/>
            <w:vAlign w:val="bottom"/>
            <w:tcBorders>
              <w:right w:val="single" w:sz="8" w:color="0067B3"/>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0" w:type="dxa"/>
            <w:vAlign w:val="bottom"/>
            <w:tcBorders>
              <w:left w:val="single" w:sz="8" w:color="0067B3"/>
            </w:tcBorders>
          </w:tcPr>
          <w:p>
            <w:pPr>
              <w:spacing w:after="0"/>
              <w:rPr>
                <w:sz w:val="18"/>
                <w:szCs w:val="18"/>
                <w:color w:val="auto"/>
              </w:rPr>
            </w:pPr>
          </w:p>
        </w:tc>
        <w:tc>
          <w:tcPr>
            <w:tcW w:w="2440" w:type="dxa"/>
            <w:vAlign w:val="bottom"/>
            <w:shd w:val="clear" w:color="auto" w:fill="E2E6F4"/>
          </w:tcPr>
          <w:p>
            <w:pPr>
              <w:ind w:left="140"/>
              <w:spacing w:after="0"/>
              <w:rPr>
                <w:sz w:val="20"/>
                <w:szCs w:val="20"/>
                <w:color w:val="auto"/>
              </w:rPr>
            </w:pPr>
            <w:r>
              <w:rPr>
                <w:rFonts w:ascii="Arial" w:cs="Arial" w:eastAsia="Arial" w:hAnsi="Arial"/>
                <w:sz w:val="18"/>
                <w:szCs w:val="18"/>
                <w:color w:val="auto"/>
              </w:rPr>
              <w:t>evaluation process for the</w:t>
            </w:r>
          </w:p>
        </w:tc>
        <w:tc>
          <w:tcPr>
            <w:tcW w:w="320" w:type="dxa"/>
            <w:vAlign w:val="bottom"/>
          </w:tcPr>
          <w:p>
            <w:pPr>
              <w:spacing w:after="0"/>
              <w:rPr>
                <w:sz w:val="18"/>
                <w:szCs w:val="18"/>
                <w:color w:val="auto"/>
              </w:rPr>
            </w:pPr>
          </w:p>
        </w:tc>
        <w:tc>
          <w:tcPr>
            <w:tcW w:w="2460" w:type="dxa"/>
            <w:vAlign w:val="bottom"/>
            <w:shd w:val="clear" w:color="auto" w:fill="E2E6F4"/>
          </w:tcPr>
          <w:p>
            <w:pPr>
              <w:ind w:left="140"/>
              <w:spacing w:after="0"/>
              <w:rPr>
                <w:sz w:val="20"/>
                <w:szCs w:val="20"/>
                <w:color w:val="auto"/>
              </w:rPr>
            </w:pPr>
            <w:r>
              <w:rPr>
                <w:rFonts w:ascii="Arial" w:cs="Arial" w:eastAsia="Arial" w:hAnsi="Arial"/>
                <w:sz w:val="18"/>
                <w:szCs w:val="18"/>
                <w:color w:val="auto"/>
              </w:rPr>
              <w:t>by having each director</w:t>
            </w:r>
          </w:p>
        </w:tc>
        <w:tc>
          <w:tcPr>
            <w:tcW w:w="320" w:type="dxa"/>
            <w:vAlign w:val="bottom"/>
          </w:tcPr>
          <w:p>
            <w:pPr>
              <w:spacing w:after="0"/>
              <w:rPr>
                <w:sz w:val="18"/>
                <w:szCs w:val="18"/>
                <w:color w:val="auto"/>
              </w:rPr>
            </w:pPr>
          </w:p>
        </w:tc>
        <w:tc>
          <w:tcPr>
            <w:tcW w:w="2460" w:type="dxa"/>
            <w:vAlign w:val="bottom"/>
            <w:shd w:val="clear" w:color="auto" w:fill="E2E6F4"/>
          </w:tcPr>
          <w:p>
            <w:pPr>
              <w:ind w:left="140"/>
              <w:spacing w:after="0"/>
              <w:rPr>
                <w:sz w:val="20"/>
                <w:szCs w:val="20"/>
                <w:color w:val="auto"/>
              </w:rPr>
            </w:pPr>
            <w:r>
              <w:rPr>
                <w:rFonts w:ascii="Arial" w:cs="Arial" w:eastAsia="Arial" w:hAnsi="Arial"/>
                <w:sz w:val="18"/>
                <w:szCs w:val="18"/>
                <w:color w:val="auto"/>
              </w:rPr>
              <w:t>written questionnaires, as</w:t>
            </w:r>
          </w:p>
        </w:tc>
        <w:tc>
          <w:tcPr>
            <w:tcW w:w="320" w:type="dxa"/>
            <w:vAlign w:val="bottom"/>
          </w:tcPr>
          <w:p>
            <w:pPr>
              <w:spacing w:after="0"/>
              <w:rPr>
                <w:sz w:val="18"/>
                <w:szCs w:val="18"/>
                <w:color w:val="auto"/>
              </w:rPr>
            </w:pPr>
          </w:p>
        </w:tc>
        <w:tc>
          <w:tcPr>
            <w:tcW w:w="2480" w:type="dxa"/>
            <w:vAlign w:val="bottom"/>
            <w:shd w:val="clear" w:color="auto" w:fill="E2E6F4"/>
          </w:tcPr>
          <w:p>
            <w:pPr>
              <w:ind w:left="140"/>
              <w:spacing w:after="0"/>
              <w:rPr>
                <w:sz w:val="20"/>
                <w:szCs w:val="20"/>
                <w:color w:val="auto"/>
              </w:rPr>
            </w:pPr>
            <w:r>
              <w:rPr>
                <w:rFonts w:ascii="Arial" w:cs="Arial" w:eastAsia="Arial" w:hAnsi="Arial"/>
                <w:sz w:val="18"/>
                <w:szCs w:val="18"/>
                <w:color w:val="auto"/>
              </w:rPr>
              <w:t>Directors and engages in a</w:t>
            </w:r>
          </w:p>
        </w:tc>
        <w:tc>
          <w:tcPr>
            <w:tcW w:w="240" w:type="dxa"/>
            <w:vAlign w:val="bottom"/>
            <w:tcBorders>
              <w:right w:val="single" w:sz="8" w:color="0067B3"/>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0" w:type="dxa"/>
            <w:vAlign w:val="bottom"/>
            <w:tcBorders>
              <w:left w:val="single" w:sz="8" w:color="0067B3"/>
            </w:tcBorders>
          </w:tcPr>
          <w:p>
            <w:pPr>
              <w:spacing w:after="0"/>
              <w:rPr>
                <w:sz w:val="18"/>
                <w:szCs w:val="18"/>
                <w:color w:val="auto"/>
              </w:rPr>
            </w:pPr>
          </w:p>
        </w:tc>
        <w:tc>
          <w:tcPr>
            <w:tcW w:w="2440" w:type="dxa"/>
            <w:vAlign w:val="bottom"/>
            <w:shd w:val="clear" w:color="auto" w:fill="E2E6F4"/>
          </w:tcPr>
          <w:p>
            <w:pPr>
              <w:ind w:left="140"/>
              <w:spacing w:after="0"/>
              <w:rPr>
                <w:sz w:val="20"/>
                <w:szCs w:val="20"/>
                <w:color w:val="auto"/>
              </w:rPr>
            </w:pPr>
            <w:r>
              <w:rPr>
                <w:rFonts w:ascii="Arial" w:cs="Arial" w:eastAsia="Arial" w:hAnsi="Arial"/>
                <w:sz w:val="18"/>
                <w:szCs w:val="18"/>
                <w:color w:val="auto"/>
              </w:rPr>
              <w:t>year, considering evolving</w:t>
            </w:r>
          </w:p>
        </w:tc>
        <w:tc>
          <w:tcPr>
            <w:tcW w:w="320" w:type="dxa"/>
            <w:vAlign w:val="bottom"/>
          </w:tcPr>
          <w:p>
            <w:pPr>
              <w:spacing w:after="0"/>
              <w:rPr>
                <w:sz w:val="18"/>
                <w:szCs w:val="18"/>
                <w:color w:val="auto"/>
              </w:rPr>
            </w:pPr>
          </w:p>
        </w:tc>
        <w:tc>
          <w:tcPr>
            <w:tcW w:w="2460" w:type="dxa"/>
            <w:vAlign w:val="bottom"/>
            <w:shd w:val="clear" w:color="auto" w:fill="E2E6F4"/>
          </w:tcPr>
          <w:p>
            <w:pPr>
              <w:ind w:left="140"/>
              <w:spacing w:after="0"/>
              <w:rPr>
                <w:sz w:val="20"/>
                <w:szCs w:val="20"/>
                <w:color w:val="auto"/>
              </w:rPr>
            </w:pPr>
            <w:r>
              <w:rPr>
                <w:rFonts w:ascii="Arial" w:cs="Arial" w:eastAsia="Arial" w:hAnsi="Arial"/>
                <w:sz w:val="18"/>
                <w:szCs w:val="18"/>
                <w:color w:val="auto"/>
              </w:rPr>
              <w:t>conduct a self-assessment,</w:t>
            </w:r>
          </w:p>
        </w:tc>
        <w:tc>
          <w:tcPr>
            <w:tcW w:w="320" w:type="dxa"/>
            <w:vAlign w:val="bottom"/>
          </w:tcPr>
          <w:p>
            <w:pPr>
              <w:spacing w:after="0"/>
              <w:rPr>
                <w:sz w:val="18"/>
                <w:szCs w:val="18"/>
                <w:color w:val="auto"/>
              </w:rPr>
            </w:pPr>
          </w:p>
        </w:tc>
        <w:tc>
          <w:tcPr>
            <w:tcW w:w="2460" w:type="dxa"/>
            <w:vAlign w:val="bottom"/>
            <w:shd w:val="clear" w:color="auto" w:fill="E2E6F4"/>
          </w:tcPr>
          <w:p>
            <w:pPr>
              <w:ind w:left="140"/>
              <w:spacing w:after="0"/>
              <w:rPr>
                <w:sz w:val="20"/>
                <w:szCs w:val="20"/>
                <w:color w:val="auto"/>
              </w:rPr>
            </w:pPr>
            <w:r>
              <w:rPr>
                <w:rFonts w:ascii="Arial" w:cs="Arial" w:eastAsia="Arial" w:hAnsi="Arial"/>
                <w:sz w:val="18"/>
                <w:szCs w:val="18"/>
                <w:color w:val="auto"/>
              </w:rPr>
              <w:t>well as each director’s</w:t>
            </w:r>
          </w:p>
        </w:tc>
        <w:tc>
          <w:tcPr>
            <w:tcW w:w="320" w:type="dxa"/>
            <w:vAlign w:val="bottom"/>
          </w:tcPr>
          <w:p>
            <w:pPr>
              <w:spacing w:after="0"/>
              <w:rPr>
                <w:sz w:val="18"/>
                <w:szCs w:val="18"/>
                <w:color w:val="auto"/>
              </w:rPr>
            </w:pPr>
          </w:p>
        </w:tc>
        <w:tc>
          <w:tcPr>
            <w:tcW w:w="2480" w:type="dxa"/>
            <w:vAlign w:val="bottom"/>
            <w:shd w:val="clear" w:color="auto" w:fill="E2E6F4"/>
          </w:tcPr>
          <w:p>
            <w:pPr>
              <w:ind w:left="140"/>
              <w:spacing w:after="0"/>
              <w:rPr>
                <w:sz w:val="20"/>
                <w:szCs w:val="20"/>
                <w:color w:val="auto"/>
              </w:rPr>
            </w:pPr>
            <w:r>
              <w:rPr>
                <w:rFonts w:ascii="Arial" w:cs="Arial" w:eastAsia="Arial" w:hAnsi="Arial"/>
                <w:sz w:val="18"/>
                <w:szCs w:val="18"/>
                <w:color w:val="auto"/>
              </w:rPr>
              <w:t>robust discussion with</w:t>
            </w:r>
          </w:p>
        </w:tc>
        <w:tc>
          <w:tcPr>
            <w:tcW w:w="240" w:type="dxa"/>
            <w:vAlign w:val="bottom"/>
            <w:tcBorders>
              <w:right w:val="single" w:sz="8" w:color="0067B3"/>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0" w:type="dxa"/>
            <w:vAlign w:val="bottom"/>
            <w:tcBorders>
              <w:left w:val="single" w:sz="8" w:color="0067B3"/>
            </w:tcBorders>
          </w:tcPr>
          <w:p>
            <w:pPr>
              <w:spacing w:after="0"/>
              <w:rPr>
                <w:sz w:val="18"/>
                <w:szCs w:val="18"/>
                <w:color w:val="auto"/>
              </w:rPr>
            </w:pPr>
          </w:p>
        </w:tc>
        <w:tc>
          <w:tcPr>
            <w:tcW w:w="2440" w:type="dxa"/>
            <w:vAlign w:val="bottom"/>
            <w:shd w:val="clear" w:color="auto" w:fill="E2E6F4"/>
          </w:tcPr>
          <w:p>
            <w:pPr>
              <w:ind w:left="140"/>
              <w:spacing w:after="0"/>
              <w:rPr>
                <w:sz w:val="20"/>
                <w:szCs w:val="20"/>
                <w:color w:val="auto"/>
              </w:rPr>
            </w:pPr>
            <w:r>
              <w:rPr>
                <w:rFonts w:ascii="Arial" w:cs="Arial" w:eastAsia="Arial" w:hAnsi="Arial"/>
                <w:sz w:val="18"/>
                <w:szCs w:val="18"/>
                <w:color w:val="auto"/>
              </w:rPr>
              <w:t>best practices.</w:t>
            </w:r>
          </w:p>
        </w:tc>
        <w:tc>
          <w:tcPr>
            <w:tcW w:w="320" w:type="dxa"/>
            <w:vAlign w:val="bottom"/>
          </w:tcPr>
          <w:p>
            <w:pPr>
              <w:spacing w:after="0"/>
              <w:rPr>
                <w:sz w:val="18"/>
                <w:szCs w:val="18"/>
                <w:color w:val="auto"/>
              </w:rPr>
            </w:pPr>
          </w:p>
        </w:tc>
        <w:tc>
          <w:tcPr>
            <w:tcW w:w="2460" w:type="dxa"/>
            <w:vAlign w:val="bottom"/>
            <w:shd w:val="clear" w:color="auto" w:fill="E2E6F4"/>
          </w:tcPr>
          <w:p>
            <w:pPr>
              <w:ind w:left="140"/>
              <w:spacing w:after="0"/>
              <w:rPr>
                <w:sz w:val="20"/>
                <w:szCs w:val="20"/>
                <w:color w:val="auto"/>
              </w:rPr>
            </w:pPr>
            <w:r>
              <w:rPr>
                <w:rFonts w:ascii="Arial" w:cs="Arial" w:eastAsia="Arial" w:hAnsi="Arial"/>
                <w:sz w:val="18"/>
                <w:szCs w:val="18"/>
                <w:color w:val="auto"/>
              </w:rPr>
              <w:t>as well as a peer</w:t>
            </w:r>
          </w:p>
        </w:tc>
        <w:tc>
          <w:tcPr>
            <w:tcW w:w="320" w:type="dxa"/>
            <w:vAlign w:val="bottom"/>
          </w:tcPr>
          <w:p>
            <w:pPr>
              <w:spacing w:after="0"/>
              <w:rPr>
                <w:sz w:val="18"/>
                <w:szCs w:val="18"/>
                <w:color w:val="auto"/>
              </w:rPr>
            </w:pPr>
          </w:p>
        </w:tc>
        <w:tc>
          <w:tcPr>
            <w:tcW w:w="2460" w:type="dxa"/>
            <w:vAlign w:val="bottom"/>
            <w:shd w:val="clear" w:color="auto" w:fill="E2E6F4"/>
          </w:tcPr>
          <w:p>
            <w:pPr>
              <w:ind w:left="140"/>
              <w:spacing w:after="0"/>
              <w:rPr>
                <w:sz w:val="20"/>
                <w:szCs w:val="20"/>
                <w:color w:val="auto"/>
              </w:rPr>
            </w:pPr>
            <w:r>
              <w:rPr>
                <w:rFonts w:ascii="Arial" w:cs="Arial" w:eastAsia="Arial" w:hAnsi="Arial"/>
                <w:sz w:val="18"/>
                <w:szCs w:val="18"/>
                <w:color w:val="auto"/>
              </w:rPr>
              <w:t>individual performance and</w:t>
            </w:r>
          </w:p>
        </w:tc>
        <w:tc>
          <w:tcPr>
            <w:tcW w:w="320" w:type="dxa"/>
            <w:vAlign w:val="bottom"/>
          </w:tcPr>
          <w:p>
            <w:pPr>
              <w:spacing w:after="0"/>
              <w:rPr>
                <w:sz w:val="18"/>
                <w:szCs w:val="18"/>
                <w:color w:val="auto"/>
              </w:rPr>
            </w:pPr>
          </w:p>
        </w:tc>
        <w:tc>
          <w:tcPr>
            <w:tcW w:w="2480" w:type="dxa"/>
            <w:vAlign w:val="bottom"/>
            <w:shd w:val="clear" w:color="auto" w:fill="E2E6F4"/>
          </w:tcPr>
          <w:p>
            <w:pPr>
              <w:ind w:left="140"/>
              <w:spacing w:after="0"/>
              <w:rPr>
                <w:sz w:val="20"/>
                <w:szCs w:val="20"/>
                <w:color w:val="auto"/>
              </w:rPr>
            </w:pPr>
            <w:r>
              <w:rPr>
                <w:rFonts w:ascii="Arial" w:cs="Arial" w:eastAsia="Arial" w:hAnsi="Arial"/>
                <w:sz w:val="18"/>
                <w:szCs w:val="18"/>
                <w:color w:val="auto"/>
              </w:rPr>
              <w:t>Board members on Board</w:t>
            </w:r>
          </w:p>
        </w:tc>
        <w:tc>
          <w:tcPr>
            <w:tcW w:w="240" w:type="dxa"/>
            <w:vAlign w:val="bottom"/>
            <w:tcBorders>
              <w:right w:val="single" w:sz="8" w:color="0067B3"/>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0" w:type="dxa"/>
            <w:vAlign w:val="bottom"/>
            <w:tcBorders>
              <w:left w:val="single" w:sz="8" w:color="0067B3"/>
            </w:tcBorders>
          </w:tcPr>
          <w:p>
            <w:pPr>
              <w:spacing w:after="0"/>
              <w:rPr>
                <w:sz w:val="18"/>
                <w:szCs w:val="18"/>
                <w:color w:val="auto"/>
              </w:rPr>
            </w:pPr>
          </w:p>
        </w:tc>
        <w:tc>
          <w:tcPr>
            <w:tcW w:w="2440" w:type="dxa"/>
            <w:vAlign w:val="bottom"/>
            <w:shd w:val="clear" w:color="auto" w:fill="E2E6F4"/>
          </w:tcPr>
          <w:p>
            <w:pPr>
              <w:spacing w:after="0"/>
              <w:rPr>
                <w:sz w:val="18"/>
                <w:szCs w:val="18"/>
                <w:color w:val="auto"/>
              </w:rPr>
            </w:pPr>
          </w:p>
        </w:tc>
        <w:tc>
          <w:tcPr>
            <w:tcW w:w="320" w:type="dxa"/>
            <w:vAlign w:val="bottom"/>
          </w:tcPr>
          <w:p>
            <w:pPr>
              <w:spacing w:after="0"/>
              <w:rPr>
                <w:sz w:val="18"/>
                <w:szCs w:val="18"/>
                <w:color w:val="auto"/>
              </w:rPr>
            </w:pPr>
          </w:p>
        </w:tc>
        <w:tc>
          <w:tcPr>
            <w:tcW w:w="2460" w:type="dxa"/>
            <w:vAlign w:val="bottom"/>
            <w:shd w:val="clear" w:color="auto" w:fill="E2E6F4"/>
          </w:tcPr>
          <w:p>
            <w:pPr>
              <w:ind w:left="140"/>
              <w:spacing w:after="0"/>
              <w:rPr>
                <w:sz w:val="20"/>
                <w:szCs w:val="20"/>
                <w:color w:val="auto"/>
              </w:rPr>
            </w:pPr>
            <w:r>
              <w:rPr>
                <w:rFonts w:ascii="Arial" w:cs="Arial" w:eastAsia="Arial" w:hAnsi="Arial"/>
                <w:sz w:val="18"/>
                <w:szCs w:val="18"/>
                <w:color w:val="auto"/>
              </w:rPr>
              <w:t>assessment of each other</w:t>
            </w:r>
          </w:p>
        </w:tc>
        <w:tc>
          <w:tcPr>
            <w:tcW w:w="320" w:type="dxa"/>
            <w:vAlign w:val="bottom"/>
          </w:tcPr>
          <w:p>
            <w:pPr>
              <w:spacing w:after="0"/>
              <w:rPr>
                <w:sz w:val="18"/>
                <w:szCs w:val="18"/>
                <w:color w:val="auto"/>
              </w:rPr>
            </w:pPr>
          </w:p>
        </w:tc>
        <w:tc>
          <w:tcPr>
            <w:tcW w:w="2460" w:type="dxa"/>
            <w:vAlign w:val="bottom"/>
            <w:shd w:val="clear" w:color="auto" w:fill="E2E6F4"/>
          </w:tcPr>
          <w:p>
            <w:pPr>
              <w:ind w:left="140"/>
              <w:spacing w:after="0"/>
              <w:rPr>
                <w:sz w:val="20"/>
                <w:szCs w:val="20"/>
                <w:color w:val="auto"/>
              </w:rPr>
            </w:pPr>
            <w:r>
              <w:rPr>
                <w:rFonts w:ascii="Arial" w:cs="Arial" w:eastAsia="Arial" w:hAnsi="Arial"/>
                <w:sz w:val="18"/>
                <w:szCs w:val="18"/>
                <w:color w:val="auto"/>
              </w:rPr>
              <w:t>competencies and skills</w:t>
            </w:r>
          </w:p>
        </w:tc>
        <w:tc>
          <w:tcPr>
            <w:tcW w:w="320" w:type="dxa"/>
            <w:vAlign w:val="bottom"/>
          </w:tcPr>
          <w:p>
            <w:pPr>
              <w:spacing w:after="0"/>
              <w:rPr>
                <w:sz w:val="18"/>
                <w:szCs w:val="18"/>
                <w:color w:val="auto"/>
              </w:rPr>
            </w:pPr>
          </w:p>
        </w:tc>
        <w:tc>
          <w:tcPr>
            <w:tcW w:w="2480" w:type="dxa"/>
            <w:vAlign w:val="bottom"/>
            <w:shd w:val="clear" w:color="auto" w:fill="E2E6F4"/>
          </w:tcPr>
          <w:p>
            <w:pPr>
              <w:ind w:left="140"/>
              <w:spacing w:after="0"/>
              <w:rPr>
                <w:sz w:val="20"/>
                <w:szCs w:val="20"/>
                <w:color w:val="auto"/>
              </w:rPr>
            </w:pPr>
            <w:r>
              <w:rPr>
                <w:rFonts w:ascii="Arial" w:cs="Arial" w:eastAsia="Arial" w:hAnsi="Arial"/>
                <w:sz w:val="18"/>
                <w:szCs w:val="18"/>
                <w:color w:val="auto"/>
              </w:rPr>
              <w:t>of Directors’ effectiveness</w:t>
            </w:r>
          </w:p>
        </w:tc>
        <w:tc>
          <w:tcPr>
            <w:tcW w:w="240" w:type="dxa"/>
            <w:vAlign w:val="bottom"/>
            <w:tcBorders>
              <w:right w:val="single" w:sz="8" w:color="0067B3"/>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0" w:type="dxa"/>
            <w:vAlign w:val="bottom"/>
            <w:tcBorders>
              <w:left w:val="single" w:sz="8" w:color="0067B3"/>
            </w:tcBorders>
          </w:tcPr>
          <w:p>
            <w:pPr>
              <w:spacing w:after="0"/>
              <w:rPr>
                <w:sz w:val="18"/>
                <w:szCs w:val="18"/>
                <w:color w:val="auto"/>
              </w:rPr>
            </w:pPr>
          </w:p>
        </w:tc>
        <w:tc>
          <w:tcPr>
            <w:tcW w:w="2440" w:type="dxa"/>
            <w:vAlign w:val="bottom"/>
            <w:shd w:val="clear" w:color="auto" w:fill="E2E6F4"/>
          </w:tcPr>
          <w:p>
            <w:pPr>
              <w:spacing w:after="0"/>
              <w:rPr>
                <w:sz w:val="18"/>
                <w:szCs w:val="18"/>
                <w:color w:val="auto"/>
              </w:rPr>
            </w:pPr>
          </w:p>
        </w:tc>
        <w:tc>
          <w:tcPr>
            <w:tcW w:w="320" w:type="dxa"/>
            <w:vAlign w:val="bottom"/>
          </w:tcPr>
          <w:p>
            <w:pPr>
              <w:spacing w:after="0"/>
              <w:rPr>
                <w:sz w:val="18"/>
                <w:szCs w:val="18"/>
                <w:color w:val="auto"/>
              </w:rPr>
            </w:pPr>
          </w:p>
        </w:tc>
        <w:tc>
          <w:tcPr>
            <w:tcW w:w="2460" w:type="dxa"/>
            <w:vAlign w:val="bottom"/>
            <w:shd w:val="clear" w:color="auto" w:fill="E2E6F4"/>
          </w:tcPr>
          <w:p>
            <w:pPr>
              <w:ind w:left="140"/>
              <w:spacing w:after="0"/>
              <w:rPr>
                <w:sz w:val="20"/>
                <w:szCs w:val="20"/>
                <w:color w:val="auto"/>
              </w:rPr>
            </w:pPr>
            <w:r>
              <w:rPr>
                <w:rFonts w:ascii="Arial" w:cs="Arial" w:eastAsia="Arial" w:hAnsi="Arial"/>
                <w:sz w:val="18"/>
                <w:szCs w:val="18"/>
                <w:color w:val="auto"/>
              </w:rPr>
              <w:t>member of the Board of</w:t>
            </w:r>
          </w:p>
        </w:tc>
        <w:tc>
          <w:tcPr>
            <w:tcW w:w="320" w:type="dxa"/>
            <w:vAlign w:val="bottom"/>
          </w:tcPr>
          <w:p>
            <w:pPr>
              <w:spacing w:after="0"/>
              <w:rPr>
                <w:sz w:val="18"/>
                <w:szCs w:val="18"/>
                <w:color w:val="auto"/>
              </w:rPr>
            </w:pPr>
          </w:p>
        </w:tc>
        <w:tc>
          <w:tcPr>
            <w:tcW w:w="2460" w:type="dxa"/>
            <w:vAlign w:val="bottom"/>
            <w:shd w:val="clear" w:color="auto" w:fill="E2E6F4"/>
          </w:tcPr>
          <w:p>
            <w:pPr>
              <w:ind w:left="140"/>
              <w:spacing w:after="0"/>
              <w:rPr>
                <w:sz w:val="20"/>
                <w:szCs w:val="20"/>
                <w:color w:val="auto"/>
              </w:rPr>
            </w:pPr>
            <w:r>
              <w:rPr>
                <w:rFonts w:ascii="Arial" w:cs="Arial" w:eastAsia="Arial" w:hAnsi="Arial"/>
                <w:sz w:val="18"/>
                <w:szCs w:val="18"/>
                <w:color w:val="auto"/>
              </w:rPr>
              <w:t>they bring to the Board</w:t>
            </w:r>
          </w:p>
        </w:tc>
        <w:tc>
          <w:tcPr>
            <w:tcW w:w="320" w:type="dxa"/>
            <w:vAlign w:val="bottom"/>
          </w:tcPr>
          <w:p>
            <w:pPr>
              <w:spacing w:after="0"/>
              <w:rPr>
                <w:sz w:val="18"/>
                <w:szCs w:val="18"/>
                <w:color w:val="auto"/>
              </w:rPr>
            </w:pPr>
          </w:p>
        </w:tc>
        <w:tc>
          <w:tcPr>
            <w:tcW w:w="2480" w:type="dxa"/>
            <w:vAlign w:val="bottom"/>
            <w:shd w:val="clear" w:color="auto" w:fill="E2E6F4"/>
          </w:tcPr>
          <w:p>
            <w:pPr>
              <w:ind w:left="140"/>
              <w:spacing w:after="0"/>
              <w:rPr>
                <w:sz w:val="20"/>
                <w:szCs w:val="20"/>
                <w:color w:val="auto"/>
              </w:rPr>
            </w:pPr>
            <w:r>
              <w:rPr>
                <w:rFonts w:ascii="Arial" w:cs="Arial" w:eastAsia="Arial" w:hAnsi="Arial"/>
                <w:sz w:val="18"/>
                <w:szCs w:val="18"/>
                <w:color w:val="auto"/>
              </w:rPr>
              <w:t>and engagement, including</w:t>
            </w:r>
          </w:p>
        </w:tc>
        <w:tc>
          <w:tcPr>
            <w:tcW w:w="240" w:type="dxa"/>
            <w:vAlign w:val="bottom"/>
            <w:tcBorders>
              <w:right w:val="single" w:sz="8" w:color="0067B3"/>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0" w:type="dxa"/>
            <w:vAlign w:val="bottom"/>
            <w:tcBorders>
              <w:left w:val="single" w:sz="8" w:color="0067B3"/>
            </w:tcBorders>
          </w:tcPr>
          <w:p>
            <w:pPr>
              <w:spacing w:after="0"/>
              <w:rPr>
                <w:sz w:val="18"/>
                <w:szCs w:val="18"/>
                <w:color w:val="auto"/>
              </w:rPr>
            </w:pPr>
          </w:p>
        </w:tc>
        <w:tc>
          <w:tcPr>
            <w:tcW w:w="2440" w:type="dxa"/>
            <w:vAlign w:val="bottom"/>
            <w:shd w:val="clear" w:color="auto" w:fill="E2E6F4"/>
          </w:tcPr>
          <w:p>
            <w:pPr>
              <w:spacing w:after="0"/>
              <w:rPr>
                <w:sz w:val="18"/>
                <w:szCs w:val="18"/>
                <w:color w:val="auto"/>
              </w:rPr>
            </w:pPr>
          </w:p>
        </w:tc>
        <w:tc>
          <w:tcPr>
            <w:tcW w:w="320" w:type="dxa"/>
            <w:vAlign w:val="bottom"/>
          </w:tcPr>
          <w:p>
            <w:pPr>
              <w:spacing w:after="0"/>
              <w:rPr>
                <w:sz w:val="18"/>
                <w:szCs w:val="18"/>
                <w:color w:val="auto"/>
              </w:rPr>
            </w:pPr>
          </w:p>
        </w:tc>
        <w:tc>
          <w:tcPr>
            <w:tcW w:w="2460" w:type="dxa"/>
            <w:vAlign w:val="bottom"/>
            <w:shd w:val="clear" w:color="auto" w:fill="E2E6F4"/>
          </w:tcPr>
          <w:p>
            <w:pPr>
              <w:ind w:left="140"/>
              <w:spacing w:after="0"/>
              <w:rPr>
                <w:sz w:val="20"/>
                <w:szCs w:val="20"/>
                <w:color w:val="auto"/>
              </w:rPr>
            </w:pPr>
            <w:r>
              <w:rPr>
                <w:rFonts w:ascii="Arial" w:cs="Arial" w:eastAsia="Arial" w:hAnsi="Arial"/>
                <w:sz w:val="18"/>
                <w:szCs w:val="18"/>
                <w:color w:val="auto"/>
              </w:rPr>
              <w:t>Directors. Such</w:t>
            </w:r>
          </w:p>
        </w:tc>
        <w:tc>
          <w:tcPr>
            <w:tcW w:w="320" w:type="dxa"/>
            <w:vAlign w:val="bottom"/>
          </w:tcPr>
          <w:p>
            <w:pPr>
              <w:spacing w:after="0"/>
              <w:rPr>
                <w:sz w:val="18"/>
                <w:szCs w:val="18"/>
                <w:color w:val="auto"/>
              </w:rPr>
            </w:pPr>
          </w:p>
        </w:tc>
        <w:tc>
          <w:tcPr>
            <w:tcW w:w="2460" w:type="dxa"/>
            <w:vAlign w:val="bottom"/>
            <w:shd w:val="clear" w:color="auto" w:fill="E2E6F4"/>
          </w:tcPr>
          <w:p>
            <w:pPr>
              <w:ind w:left="140"/>
              <w:spacing w:after="0"/>
              <w:rPr>
                <w:sz w:val="20"/>
                <w:szCs w:val="20"/>
                <w:color w:val="auto"/>
              </w:rPr>
            </w:pPr>
            <w:r>
              <w:rPr>
                <w:rFonts w:ascii="Arial" w:cs="Arial" w:eastAsia="Arial" w:hAnsi="Arial"/>
                <w:sz w:val="18"/>
                <w:szCs w:val="18"/>
                <w:color w:val="auto"/>
              </w:rPr>
              <w:t>of Directors.</w:t>
            </w:r>
          </w:p>
        </w:tc>
        <w:tc>
          <w:tcPr>
            <w:tcW w:w="320" w:type="dxa"/>
            <w:vAlign w:val="bottom"/>
          </w:tcPr>
          <w:p>
            <w:pPr>
              <w:spacing w:after="0"/>
              <w:rPr>
                <w:sz w:val="18"/>
                <w:szCs w:val="18"/>
                <w:color w:val="auto"/>
              </w:rPr>
            </w:pPr>
          </w:p>
        </w:tc>
        <w:tc>
          <w:tcPr>
            <w:tcW w:w="2480" w:type="dxa"/>
            <w:vAlign w:val="bottom"/>
            <w:shd w:val="clear" w:color="auto" w:fill="E2E6F4"/>
          </w:tcPr>
          <w:p>
            <w:pPr>
              <w:ind w:left="140"/>
              <w:spacing w:after="0"/>
              <w:rPr>
                <w:sz w:val="20"/>
                <w:szCs w:val="20"/>
                <w:color w:val="auto"/>
              </w:rPr>
            </w:pPr>
            <w:r>
              <w:rPr>
                <w:rFonts w:ascii="Arial" w:cs="Arial" w:eastAsia="Arial" w:hAnsi="Arial"/>
                <w:sz w:val="18"/>
                <w:szCs w:val="18"/>
                <w:color w:val="auto"/>
              </w:rPr>
              <w:t>individual feedback based</w:t>
            </w:r>
          </w:p>
        </w:tc>
        <w:tc>
          <w:tcPr>
            <w:tcW w:w="240" w:type="dxa"/>
            <w:vAlign w:val="bottom"/>
            <w:tcBorders>
              <w:right w:val="single" w:sz="8" w:color="0067B3"/>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0" w:type="dxa"/>
            <w:vAlign w:val="bottom"/>
            <w:tcBorders>
              <w:left w:val="single" w:sz="8" w:color="0067B3"/>
            </w:tcBorders>
          </w:tcPr>
          <w:p>
            <w:pPr>
              <w:spacing w:after="0"/>
              <w:rPr>
                <w:sz w:val="18"/>
                <w:szCs w:val="18"/>
                <w:color w:val="auto"/>
              </w:rPr>
            </w:pPr>
          </w:p>
        </w:tc>
        <w:tc>
          <w:tcPr>
            <w:tcW w:w="2440" w:type="dxa"/>
            <w:vAlign w:val="bottom"/>
            <w:shd w:val="clear" w:color="auto" w:fill="E2E6F4"/>
          </w:tcPr>
          <w:p>
            <w:pPr>
              <w:spacing w:after="0"/>
              <w:rPr>
                <w:sz w:val="18"/>
                <w:szCs w:val="18"/>
                <w:color w:val="auto"/>
              </w:rPr>
            </w:pPr>
          </w:p>
        </w:tc>
        <w:tc>
          <w:tcPr>
            <w:tcW w:w="320" w:type="dxa"/>
            <w:vAlign w:val="bottom"/>
          </w:tcPr>
          <w:p>
            <w:pPr>
              <w:spacing w:after="0"/>
              <w:rPr>
                <w:sz w:val="18"/>
                <w:szCs w:val="18"/>
                <w:color w:val="auto"/>
              </w:rPr>
            </w:pPr>
          </w:p>
        </w:tc>
        <w:tc>
          <w:tcPr>
            <w:tcW w:w="2460" w:type="dxa"/>
            <w:vAlign w:val="bottom"/>
            <w:shd w:val="clear" w:color="auto" w:fill="E2E6F4"/>
          </w:tcPr>
          <w:p>
            <w:pPr>
              <w:ind w:left="140"/>
              <w:spacing w:after="0"/>
              <w:rPr>
                <w:sz w:val="20"/>
                <w:szCs w:val="20"/>
                <w:color w:val="auto"/>
              </w:rPr>
            </w:pPr>
            <w:r>
              <w:rPr>
                <w:rFonts w:ascii="Arial" w:cs="Arial" w:eastAsia="Arial" w:hAnsi="Arial"/>
                <w:sz w:val="18"/>
                <w:szCs w:val="18"/>
                <w:color w:val="auto"/>
              </w:rPr>
              <w:t>assessments will be</w:t>
            </w:r>
          </w:p>
        </w:tc>
        <w:tc>
          <w:tcPr>
            <w:tcW w:w="320" w:type="dxa"/>
            <w:vAlign w:val="bottom"/>
          </w:tcPr>
          <w:p>
            <w:pPr>
              <w:spacing w:after="0"/>
              <w:rPr>
                <w:sz w:val="18"/>
                <w:szCs w:val="18"/>
                <w:color w:val="auto"/>
              </w:rPr>
            </w:pPr>
          </w:p>
        </w:tc>
        <w:tc>
          <w:tcPr>
            <w:tcW w:w="2460" w:type="dxa"/>
            <w:vAlign w:val="bottom"/>
            <w:shd w:val="clear" w:color="auto" w:fill="E2E6F4"/>
          </w:tcPr>
          <w:p>
            <w:pPr>
              <w:spacing w:after="0"/>
              <w:rPr>
                <w:sz w:val="18"/>
                <w:szCs w:val="18"/>
                <w:color w:val="auto"/>
              </w:rPr>
            </w:pPr>
          </w:p>
        </w:tc>
        <w:tc>
          <w:tcPr>
            <w:tcW w:w="320" w:type="dxa"/>
            <w:vAlign w:val="bottom"/>
          </w:tcPr>
          <w:p>
            <w:pPr>
              <w:spacing w:after="0"/>
              <w:rPr>
                <w:sz w:val="18"/>
                <w:szCs w:val="18"/>
                <w:color w:val="auto"/>
              </w:rPr>
            </w:pPr>
          </w:p>
        </w:tc>
        <w:tc>
          <w:tcPr>
            <w:tcW w:w="2480" w:type="dxa"/>
            <w:vAlign w:val="bottom"/>
            <w:shd w:val="clear" w:color="auto" w:fill="E2E6F4"/>
          </w:tcPr>
          <w:p>
            <w:pPr>
              <w:ind w:left="140"/>
              <w:spacing w:after="0"/>
              <w:rPr>
                <w:sz w:val="20"/>
                <w:szCs w:val="20"/>
                <w:color w:val="auto"/>
              </w:rPr>
            </w:pPr>
            <w:r>
              <w:rPr>
                <w:rFonts w:ascii="Arial" w:cs="Arial" w:eastAsia="Arial" w:hAnsi="Arial"/>
                <w:sz w:val="18"/>
                <w:szCs w:val="18"/>
                <w:color w:val="auto"/>
              </w:rPr>
              <w:t>on the peer assessments.</w:t>
            </w:r>
          </w:p>
        </w:tc>
        <w:tc>
          <w:tcPr>
            <w:tcW w:w="240" w:type="dxa"/>
            <w:vAlign w:val="bottom"/>
            <w:tcBorders>
              <w:right w:val="single" w:sz="8" w:color="0067B3"/>
            </w:tcBorders>
          </w:tcPr>
          <w:p>
            <w:pPr>
              <w:spacing w:after="0"/>
              <w:rPr>
                <w:sz w:val="18"/>
                <w:szCs w:val="18"/>
                <w:color w:val="auto"/>
              </w:rPr>
            </w:pPr>
          </w:p>
        </w:tc>
        <w:tc>
          <w:tcPr>
            <w:tcW w:w="0" w:type="dxa"/>
            <w:vAlign w:val="bottom"/>
          </w:tcPr>
          <w:p>
            <w:pPr>
              <w:spacing w:after="0"/>
              <w:rPr>
                <w:sz w:val="1"/>
                <w:szCs w:val="1"/>
                <w:color w:val="auto"/>
              </w:rPr>
            </w:pPr>
          </w:p>
        </w:tc>
      </w:tr>
      <w:tr>
        <w:trPr>
          <w:trHeight w:val="239"/>
        </w:trPr>
        <w:tc>
          <w:tcPr>
            <w:tcW w:w="220" w:type="dxa"/>
            <w:vAlign w:val="bottom"/>
            <w:tcBorders>
              <w:left w:val="single" w:sz="8" w:color="0067B3"/>
            </w:tcBorders>
          </w:tcPr>
          <w:p>
            <w:pPr>
              <w:spacing w:after="0"/>
              <w:rPr>
                <w:sz w:val="20"/>
                <w:szCs w:val="20"/>
                <w:color w:val="auto"/>
              </w:rPr>
            </w:pPr>
          </w:p>
        </w:tc>
        <w:tc>
          <w:tcPr>
            <w:tcW w:w="2440" w:type="dxa"/>
            <w:vAlign w:val="bottom"/>
            <w:shd w:val="clear" w:color="auto" w:fill="E2E6F4"/>
          </w:tcPr>
          <w:p>
            <w:pPr>
              <w:spacing w:after="0"/>
              <w:rPr>
                <w:sz w:val="20"/>
                <w:szCs w:val="20"/>
                <w:color w:val="auto"/>
              </w:rPr>
            </w:pPr>
          </w:p>
        </w:tc>
        <w:tc>
          <w:tcPr>
            <w:tcW w:w="320" w:type="dxa"/>
            <w:vAlign w:val="bottom"/>
          </w:tcPr>
          <w:p>
            <w:pPr>
              <w:spacing w:after="0"/>
              <w:rPr>
                <w:sz w:val="20"/>
                <w:szCs w:val="20"/>
                <w:color w:val="auto"/>
              </w:rPr>
            </w:pPr>
          </w:p>
        </w:tc>
        <w:tc>
          <w:tcPr>
            <w:tcW w:w="2460" w:type="dxa"/>
            <w:vAlign w:val="bottom"/>
            <w:shd w:val="clear" w:color="auto" w:fill="E2E6F4"/>
          </w:tcPr>
          <w:p>
            <w:pPr>
              <w:ind w:left="140"/>
              <w:spacing w:after="0"/>
              <w:rPr>
                <w:sz w:val="20"/>
                <w:szCs w:val="20"/>
                <w:color w:val="auto"/>
              </w:rPr>
            </w:pPr>
            <w:r>
              <w:rPr>
                <w:rFonts w:ascii="Arial" w:cs="Arial" w:eastAsia="Arial" w:hAnsi="Arial"/>
                <w:sz w:val="18"/>
                <w:szCs w:val="18"/>
                <w:color w:val="auto"/>
              </w:rPr>
              <w:t>conducted periodically.</w:t>
            </w:r>
          </w:p>
        </w:tc>
        <w:tc>
          <w:tcPr>
            <w:tcW w:w="320" w:type="dxa"/>
            <w:vAlign w:val="bottom"/>
          </w:tcPr>
          <w:p>
            <w:pPr>
              <w:spacing w:after="0"/>
              <w:rPr>
                <w:sz w:val="20"/>
                <w:szCs w:val="20"/>
                <w:color w:val="auto"/>
              </w:rPr>
            </w:pPr>
          </w:p>
        </w:tc>
        <w:tc>
          <w:tcPr>
            <w:tcW w:w="2460" w:type="dxa"/>
            <w:vAlign w:val="bottom"/>
            <w:shd w:val="clear" w:color="auto" w:fill="E2E6F4"/>
          </w:tcPr>
          <w:p>
            <w:pPr>
              <w:spacing w:after="0"/>
              <w:rPr>
                <w:sz w:val="20"/>
                <w:szCs w:val="20"/>
                <w:color w:val="auto"/>
              </w:rPr>
            </w:pPr>
          </w:p>
        </w:tc>
        <w:tc>
          <w:tcPr>
            <w:tcW w:w="320" w:type="dxa"/>
            <w:vAlign w:val="bottom"/>
          </w:tcPr>
          <w:p>
            <w:pPr>
              <w:spacing w:after="0"/>
              <w:rPr>
                <w:sz w:val="20"/>
                <w:szCs w:val="20"/>
                <w:color w:val="auto"/>
              </w:rPr>
            </w:pPr>
          </w:p>
        </w:tc>
        <w:tc>
          <w:tcPr>
            <w:tcW w:w="2480" w:type="dxa"/>
            <w:vAlign w:val="bottom"/>
            <w:shd w:val="clear" w:color="auto" w:fill="E2E6F4"/>
          </w:tcPr>
          <w:p>
            <w:pPr>
              <w:spacing w:after="0"/>
              <w:rPr>
                <w:sz w:val="20"/>
                <w:szCs w:val="20"/>
                <w:color w:val="auto"/>
              </w:rPr>
            </w:pPr>
          </w:p>
        </w:tc>
        <w:tc>
          <w:tcPr>
            <w:tcW w:w="240" w:type="dxa"/>
            <w:vAlign w:val="bottom"/>
            <w:tcBorders>
              <w:right w:val="single" w:sz="8" w:color="0067B3"/>
            </w:tcBorders>
          </w:tcPr>
          <w:p>
            <w:pPr>
              <w:spacing w:after="0"/>
              <w:rPr>
                <w:sz w:val="20"/>
                <w:szCs w:val="20"/>
                <w:color w:val="auto"/>
              </w:rPr>
            </w:pPr>
          </w:p>
        </w:tc>
        <w:tc>
          <w:tcPr>
            <w:tcW w:w="0" w:type="dxa"/>
            <w:vAlign w:val="bottom"/>
          </w:tcPr>
          <w:p>
            <w:pPr>
              <w:spacing w:after="0"/>
              <w:rPr>
                <w:sz w:val="1"/>
                <w:szCs w:val="1"/>
                <w:color w:val="auto"/>
              </w:rPr>
            </w:pPr>
          </w:p>
        </w:tc>
      </w:tr>
      <w:tr>
        <w:trPr>
          <w:trHeight w:val="279"/>
        </w:trPr>
        <w:tc>
          <w:tcPr>
            <w:tcW w:w="220" w:type="dxa"/>
            <w:vAlign w:val="bottom"/>
            <w:tcBorders>
              <w:left w:val="single" w:sz="8" w:color="0067B3"/>
            </w:tcBorders>
          </w:tcPr>
          <w:p>
            <w:pPr>
              <w:spacing w:after="0"/>
              <w:rPr>
                <w:sz w:val="24"/>
                <w:szCs w:val="24"/>
                <w:color w:val="auto"/>
              </w:rPr>
            </w:pPr>
          </w:p>
        </w:tc>
        <w:tc>
          <w:tcPr>
            <w:tcW w:w="2440" w:type="dxa"/>
            <w:vAlign w:val="bottom"/>
            <w:shd w:val="clear" w:color="auto" w:fill="E2E6F4"/>
          </w:tcPr>
          <w:p>
            <w:pPr>
              <w:spacing w:after="0"/>
              <w:rPr>
                <w:sz w:val="24"/>
                <w:szCs w:val="24"/>
                <w:color w:val="auto"/>
              </w:rPr>
            </w:pPr>
          </w:p>
        </w:tc>
        <w:tc>
          <w:tcPr>
            <w:tcW w:w="320" w:type="dxa"/>
            <w:vAlign w:val="bottom"/>
          </w:tcPr>
          <w:p>
            <w:pPr>
              <w:spacing w:after="0"/>
              <w:rPr>
                <w:sz w:val="24"/>
                <w:szCs w:val="24"/>
                <w:color w:val="auto"/>
              </w:rPr>
            </w:pPr>
          </w:p>
        </w:tc>
        <w:tc>
          <w:tcPr>
            <w:tcW w:w="2460" w:type="dxa"/>
            <w:vAlign w:val="bottom"/>
            <w:shd w:val="clear" w:color="auto" w:fill="E2E6F4"/>
          </w:tcPr>
          <w:p>
            <w:pPr>
              <w:spacing w:after="0"/>
              <w:rPr>
                <w:sz w:val="24"/>
                <w:szCs w:val="24"/>
                <w:color w:val="auto"/>
              </w:rPr>
            </w:pPr>
          </w:p>
        </w:tc>
        <w:tc>
          <w:tcPr>
            <w:tcW w:w="320" w:type="dxa"/>
            <w:vAlign w:val="bottom"/>
          </w:tcPr>
          <w:p>
            <w:pPr>
              <w:spacing w:after="0"/>
              <w:rPr>
                <w:sz w:val="24"/>
                <w:szCs w:val="24"/>
                <w:color w:val="auto"/>
              </w:rPr>
            </w:pPr>
          </w:p>
        </w:tc>
        <w:tc>
          <w:tcPr>
            <w:tcW w:w="2460" w:type="dxa"/>
            <w:vAlign w:val="bottom"/>
            <w:shd w:val="clear" w:color="auto" w:fill="E2E6F4"/>
          </w:tcPr>
          <w:p>
            <w:pPr>
              <w:spacing w:after="0"/>
              <w:rPr>
                <w:sz w:val="24"/>
                <w:szCs w:val="24"/>
                <w:color w:val="auto"/>
              </w:rPr>
            </w:pPr>
          </w:p>
        </w:tc>
        <w:tc>
          <w:tcPr>
            <w:tcW w:w="320" w:type="dxa"/>
            <w:vAlign w:val="bottom"/>
          </w:tcPr>
          <w:p>
            <w:pPr>
              <w:spacing w:after="0"/>
              <w:rPr>
                <w:sz w:val="24"/>
                <w:szCs w:val="24"/>
                <w:color w:val="auto"/>
              </w:rPr>
            </w:pPr>
          </w:p>
        </w:tc>
        <w:tc>
          <w:tcPr>
            <w:tcW w:w="2480" w:type="dxa"/>
            <w:vAlign w:val="bottom"/>
            <w:shd w:val="clear" w:color="auto" w:fill="E2E6F4"/>
          </w:tcPr>
          <w:p>
            <w:pPr>
              <w:spacing w:after="0"/>
              <w:rPr>
                <w:sz w:val="24"/>
                <w:szCs w:val="24"/>
                <w:color w:val="auto"/>
              </w:rPr>
            </w:pPr>
          </w:p>
        </w:tc>
        <w:tc>
          <w:tcPr>
            <w:tcW w:w="240" w:type="dxa"/>
            <w:vAlign w:val="bottom"/>
            <w:tcBorders>
              <w:right w:val="single" w:sz="8" w:color="0067B3"/>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220" w:type="dxa"/>
            <w:vAlign w:val="bottom"/>
            <w:tcBorders>
              <w:left w:val="single" w:sz="8" w:color="0067B3"/>
              <w:bottom w:val="single" w:sz="8" w:color="0067B3"/>
            </w:tcBorders>
          </w:tcPr>
          <w:p>
            <w:pPr>
              <w:spacing w:after="0"/>
              <w:rPr>
                <w:sz w:val="14"/>
                <w:szCs w:val="14"/>
                <w:color w:val="auto"/>
              </w:rPr>
            </w:pPr>
          </w:p>
        </w:tc>
        <w:tc>
          <w:tcPr>
            <w:tcW w:w="2440" w:type="dxa"/>
            <w:vAlign w:val="bottom"/>
            <w:tcBorders>
              <w:bottom w:val="single" w:sz="8" w:color="0067B3"/>
            </w:tcBorders>
          </w:tcPr>
          <w:p>
            <w:pPr>
              <w:spacing w:after="0"/>
              <w:rPr>
                <w:sz w:val="14"/>
                <w:szCs w:val="14"/>
                <w:color w:val="auto"/>
              </w:rPr>
            </w:pPr>
          </w:p>
        </w:tc>
        <w:tc>
          <w:tcPr>
            <w:tcW w:w="320" w:type="dxa"/>
            <w:vAlign w:val="bottom"/>
            <w:tcBorders>
              <w:bottom w:val="single" w:sz="8" w:color="0067B3"/>
            </w:tcBorders>
          </w:tcPr>
          <w:p>
            <w:pPr>
              <w:spacing w:after="0"/>
              <w:rPr>
                <w:sz w:val="14"/>
                <w:szCs w:val="14"/>
                <w:color w:val="auto"/>
              </w:rPr>
            </w:pPr>
          </w:p>
        </w:tc>
        <w:tc>
          <w:tcPr>
            <w:tcW w:w="2460" w:type="dxa"/>
            <w:vAlign w:val="bottom"/>
            <w:tcBorders>
              <w:bottom w:val="single" w:sz="8" w:color="0067B3"/>
            </w:tcBorders>
          </w:tcPr>
          <w:p>
            <w:pPr>
              <w:spacing w:after="0"/>
              <w:rPr>
                <w:sz w:val="14"/>
                <w:szCs w:val="14"/>
                <w:color w:val="auto"/>
              </w:rPr>
            </w:pPr>
          </w:p>
        </w:tc>
        <w:tc>
          <w:tcPr>
            <w:tcW w:w="320" w:type="dxa"/>
            <w:vAlign w:val="bottom"/>
            <w:tcBorders>
              <w:bottom w:val="single" w:sz="8" w:color="0067B3"/>
            </w:tcBorders>
          </w:tcPr>
          <w:p>
            <w:pPr>
              <w:spacing w:after="0"/>
              <w:rPr>
                <w:sz w:val="14"/>
                <w:szCs w:val="14"/>
                <w:color w:val="auto"/>
              </w:rPr>
            </w:pPr>
          </w:p>
        </w:tc>
        <w:tc>
          <w:tcPr>
            <w:tcW w:w="2460" w:type="dxa"/>
            <w:vAlign w:val="bottom"/>
            <w:tcBorders>
              <w:bottom w:val="single" w:sz="8" w:color="0067B3"/>
            </w:tcBorders>
          </w:tcPr>
          <w:p>
            <w:pPr>
              <w:spacing w:after="0"/>
              <w:rPr>
                <w:sz w:val="14"/>
                <w:szCs w:val="14"/>
                <w:color w:val="auto"/>
              </w:rPr>
            </w:pPr>
          </w:p>
        </w:tc>
        <w:tc>
          <w:tcPr>
            <w:tcW w:w="320" w:type="dxa"/>
            <w:vAlign w:val="bottom"/>
            <w:tcBorders>
              <w:bottom w:val="single" w:sz="8" w:color="0067B3"/>
            </w:tcBorders>
          </w:tcPr>
          <w:p>
            <w:pPr>
              <w:spacing w:after="0"/>
              <w:rPr>
                <w:sz w:val="14"/>
                <w:szCs w:val="14"/>
                <w:color w:val="auto"/>
              </w:rPr>
            </w:pPr>
          </w:p>
        </w:tc>
        <w:tc>
          <w:tcPr>
            <w:tcW w:w="2480" w:type="dxa"/>
            <w:vAlign w:val="bottom"/>
            <w:tcBorders>
              <w:bottom w:val="single" w:sz="8" w:color="0067B3"/>
            </w:tcBorders>
          </w:tcPr>
          <w:p>
            <w:pPr>
              <w:spacing w:after="0"/>
              <w:rPr>
                <w:sz w:val="14"/>
                <w:szCs w:val="14"/>
                <w:color w:val="auto"/>
              </w:rPr>
            </w:pPr>
          </w:p>
        </w:tc>
        <w:tc>
          <w:tcPr>
            <w:tcW w:w="240" w:type="dxa"/>
            <w:vAlign w:val="bottom"/>
            <w:tcBorders>
              <w:bottom w:val="single" w:sz="8" w:color="0067B3"/>
              <w:right w:val="single" w:sz="8" w:color="0067B3"/>
            </w:tcBorders>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1762125</wp:posOffset>
            </wp:positionH>
            <wp:positionV relativeFrom="paragraph">
              <wp:posOffset>-2571115</wp:posOffset>
            </wp:positionV>
            <wp:extent cx="68580" cy="13716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68580" cy="137160"/>
                    </a:xfrm>
                    <a:prstGeom prst="rect">
                      <a:avLst/>
                    </a:prstGeom>
                    <a:noFill/>
                  </pic:spPr>
                </pic:pic>
              </a:graphicData>
            </a:graphic>
          </wp:anchor>
        </w:drawing>
        <w:drawing>
          <wp:anchor simplePos="0" relativeHeight="251657728" behindDoc="1" locked="0" layoutInCell="0" allowOverlap="1">
            <wp:simplePos x="0" y="0"/>
            <wp:positionH relativeFrom="column">
              <wp:posOffset>3528060</wp:posOffset>
            </wp:positionH>
            <wp:positionV relativeFrom="paragraph">
              <wp:posOffset>-2571115</wp:posOffset>
            </wp:positionV>
            <wp:extent cx="68580" cy="13716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68580" cy="137160"/>
                    </a:xfrm>
                    <a:prstGeom prst="rect">
                      <a:avLst/>
                    </a:prstGeom>
                    <a:noFill/>
                  </pic:spPr>
                </pic:pic>
              </a:graphicData>
            </a:graphic>
          </wp:anchor>
        </w:drawing>
        <w:drawing>
          <wp:anchor simplePos="0" relativeHeight="251657728" behindDoc="1" locked="0" layoutInCell="0" allowOverlap="1">
            <wp:simplePos x="0" y="0"/>
            <wp:positionH relativeFrom="column">
              <wp:posOffset>5293995</wp:posOffset>
            </wp:positionH>
            <wp:positionV relativeFrom="paragraph">
              <wp:posOffset>-2571115</wp:posOffset>
            </wp:positionV>
            <wp:extent cx="68580" cy="13716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68580" cy="137160"/>
                    </a:xfrm>
                    <a:prstGeom prst="rect">
                      <a:avLst/>
                    </a:prstGeom>
                    <a:noFill/>
                  </pic:spPr>
                </pic:pic>
              </a:graphicData>
            </a:graphic>
          </wp:anchor>
        </w:drawing>
      </w:r>
    </w:p>
    <w:p>
      <w:pPr>
        <w:spacing w:after="0" w:line="272" w:lineRule="exact"/>
        <w:rPr>
          <w:sz w:val="20"/>
          <w:szCs w:val="20"/>
          <w:color w:val="auto"/>
        </w:rPr>
      </w:pPr>
    </w:p>
    <w:p>
      <w:pPr>
        <w:ind w:right="280"/>
        <w:spacing w:after="0" w:line="262" w:lineRule="auto"/>
        <w:rPr>
          <w:sz w:val="20"/>
          <w:szCs w:val="20"/>
          <w:color w:val="auto"/>
        </w:rPr>
      </w:pPr>
      <w:r>
        <w:rPr>
          <w:rFonts w:ascii="Arial" w:cs="Arial" w:eastAsia="Arial" w:hAnsi="Arial"/>
          <w:sz w:val="18"/>
          <w:szCs w:val="18"/>
          <w:color w:val="auto"/>
        </w:rPr>
        <w:t>The Board of Directors recognizes that a robust and constructive evaluation process is an essential component of good corporate governance and board effectiveness. The Board of Directors’ evaluation process is designed to facilitate regular, systematic review of the effectiveness and accountability of our Board of Directors and its committees and to identify opportunities for improving Board of Directors’ operations and procedures.</w:t>
      </w:r>
    </w:p>
    <w:p>
      <w:pPr>
        <w:spacing w:after="0" w:line="68" w:lineRule="exact"/>
        <w:rPr>
          <w:sz w:val="20"/>
          <w:szCs w:val="20"/>
          <w:color w:val="auto"/>
        </w:rPr>
      </w:pPr>
    </w:p>
    <w:p>
      <w:pPr>
        <w:ind w:right="160"/>
        <w:spacing w:after="0" w:line="262" w:lineRule="auto"/>
        <w:rPr>
          <w:sz w:val="20"/>
          <w:szCs w:val="20"/>
          <w:color w:val="auto"/>
        </w:rPr>
      </w:pPr>
      <w:r>
        <w:rPr>
          <w:rFonts w:ascii="Arial" w:cs="Arial" w:eastAsia="Arial" w:hAnsi="Arial"/>
          <w:sz w:val="18"/>
          <w:szCs w:val="18"/>
          <w:color w:val="auto"/>
        </w:rPr>
        <w:t>The Nominating and Corporate Governance Committee is responsible for overseeing an annual evaluation of the Board of Directors to determine whether it and its committees are functioning effectively, in accordance with the process described above. The Lead Independent Director, in consultation with our CEO and Chair and Chief Legal Officer, develop the evaluation process each year. In fiscal year 2025, the Board of Directors also leveraged the assistance of a third-party facilitator in the evaluation process.</w:t>
      </w:r>
    </w:p>
    <w:p>
      <w:pPr>
        <w:spacing w:after="0" w:line="68" w:lineRule="exact"/>
        <w:rPr>
          <w:sz w:val="20"/>
          <w:szCs w:val="20"/>
          <w:color w:val="auto"/>
        </w:rPr>
      </w:pPr>
    </w:p>
    <w:p>
      <w:pPr>
        <w:spacing w:after="0"/>
        <w:rPr>
          <w:sz w:val="20"/>
          <w:szCs w:val="20"/>
          <w:color w:val="auto"/>
        </w:rPr>
      </w:pPr>
      <w:r>
        <w:rPr>
          <w:rFonts w:ascii="Arial" w:cs="Arial" w:eastAsia="Arial" w:hAnsi="Arial"/>
          <w:sz w:val="18"/>
          <w:szCs w:val="18"/>
          <w:color w:val="auto"/>
        </w:rPr>
        <w:t>The evaluation process in fiscal year 2025 consisted of:</w:t>
      </w:r>
    </w:p>
    <w:p>
      <w:pPr>
        <w:spacing w:after="0" w:line="117" w:lineRule="exact"/>
        <w:rPr>
          <w:sz w:val="20"/>
          <w:szCs w:val="20"/>
          <w:color w:val="auto"/>
        </w:rPr>
      </w:pPr>
    </w:p>
    <w:p>
      <w:pPr>
        <w:ind w:left="200" w:right="60" w:hanging="192"/>
        <w:spacing w:after="0" w:line="256" w:lineRule="auto"/>
        <w:tabs>
          <w:tab w:leader="none" w:pos="157" w:val="left"/>
        </w:tabs>
        <w:numPr>
          <w:ilvl w:val="0"/>
          <w:numId w:val="40"/>
        </w:numPr>
        <w:rPr>
          <w:rFonts w:ascii="Arial" w:cs="Arial" w:eastAsia="Arial" w:hAnsi="Arial"/>
          <w:sz w:val="13"/>
          <w:szCs w:val="13"/>
          <w:color w:val="0067B3"/>
        </w:rPr>
      </w:pPr>
      <w:r>
        <w:rPr>
          <w:rFonts w:ascii="Arial" w:cs="Arial" w:eastAsia="Arial" w:hAnsi="Arial"/>
          <w:sz w:val="18"/>
          <w:szCs w:val="18"/>
          <w:color w:val="auto"/>
        </w:rPr>
        <w:t>Robust anonymous questionnaire: This questionnaire was facilitated by a third party and covered topics such as the Board of Directors’ alignment with ADI’s mission and purpose, Board of Directors’ composition, culture, and decision making, Board of Directors-management relationship, Board of Directors’ engagement and expectations, committee effectiveness, and Board of Directors’ succession. In fiscal year 2025, the Board of Directors enhanced the annual evaluation process by having each director conduct a self-assessment, as well as a peer assessment of each other member of the Board of Directors. The self and peer assessments focused on topics such as participation in Board of Directors’ meetings, expertise, and culture. The questionnaire was anonymous and provided for both numerical ratings and narrative responses.</w:t>
      </w:r>
    </w:p>
    <w:p>
      <w:pPr>
        <w:spacing w:after="0" w:line="34" w:lineRule="exact"/>
        <w:rPr>
          <w:rFonts w:ascii="Arial" w:cs="Arial" w:eastAsia="Arial" w:hAnsi="Arial"/>
          <w:sz w:val="13"/>
          <w:szCs w:val="13"/>
          <w:color w:val="0067B3"/>
        </w:rPr>
      </w:pPr>
    </w:p>
    <w:p>
      <w:pPr>
        <w:ind w:left="200" w:right="60" w:hanging="192"/>
        <w:spacing w:after="0" w:line="287" w:lineRule="auto"/>
        <w:tabs>
          <w:tab w:leader="none" w:pos="157" w:val="left"/>
        </w:tabs>
        <w:numPr>
          <w:ilvl w:val="0"/>
          <w:numId w:val="40"/>
        </w:numPr>
        <w:rPr>
          <w:rFonts w:ascii="Arial" w:cs="Arial" w:eastAsia="Arial" w:hAnsi="Arial"/>
          <w:sz w:val="13"/>
          <w:szCs w:val="13"/>
          <w:color w:val="0067B3"/>
        </w:rPr>
      </w:pPr>
      <w:r>
        <w:rPr>
          <w:rFonts w:ascii="Arial" w:cs="Arial" w:eastAsia="Arial" w:hAnsi="Arial"/>
          <w:sz w:val="18"/>
          <w:szCs w:val="18"/>
          <w:color w:val="auto"/>
        </w:rPr>
        <w:t>One-on-one discussions: A third-party facilitator held interviews with each director in a one-on-one setting. The discussions covered similar topics as the questionnaire as well as an individual contribution discussion in a conversation format.</w:t>
      </w:r>
    </w:p>
    <w:p>
      <w:pPr>
        <w:spacing w:after="0" w:line="45" w:lineRule="exact"/>
        <w:rPr>
          <w:sz w:val="20"/>
          <w:szCs w:val="20"/>
          <w:color w:val="auto"/>
        </w:rPr>
      </w:pPr>
    </w:p>
    <w:p>
      <w:pPr>
        <w:ind w:right="60"/>
        <w:spacing w:after="0" w:line="262" w:lineRule="auto"/>
        <w:rPr>
          <w:sz w:val="20"/>
          <w:szCs w:val="20"/>
          <w:color w:val="auto"/>
        </w:rPr>
      </w:pPr>
      <w:r>
        <w:rPr>
          <w:rFonts w:ascii="Arial" w:cs="Arial" w:eastAsia="Arial" w:hAnsi="Arial"/>
          <w:sz w:val="18"/>
          <w:szCs w:val="18"/>
          <w:color w:val="auto"/>
        </w:rPr>
        <w:t>The feedback received from each portion of the evaluation process was then aggregated into a report. The Lead Independent Director and our Chief Legal Officer reported the results to the full Board of Directors and led the discussion of the performance of the Board of Directors and its committees and directors. In addition, to enhance our process in fiscal year 2025, the Lead Independent Director met individually with each member of the Board of Directors to discuss individual feedback based on the peer assessments.</w:t>
      </w:r>
    </w:p>
    <w:p>
      <w:pPr>
        <w:spacing w:after="0" w:line="200" w:lineRule="exact"/>
        <w:rPr>
          <w:sz w:val="20"/>
          <w:szCs w:val="20"/>
          <w:color w:val="auto"/>
        </w:rPr>
      </w:pP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278"/>
        </w:trPr>
        <w:tc>
          <w:tcPr>
            <w:tcW w:w="10800" w:type="dxa"/>
            <w:vAlign w:val="bottom"/>
          </w:tcPr>
          <w:p>
            <w:pPr>
              <w:ind w:left="8980"/>
              <w:spacing w:after="0"/>
              <w:rPr>
                <w:sz w:val="20"/>
                <w:szCs w:val="20"/>
                <w:color w:val="auto"/>
              </w:rPr>
            </w:pPr>
            <w:r>
              <w:rPr>
                <w:rFonts w:ascii="Arial" w:cs="Arial" w:eastAsia="Arial" w:hAnsi="Arial"/>
                <w:sz w:val="16"/>
                <w:szCs w:val="16"/>
                <w:color w:val="0067B3"/>
              </w:rPr>
              <w:t>2026 Proxy Statement</w:t>
            </w:r>
          </w:p>
        </w:tc>
        <w:tc>
          <w:tcPr>
            <w:tcW w:w="440" w:type="dxa"/>
            <w:vAlign w:val="bottom"/>
          </w:tcPr>
          <w:p>
            <w:pPr>
              <w:jc w:val="right"/>
              <w:spacing w:after="0"/>
              <w:rPr>
                <w:sz w:val="20"/>
                <w:szCs w:val="20"/>
                <w:color w:val="auto"/>
              </w:rPr>
            </w:pPr>
            <w:r>
              <w:rPr>
                <w:rFonts w:ascii="Arial" w:cs="Arial" w:eastAsia="Arial" w:hAnsi="Arial"/>
                <w:sz w:val="20"/>
                <w:szCs w:val="20"/>
                <w:b w:val="1"/>
                <w:bCs w:val="1"/>
                <w:color w:val="auto"/>
              </w:rPr>
              <w:t>27</w:t>
            </w:r>
          </w:p>
        </w:tc>
      </w:tr>
      <w:tr>
        <w:trPr>
          <w:trHeight w:val="333"/>
        </w:trPr>
        <w:tc>
          <w:tcPr>
            <w:tcW w:w="1080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60"/>
          </w:cols>
          <w:pgMar w:left="320" w:top="1311" w:right="319" w:bottom="1440" w:gutter="0" w:footer="0" w:header="0"/>
        </w:sectPr>
      </w:pPr>
    </w:p>
    <w:bookmarkStart w:id="34" w:name="page35"/>
    <w:bookmarkEnd w:id="34"/>
    <w:p>
      <w:pPr>
        <w:spacing w:after="0"/>
        <w:rPr>
          <w:sz w:val="20"/>
          <w:szCs w:val="20"/>
          <w:color w:val="auto"/>
        </w:rPr>
      </w:pPr>
      <w:r>
        <w:rPr>
          <w:rFonts w:ascii="Arial" w:cs="Arial" w:eastAsia="Arial" w:hAnsi="Arial"/>
          <w:sz w:val="41"/>
          <w:szCs w:val="41"/>
          <w:b w:val="1"/>
          <w:bCs w:val="1"/>
          <w:color w:val="0067B3"/>
        </w:rPr>
        <w:t>Oversight by Our Board</w:t>
      </w:r>
    </w:p>
    <w:p>
      <w:pPr>
        <w:spacing w:after="0" w:line="144" w:lineRule="exact"/>
        <w:rPr>
          <w:sz w:val="20"/>
          <w:szCs w:val="20"/>
          <w:color w:val="auto"/>
        </w:rPr>
      </w:pPr>
    </w:p>
    <w:p>
      <w:pPr>
        <w:spacing w:after="0"/>
        <w:rPr>
          <w:sz w:val="20"/>
          <w:szCs w:val="20"/>
          <w:color w:val="auto"/>
        </w:rPr>
      </w:pPr>
      <w:r>
        <w:rPr>
          <w:rFonts w:ascii="Arial" w:cs="Arial" w:eastAsia="Arial" w:hAnsi="Arial"/>
          <w:sz w:val="32"/>
          <w:szCs w:val="32"/>
          <w:b w:val="1"/>
          <w:bCs w:val="1"/>
          <w:color w:val="auto"/>
        </w:rPr>
        <w:t>Strategic Oversight</w:t>
      </w:r>
    </w:p>
    <w:p>
      <w:pPr>
        <w:spacing w:after="0" w:line="158" w:lineRule="exact"/>
        <w:rPr>
          <w:sz w:val="20"/>
          <w:szCs w:val="20"/>
          <w:color w:val="auto"/>
        </w:rPr>
      </w:pPr>
    </w:p>
    <w:p>
      <w:pPr>
        <w:spacing w:after="0" w:line="263" w:lineRule="auto"/>
        <w:rPr>
          <w:sz w:val="20"/>
          <w:szCs w:val="20"/>
          <w:color w:val="auto"/>
        </w:rPr>
      </w:pPr>
      <w:r>
        <w:rPr>
          <w:rFonts w:ascii="Arial" w:cs="Arial" w:eastAsia="Arial" w:hAnsi="Arial"/>
          <w:sz w:val="15"/>
          <w:szCs w:val="15"/>
          <w:color w:val="auto"/>
        </w:rPr>
        <w:t>The Board of Directors reviews our overall performance, and its primary responsibility is to oversee the management of ADI and, in doing so, serve the best interests of ADI and its shareholders. The Board of Directors provides for the succession of the CEO, nominates for election at annual shareholder meetings individuals to serve as directors of ADI, and appoints individuals to fill any vacancies on the Board of Directors. Our Board of Directors reviews corporate objectives and strategies and evaluates and approves significant policies and proposed major commitments of corporate resources. It oversees ADI’s risk management programs and participates in decisions that have a potential major economic impact on ADI. Management keeps the directors informed through regular written reports and presentations at Board of Directors’ and committee meetings.</w:t>
      </w:r>
    </w:p>
    <w:p>
      <w:pPr>
        <w:spacing w:after="0" w:line="82" w:lineRule="exact"/>
        <w:rPr>
          <w:sz w:val="20"/>
          <w:szCs w:val="20"/>
          <w:color w:val="auto"/>
        </w:rPr>
      </w:pPr>
    </w:p>
    <w:p>
      <w:pPr>
        <w:spacing w:after="0"/>
        <w:rPr>
          <w:sz w:val="20"/>
          <w:szCs w:val="20"/>
          <w:color w:val="auto"/>
        </w:rPr>
      </w:pPr>
      <w:r>
        <w:rPr>
          <w:rFonts w:ascii="Arial" w:cs="Arial" w:eastAsia="Arial" w:hAnsi="Arial"/>
          <w:sz w:val="32"/>
          <w:szCs w:val="32"/>
          <w:b w:val="1"/>
          <w:bCs w:val="1"/>
          <w:color w:val="auto"/>
        </w:rPr>
        <w:t>Risk Oversight</w:t>
      </w:r>
    </w:p>
    <w:p>
      <w:pPr>
        <w:spacing w:after="0" w:line="158" w:lineRule="exact"/>
        <w:rPr>
          <w:sz w:val="20"/>
          <w:szCs w:val="20"/>
          <w:color w:val="auto"/>
        </w:rPr>
      </w:pPr>
    </w:p>
    <w:p>
      <w:pPr>
        <w:ind w:right="560"/>
        <w:spacing w:after="0" w:line="301" w:lineRule="auto"/>
        <w:rPr>
          <w:sz w:val="20"/>
          <w:szCs w:val="20"/>
          <w:color w:val="auto"/>
        </w:rPr>
      </w:pPr>
      <w:r>
        <w:rPr>
          <w:rFonts w:ascii="Arial" w:cs="Arial" w:eastAsia="Arial" w:hAnsi="Arial"/>
          <w:sz w:val="15"/>
          <w:szCs w:val="15"/>
          <w:color w:val="auto"/>
        </w:rPr>
        <w:t xml:space="preserve">The following table summarizes management’s and the Board of Directors’ role in risk management and oversight. Each committee of our Board of Directors assesses risks associated with their respective areas of oversight as described under </w:t>
      </w:r>
      <w:r>
        <w:rPr>
          <w:rFonts w:ascii="Arial" w:cs="Arial" w:eastAsia="Arial" w:hAnsi="Arial"/>
          <w:sz w:val="15"/>
          <w:szCs w:val="15"/>
          <w:i w:val="1"/>
          <w:iCs w:val="1"/>
          <w:color w:val="auto"/>
        </w:rPr>
        <w:t>Board Committees</w:t>
      </w:r>
      <w:r>
        <w:rPr>
          <w:rFonts w:ascii="Arial" w:cs="Arial" w:eastAsia="Arial" w:hAnsi="Arial"/>
          <w:sz w:val="15"/>
          <w:szCs w:val="15"/>
          <w:color w:val="auto"/>
        </w:rPr>
        <w:t xml:space="preserve"> above and in the table below.</w:t>
      </w:r>
    </w:p>
    <w:p>
      <w:pPr>
        <w:sectPr>
          <w:pgSz w:w="11900" w:h="16838" w:orient="portrait"/>
          <w:cols w:equalWidth="0" w:num="1">
            <w:col w:w="11140"/>
          </w:cols>
          <w:pgMar w:left="320" w:top="1356" w:right="439" w:bottom="1440" w:gutter="0" w:footer="0" w:header="0"/>
        </w:sectPr>
      </w:pPr>
    </w:p>
    <w:bookmarkStart w:id="35" w:name="page36"/>
    <w:bookmarkEnd w:id="35"/>
    <w:p>
      <w:pPr>
        <w:ind w:left="774"/>
        <w:spacing w:after="0"/>
        <w:rPr>
          <w:sz w:val="20"/>
          <w:szCs w:val="20"/>
          <w:color w:val="auto"/>
        </w:rPr>
      </w:pPr>
      <w:r>
        <w:rPr>
          <w:rFonts w:ascii="Arial" w:cs="Arial" w:eastAsia="Arial" w:hAnsi="Arial"/>
          <w:sz w:val="15"/>
          <w:szCs w:val="15"/>
          <w:b w:val="1"/>
          <w:bCs w:val="1"/>
          <w:color w:val="0067B3"/>
        </w:rPr>
        <w:drawing>
          <wp:anchor simplePos="0" relativeHeight="251657728" behindDoc="1" locked="0" layoutInCell="0" allowOverlap="1">
            <wp:simplePos x="0" y="0"/>
            <wp:positionH relativeFrom="page">
              <wp:posOffset>619760</wp:posOffset>
            </wp:positionH>
            <wp:positionV relativeFrom="page">
              <wp:posOffset>106045</wp:posOffset>
            </wp:positionV>
            <wp:extent cx="5332095" cy="147447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5332095" cy="1474470"/>
                    </a:xfrm>
                    <a:prstGeom prst="rect">
                      <a:avLst/>
                    </a:prstGeom>
                    <a:noFill/>
                  </pic:spPr>
                </pic:pic>
              </a:graphicData>
            </a:graphic>
          </wp:anchor>
        </w:drawing>
        <w:t>BOARD OF DIRECTORS</w:t>
      </w:r>
    </w:p>
    <w:p>
      <w:pPr>
        <w:spacing w:after="0" w:line="100" w:lineRule="exact"/>
        <w:rPr>
          <w:sz w:val="20"/>
          <w:szCs w:val="20"/>
          <w:color w:val="auto"/>
        </w:rPr>
      </w:pPr>
    </w:p>
    <w:p>
      <w:pPr>
        <w:ind w:left="974" w:right="1259" w:hanging="196"/>
        <w:spacing w:after="0" w:line="270" w:lineRule="auto"/>
        <w:tabs>
          <w:tab w:leader="none" w:pos="919" w:val="left"/>
        </w:tabs>
        <w:numPr>
          <w:ilvl w:val="0"/>
          <w:numId w:val="41"/>
        </w:numPr>
        <w:rPr>
          <w:rFonts w:ascii="Arial" w:cs="Arial" w:eastAsia="Arial" w:hAnsi="Arial"/>
          <w:sz w:val="15"/>
          <w:szCs w:val="15"/>
          <w:color w:val="0067B3"/>
        </w:rPr>
      </w:pPr>
      <w:r>
        <w:rPr>
          <w:rFonts w:ascii="Arial" w:cs="Arial" w:eastAsia="Arial" w:hAnsi="Arial"/>
          <w:sz w:val="15"/>
          <w:szCs w:val="15"/>
          <w:color w:val="auto"/>
        </w:rPr>
        <w:t>Receives regular reports from members of senior management on areas of material risk to ADI. Specifically, our Chief Risk Officer, who oversees internal enterprise risk management programs and chairs our Enterprise Risk</w:t>
      </w:r>
    </w:p>
    <w:p>
      <w:pPr>
        <w:spacing w:after="0" w:line="1" w:lineRule="exact"/>
        <w:rPr>
          <w:sz w:val="20"/>
          <w:szCs w:val="20"/>
          <w:color w:val="auto"/>
        </w:rPr>
      </w:pPr>
    </w:p>
    <w:p>
      <w:pPr>
        <w:ind w:left="974" w:right="1279"/>
        <w:spacing w:after="0" w:line="263" w:lineRule="auto"/>
        <w:rPr>
          <w:sz w:val="20"/>
          <w:szCs w:val="20"/>
          <w:color w:val="auto"/>
        </w:rPr>
      </w:pPr>
      <w:r>
        <w:rPr>
          <w:rFonts w:ascii="Arial" w:cs="Arial" w:eastAsia="Arial" w:hAnsi="Arial"/>
          <w:sz w:val="15"/>
          <w:szCs w:val="15"/>
          <w:color w:val="auto"/>
        </w:rPr>
        <w:t>Management Committee, provides regular reports to our full Board of Directors regarding our management of all enterprise and operational risks and our enterprise risk management program, with periodic updates on focus areas, such as cybersecurity.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-269875</wp:posOffset>
            </wp:positionV>
            <wp:extent cx="6180455" cy="618045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6180455" cy="6180455"/>
                    </a:xfrm>
                    <a:prstGeom prst="rect">
                      <a:avLst/>
                    </a:prstGeom>
                    <a:noFill/>
                  </pic:spPr>
                </pic:pic>
              </a:graphicData>
            </a:graphic>
          </wp:anchor>
        </w:drawing>
        <w:drawing>
          <wp:anchor simplePos="0" relativeHeight="251657728" behindDoc="1" locked="0" layoutInCell="0" allowOverlap="1">
            <wp:simplePos x="0" y="0"/>
            <wp:positionH relativeFrom="column">
              <wp:posOffset>-10795</wp:posOffset>
            </wp:positionH>
            <wp:positionV relativeFrom="paragraph">
              <wp:posOffset>-269875</wp:posOffset>
            </wp:positionV>
            <wp:extent cx="6180455" cy="618045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6180455" cy="6180455"/>
                    </a:xfrm>
                    <a:prstGeom prst="rect">
                      <a:avLst/>
                    </a:prstGeom>
                    <a:noFill/>
                  </pic:spPr>
                </pic:pic>
              </a:graphicData>
            </a:graphic>
          </wp:anchor>
        </w:drawing>
      </w:r>
    </w:p>
    <w:p>
      <w:pPr>
        <w:ind w:left="974" w:right="1359" w:hanging="196"/>
        <w:spacing w:after="0" w:line="273" w:lineRule="auto"/>
        <w:tabs>
          <w:tab w:leader="none" w:pos="919" w:val="left"/>
        </w:tabs>
        <w:numPr>
          <w:ilvl w:val="0"/>
          <w:numId w:val="42"/>
        </w:numPr>
        <w:rPr>
          <w:rFonts w:ascii="Arial" w:cs="Arial" w:eastAsia="Arial" w:hAnsi="Arial"/>
          <w:sz w:val="15"/>
          <w:szCs w:val="15"/>
          <w:color w:val="0067B3"/>
        </w:rPr>
      </w:pPr>
      <w:r>
        <w:rPr>
          <w:rFonts w:ascii="Arial" w:cs="Arial" w:eastAsia="Arial" w:hAnsi="Arial"/>
          <w:sz w:val="15"/>
          <w:szCs w:val="15"/>
          <w:color w:val="auto"/>
        </w:rPr>
        <w:t>Receives regular updates from our Audit Committee, Compensation and Talent Committee, Corporate Development Committee, and Nominating and Corporate Governance Committee, which provide our Board of Directors with thorough insight about how ADI manages risk.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400050</wp:posOffset>
            </wp:positionH>
            <wp:positionV relativeFrom="paragraph">
              <wp:posOffset>194310</wp:posOffset>
            </wp:positionV>
            <wp:extent cx="5340350" cy="155130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5340350" cy="1551305"/>
                    </a:xfrm>
                    <a:prstGeom prst="rect">
                      <a:avLst/>
                    </a:prstGeom>
                    <a:noFill/>
                  </pic:spPr>
                </pic:pic>
              </a:graphicData>
            </a:graphic>
          </wp:anchor>
        </w:drawing>
      </w:r>
    </w:p>
    <w:p>
      <w:pPr>
        <w:spacing w:after="0" w:line="348" w:lineRule="exact"/>
        <w:rPr>
          <w:sz w:val="20"/>
          <w:szCs w:val="20"/>
          <w:color w:val="auto"/>
        </w:rPr>
      </w:pPr>
    </w:p>
    <w:p>
      <w:pPr>
        <w:ind w:left="794"/>
        <w:spacing w:after="0"/>
        <w:rPr>
          <w:sz w:val="20"/>
          <w:szCs w:val="20"/>
          <w:color w:val="auto"/>
        </w:rPr>
      </w:pPr>
      <w:r>
        <w:rPr>
          <w:rFonts w:ascii="Arial" w:cs="Arial" w:eastAsia="Arial" w:hAnsi="Arial"/>
          <w:sz w:val="15"/>
          <w:szCs w:val="15"/>
          <w:b w:val="1"/>
          <w:bCs w:val="1"/>
          <w:color w:val="0067B3"/>
        </w:rPr>
        <w:t>AUDIT COMMITTEE</w:t>
      </w:r>
    </w:p>
    <w:p>
      <w:pPr>
        <w:spacing w:after="0" w:line="100" w:lineRule="exact"/>
        <w:rPr>
          <w:sz w:val="20"/>
          <w:szCs w:val="20"/>
          <w:color w:val="auto"/>
        </w:rPr>
      </w:pPr>
    </w:p>
    <w:p>
      <w:pPr>
        <w:ind w:left="994" w:right="1899" w:hanging="203"/>
        <w:spacing w:after="0" w:line="281" w:lineRule="auto"/>
        <w:tabs>
          <w:tab w:leader="none" w:pos="939" w:val="left"/>
        </w:tabs>
        <w:numPr>
          <w:ilvl w:val="0"/>
          <w:numId w:val="43"/>
        </w:numPr>
        <w:rPr>
          <w:rFonts w:ascii="Arial" w:cs="Arial" w:eastAsia="Arial" w:hAnsi="Arial"/>
          <w:sz w:val="15"/>
          <w:szCs w:val="15"/>
          <w:color w:val="0067B3"/>
        </w:rPr>
      </w:pPr>
      <w:r>
        <w:rPr>
          <w:rFonts w:ascii="Arial" w:cs="Arial" w:eastAsia="Arial" w:hAnsi="Arial"/>
          <w:sz w:val="15"/>
          <w:szCs w:val="15"/>
          <w:color w:val="auto"/>
        </w:rPr>
        <w:t>Oversees ADI’s risk assessment and risk management programs, especially as they apply to ADI’s financial statement integrity and reporting and internal controls.</w:t>
      </w:r>
    </w:p>
    <w:p>
      <w:pPr>
        <w:spacing w:after="0" w:line="1" w:lineRule="exact"/>
        <w:rPr>
          <w:rFonts w:ascii="Arial" w:cs="Arial" w:eastAsia="Arial" w:hAnsi="Arial"/>
          <w:sz w:val="15"/>
          <w:szCs w:val="15"/>
          <w:color w:val="0067B3"/>
        </w:rPr>
      </w:pPr>
    </w:p>
    <w:p>
      <w:pPr>
        <w:ind w:left="994" w:right="1499" w:hanging="203"/>
        <w:spacing w:after="0" w:line="281" w:lineRule="auto"/>
        <w:tabs>
          <w:tab w:leader="none" w:pos="939" w:val="left"/>
        </w:tabs>
        <w:numPr>
          <w:ilvl w:val="0"/>
          <w:numId w:val="43"/>
        </w:numPr>
        <w:rPr>
          <w:rFonts w:ascii="Arial" w:cs="Arial" w:eastAsia="Arial" w:hAnsi="Arial"/>
          <w:sz w:val="15"/>
          <w:szCs w:val="15"/>
          <w:color w:val="0067B3"/>
        </w:rPr>
      </w:pPr>
      <w:r>
        <w:rPr>
          <w:rFonts w:ascii="Arial" w:cs="Arial" w:eastAsia="Arial" w:hAnsi="Arial"/>
          <w:sz w:val="15"/>
          <w:szCs w:val="15"/>
          <w:color w:val="auto"/>
        </w:rPr>
        <w:t>Receives regular reports from our Managing Director of Internal Audit on internal audit matters and from our Chief Risk Officer on risk management matters.</w:t>
      </w:r>
    </w:p>
    <w:p>
      <w:pPr>
        <w:spacing w:after="0" w:line="1" w:lineRule="exact"/>
        <w:rPr>
          <w:rFonts w:ascii="Arial" w:cs="Arial" w:eastAsia="Arial" w:hAnsi="Arial"/>
          <w:sz w:val="15"/>
          <w:szCs w:val="15"/>
          <w:color w:val="0067B3"/>
        </w:rPr>
      </w:pPr>
    </w:p>
    <w:p>
      <w:pPr>
        <w:ind w:left="934" w:hanging="143"/>
        <w:spacing w:after="0"/>
        <w:tabs>
          <w:tab w:leader="none" w:pos="934" w:val="left"/>
        </w:tabs>
        <w:numPr>
          <w:ilvl w:val="0"/>
          <w:numId w:val="43"/>
        </w:numPr>
        <w:rPr>
          <w:rFonts w:ascii="Arial" w:cs="Arial" w:eastAsia="Arial" w:hAnsi="Arial"/>
          <w:sz w:val="15"/>
          <w:szCs w:val="15"/>
          <w:color w:val="0067B3"/>
        </w:rPr>
      </w:pPr>
      <w:r>
        <w:rPr>
          <w:rFonts w:ascii="Arial" w:cs="Arial" w:eastAsia="Arial" w:hAnsi="Arial"/>
          <w:sz w:val="15"/>
          <w:szCs w:val="15"/>
          <w:color w:val="auto"/>
        </w:rPr>
        <w:t>Reviews our cybersecurity and information security programs, practices, and risk mitigation efforts.</w:t>
      </w:r>
    </w:p>
    <w:p>
      <w:pPr>
        <w:spacing w:after="0" w:line="43" w:lineRule="exact"/>
        <w:rPr>
          <w:rFonts w:ascii="Arial" w:cs="Arial" w:eastAsia="Arial" w:hAnsi="Arial"/>
          <w:sz w:val="15"/>
          <w:szCs w:val="15"/>
          <w:color w:val="0067B3"/>
        </w:rPr>
      </w:pPr>
    </w:p>
    <w:p>
      <w:pPr>
        <w:ind w:left="994" w:right="1339" w:hanging="203"/>
        <w:spacing w:after="0" w:line="281" w:lineRule="auto"/>
        <w:tabs>
          <w:tab w:leader="none" w:pos="939" w:val="left"/>
        </w:tabs>
        <w:numPr>
          <w:ilvl w:val="0"/>
          <w:numId w:val="43"/>
        </w:numPr>
        <w:rPr>
          <w:rFonts w:ascii="Arial" w:cs="Arial" w:eastAsia="Arial" w:hAnsi="Arial"/>
          <w:sz w:val="15"/>
          <w:szCs w:val="15"/>
          <w:color w:val="0067B3"/>
        </w:rPr>
      </w:pPr>
      <w:r>
        <w:rPr>
          <w:rFonts w:ascii="Arial" w:cs="Arial" w:eastAsia="Arial" w:hAnsi="Arial"/>
          <w:sz w:val="15"/>
          <w:szCs w:val="15"/>
          <w:color w:val="auto"/>
        </w:rPr>
        <w:t>Receives quarterly updates from our Chief Information Officer and Chief Information Security Officer on key IT projects, enterprise cybersecurity programs, and data protection risks, and mitigation activities related to such risks.</w:t>
      </w:r>
    </w:p>
    <w:p>
      <w:pPr>
        <w:spacing w:after="0" w:line="1" w:lineRule="exact"/>
        <w:rPr>
          <w:rFonts w:ascii="Arial" w:cs="Arial" w:eastAsia="Arial" w:hAnsi="Arial"/>
          <w:sz w:val="15"/>
          <w:szCs w:val="15"/>
          <w:color w:val="0067B3"/>
        </w:rPr>
      </w:pPr>
    </w:p>
    <w:p>
      <w:pPr>
        <w:jc w:val="both"/>
        <w:ind w:left="994" w:right="1959" w:hanging="203"/>
        <w:spacing w:after="0" w:line="301" w:lineRule="auto"/>
        <w:tabs>
          <w:tab w:leader="none" w:pos="939" w:val="left"/>
        </w:tabs>
        <w:numPr>
          <w:ilvl w:val="0"/>
          <w:numId w:val="43"/>
        </w:numPr>
        <w:rPr>
          <w:rFonts w:ascii="Arial" w:cs="Arial" w:eastAsia="Arial" w:hAnsi="Arial"/>
          <w:sz w:val="15"/>
          <w:szCs w:val="15"/>
          <w:color w:val="0067B3"/>
        </w:rPr>
      </w:pPr>
      <w:r>
        <w:rPr>
          <w:rFonts w:ascii="Arial" w:cs="Arial" w:eastAsia="Arial" w:hAnsi="Arial"/>
          <w:sz w:val="15"/>
          <w:szCs w:val="15"/>
          <w:color w:val="auto"/>
        </w:rPr>
        <w:t>Evaluates capital allocation and structure, including potential issuances of debt and equity securities, credit agreements, other financial instruments, investment policy, dividends, stock splits, and stock repurchases.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400050</wp:posOffset>
            </wp:positionH>
            <wp:positionV relativeFrom="paragraph">
              <wp:posOffset>207645</wp:posOffset>
            </wp:positionV>
            <wp:extent cx="5340350" cy="93408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5340350" cy="934085"/>
                    </a:xfrm>
                    <a:prstGeom prst="rect">
                      <a:avLst/>
                    </a:prstGeom>
                    <a:noFill/>
                  </pic:spPr>
                </pic:pic>
              </a:graphicData>
            </a:graphic>
          </wp:anchor>
        </w:drawing>
        <w:drawing>
          <wp:anchor simplePos="0" relativeHeight="251657728" behindDoc="1" locked="0" layoutInCell="0" allowOverlap="1">
            <wp:simplePos x="0" y="0"/>
            <wp:positionH relativeFrom="column">
              <wp:posOffset>194310</wp:posOffset>
            </wp:positionH>
            <wp:positionV relativeFrom="paragraph">
              <wp:posOffset>-751840</wp:posOffset>
            </wp:positionV>
            <wp:extent cx="68580" cy="12001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clrChange>
                        <a:clrFrom>
                          <a:srgbClr val="000000"/>
                        </a:clrFrom>
                        <a:clrTo>
                          <a:srgbClr val="000000">
                            <a:alpha val="0"/>
                          </a:srgbClr>
                        </a:clrTo>
                      </a:clrChange>
                      <a:extLst>
                        <a:ext uri="{28A0092B-C50C-407E-A947-70E740481C1C}"/>
                      </a:extLst>
                    </a:blip>
                    <a:srcRect/>
                    <a:stretch>
                      <a:fillRect/>
                    </a:stretch>
                  </pic:blipFill>
                  <pic:spPr bwMode="auto">
                    <a:xfrm>
                      <a:off x="0" y="0"/>
                      <a:ext cx="68580" cy="120015"/>
                    </a:xfrm>
                    <a:prstGeom prst="rect">
                      <a:avLst/>
                    </a:prstGeom>
                    <a:noFill/>
                  </pic:spPr>
                </pic:pic>
              </a:graphicData>
            </a:graphic>
          </wp:anchor>
        </w:drawing>
        <w:drawing>
          <wp:anchor simplePos="0" relativeHeight="251657728" behindDoc="1" locked="0" layoutInCell="0" allowOverlap="1">
            <wp:simplePos x="0" y="0"/>
            <wp:positionH relativeFrom="column">
              <wp:posOffset>194310</wp:posOffset>
            </wp:positionH>
            <wp:positionV relativeFrom="paragraph">
              <wp:posOffset>-751840</wp:posOffset>
            </wp:positionV>
            <wp:extent cx="68580" cy="12001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clrChange>
                        <a:clrFrom>
                          <a:srgbClr val="FFFFFF"/>
                        </a:clrFrom>
                        <a:clrTo>
                          <a:srgbClr val="FFFFFF">
                            <a:alpha val="0"/>
                          </a:srgbClr>
                        </a:clrTo>
                      </a:clrChange>
                      <a:extLst>
                        <a:ext uri="{28A0092B-C50C-407E-A947-70E740481C1C}"/>
                      </a:extLst>
                    </a:blip>
                    <a:srcRect/>
                    <a:stretch>
                      <a:fillRect/>
                    </a:stretch>
                  </pic:blipFill>
                  <pic:spPr bwMode="auto">
                    <a:xfrm>
                      <a:off x="0" y="0"/>
                      <a:ext cx="68580" cy="120015"/>
                    </a:xfrm>
                    <a:prstGeom prst="rect">
                      <a:avLst/>
                    </a:prstGeom>
                    <a:noFill/>
                  </pic:spPr>
                </pic:pic>
              </a:graphicData>
            </a:graphic>
          </wp:anchor>
        </w:drawing>
        <w:drawing>
          <wp:anchor simplePos="0" relativeHeight="251657728" behindDoc="1" locked="0" layoutInCell="0" allowOverlap="1">
            <wp:simplePos x="0" y="0"/>
            <wp:positionH relativeFrom="column">
              <wp:posOffset>5869305</wp:posOffset>
            </wp:positionH>
            <wp:positionV relativeFrom="paragraph">
              <wp:posOffset>-751840</wp:posOffset>
            </wp:positionV>
            <wp:extent cx="68580" cy="11176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clrChange>
                        <a:clrFrom>
                          <a:srgbClr val="000000"/>
                        </a:clrFrom>
                        <a:clrTo>
                          <a:srgbClr val="000000">
                            <a:alpha val="0"/>
                          </a:srgbClr>
                        </a:clrTo>
                      </a:clrChange>
                      <a:extLst>
                        <a:ext uri="{28A0092B-C50C-407E-A947-70E740481C1C}"/>
                      </a:extLst>
                    </a:blip>
                    <a:srcRect/>
                    <a:stretch>
                      <a:fillRect/>
                    </a:stretch>
                  </pic:blipFill>
                  <pic:spPr bwMode="auto">
                    <a:xfrm>
                      <a:off x="0" y="0"/>
                      <a:ext cx="68580" cy="111760"/>
                    </a:xfrm>
                    <a:prstGeom prst="rect">
                      <a:avLst/>
                    </a:prstGeom>
                    <a:noFill/>
                  </pic:spPr>
                </pic:pic>
              </a:graphicData>
            </a:graphic>
          </wp:anchor>
        </w:drawing>
        <w:drawing>
          <wp:anchor simplePos="0" relativeHeight="251657728" behindDoc="1" locked="0" layoutInCell="0" allowOverlap="1">
            <wp:simplePos x="0" y="0"/>
            <wp:positionH relativeFrom="column">
              <wp:posOffset>5869305</wp:posOffset>
            </wp:positionH>
            <wp:positionV relativeFrom="paragraph">
              <wp:posOffset>-751840</wp:posOffset>
            </wp:positionV>
            <wp:extent cx="68580" cy="11176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clrChange>
                        <a:clrFrom>
                          <a:srgbClr val="FFFFFF"/>
                        </a:clrFrom>
                        <a:clrTo>
                          <a:srgbClr val="FFFFFF">
                            <a:alpha val="0"/>
                          </a:srgbClr>
                        </a:clrTo>
                      </a:clrChange>
                      <a:extLst>
                        <a:ext uri="{28A0092B-C50C-407E-A947-70E740481C1C}"/>
                      </a:extLst>
                    </a:blip>
                    <a:srcRect/>
                    <a:stretch>
                      <a:fillRect/>
                    </a:stretch>
                  </pic:blipFill>
                  <pic:spPr bwMode="auto">
                    <a:xfrm>
                      <a:off x="0" y="0"/>
                      <a:ext cx="68580" cy="111760"/>
                    </a:xfrm>
                    <a:prstGeom prst="rect">
                      <a:avLst/>
                    </a:prstGeom>
                    <a:noFill/>
                  </pic:spPr>
                </pic:pic>
              </a:graphicData>
            </a:graphic>
          </wp:anchor>
        </w:drawing>
      </w:r>
    </w:p>
    <w:p>
      <w:pPr>
        <w:spacing w:after="0" w:line="200" w:lineRule="exact"/>
        <w:rPr>
          <w:sz w:val="20"/>
          <w:szCs w:val="20"/>
          <w:color w:val="auto"/>
        </w:rPr>
      </w:pPr>
    </w:p>
    <w:p>
      <w:pPr>
        <w:spacing w:after="0" w:line="358" w:lineRule="exact"/>
        <w:rPr>
          <w:sz w:val="20"/>
          <w:szCs w:val="20"/>
          <w:color w:val="auto"/>
        </w:rPr>
      </w:pPr>
    </w:p>
    <w:p>
      <w:pPr>
        <w:ind w:left="794"/>
        <w:spacing w:after="0"/>
        <w:rPr>
          <w:sz w:val="20"/>
          <w:szCs w:val="20"/>
          <w:color w:val="auto"/>
        </w:rPr>
      </w:pPr>
      <w:r>
        <w:rPr>
          <w:rFonts w:ascii="Arial" w:cs="Arial" w:eastAsia="Arial" w:hAnsi="Arial"/>
          <w:sz w:val="15"/>
          <w:szCs w:val="15"/>
          <w:b w:val="1"/>
          <w:bCs w:val="1"/>
          <w:color w:val="0067B3"/>
        </w:rPr>
        <w:t>COMPENSATION AND TALENT COMMITTEE</w:t>
      </w:r>
    </w:p>
    <w:p>
      <w:pPr>
        <w:spacing w:after="0" w:line="100" w:lineRule="exact"/>
        <w:rPr>
          <w:sz w:val="20"/>
          <w:szCs w:val="20"/>
          <w:color w:val="auto"/>
        </w:rPr>
      </w:pPr>
    </w:p>
    <w:p>
      <w:pPr>
        <w:ind w:left="934" w:hanging="143"/>
        <w:spacing w:after="0"/>
        <w:tabs>
          <w:tab w:leader="none" w:pos="934" w:val="left"/>
        </w:tabs>
        <w:numPr>
          <w:ilvl w:val="0"/>
          <w:numId w:val="44"/>
        </w:numPr>
        <w:rPr>
          <w:rFonts w:ascii="Arial" w:cs="Arial" w:eastAsia="Arial" w:hAnsi="Arial"/>
          <w:sz w:val="15"/>
          <w:szCs w:val="15"/>
          <w:color w:val="0067B3"/>
        </w:rPr>
      </w:pPr>
      <w:r>
        <w:rPr>
          <w:rFonts w:ascii="Arial" w:cs="Arial" w:eastAsia="Arial" w:hAnsi="Arial"/>
          <w:sz w:val="15"/>
          <w:szCs w:val="15"/>
          <w:color w:val="auto"/>
        </w:rPr>
        <w:t>Oversees ADI’s executive compensation programs and non-employee director compensation practices.</w:t>
      </w:r>
    </w:p>
    <w:p>
      <w:pPr>
        <w:spacing w:after="0" w:line="57" w:lineRule="exact"/>
        <w:rPr>
          <w:rFonts w:ascii="Arial" w:cs="Arial" w:eastAsia="Arial" w:hAnsi="Arial"/>
          <w:sz w:val="15"/>
          <w:szCs w:val="15"/>
          <w:color w:val="0067B3"/>
        </w:rPr>
      </w:pPr>
    </w:p>
    <w:p>
      <w:pPr>
        <w:ind w:left="934" w:hanging="143"/>
        <w:spacing w:after="0"/>
        <w:tabs>
          <w:tab w:leader="none" w:pos="934" w:val="left"/>
        </w:tabs>
        <w:numPr>
          <w:ilvl w:val="0"/>
          <w:numId w:val="44"/>
        </w:numPr>
        <w:rPr>
          <w:rFonts w:ascii="Arial" w:cs="Arial" w:eastAsia="Arial" w:hAnsi="Arial"/>
          <w:sz w:val="15"/>
          <w:szCs w:val="15"/>
          <w:color w:val="0067B3"/>
        </w:rPr>
      </w:pPr>
      <w:r>
        <w:rPr>
          <w:rFonts w:ascii="Arial" w:cs="Arial" w:eastAsia="Arial" w:hAnsi="Arial"/>
          <w:sz w:val="15"/>
          <w:szCs w:val="15"/>
          <w:color w:val="auto"/>
        </w:rPr>
        <w:t>Oversees ADI’s policies, strategies, and programs relating to human capital management.</w:t>
      </w:r>
    </w:p>
    <w:p>
      <w:pPr>
        <w:spacing w:after="0" w:line="43" w:lineRule="exact"/>
        <w:rPr>
          <w:rFonts w:ascii="Arial" w:cs="Arial" w:eastAsia="Arial" w:hAnsi="Arial"/>
          <w:sz w:val="15"/>
          <w:szCs w:val="15"/>
          <w:color w:val="0067B3"/>
        </w:rPr>
      </w:pPr>
    </w:p>
    <w:p>
      <w:pPr>
        <w:ind w:left="934" w:hanging="143"/>
        <w:spacing w:after="0"/>
        <w:tabs>
          <w:tab w:leader="none" w:pos="934" w:val="left"/>
        </w:tabs>
        <w:numPr>
          <w:ilvl w:val="0"/>
          <w:numId w:val="44"/>
        </w:numPr>
        <w:rPr>
          <w:rFonts w:ascii="Arial" w:cs="Arial" w:eastAsia="Arial" w:hAnsi="Arial"/>
          <w:sz w:val="15"/>
          <w:szCs w:val="15"/>
          <w:color w:val="0067B3"/>
        </w:rPr>
      </w:pPr>
      <w:r>
        <w:rPr>
          <w:rFonts w:ascii="Arial" w:cs="Arial" w:eastAsia="Arial" w:hAnsi="Arial"/>
          <w:sz w:val="15"/>
          <w:szCs w:val="15"/>
          <w:color w:val="auto"/>
        </w:rPr>
        <w:t>Oversees the evaluation and succession planning and development programs for senior executives.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400050</wp:posOffset>
            </wp:positionH>
            <wp:positionV relativeFrom="paragraph">
              <wp:posOffset>261620</wp:posOffset>
            </wp:positionV>
            <wp:extent cx="5340350" cy="126873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5340350" cy="1268730"/>
                    </a:xfrm>
                    <a:prstGeom prst="rect">
                      <a:avLst/>
                    </a:prstGeom>
                    <a:noFill/>
                  </pic:spPr>
                </pic:pic>
              </a:graphicData>
            </a:graphic>
          </wp:anchor>
        </w:drawing>
        <w:drawing>
          <wp:anchor simplePos="0" relativeHeight="251657728" behindDoc="1" locked="0" layoutInCell="0" allowOverlap="1">
            <wp:simplePos x="0" y="0"/>
            <wp:positionH relativeFrom="column">
              <wp:posOffset>194310</wp:posOffset>
            </wp:positionH>
            <wp:positionV relativeFrom="paragraph">
              <wp:posOffset>-329565</wp:posOffset>
            </wp:positionV>
            <wp:extent cx="68580" cy="12001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clrChange>
                        <a:clrFrom>
                          <a:srgbClr val="000000"/>
                        </a:clrFrom>
                        <a:clrTo>
                          <a:srgbClr val="000000">
                            <a:alpha val="0"/>
                          </a:srgbClr>
                        </a:clrTo>
                      </a:clrChange>
                      <a:extLst>
                        <a:ext uri="{28A0092B-C50C-407E-A947-70E740481C1C}"/>
                      </a:extLst>
                    </a:blip>
                    <a:srcRect/>
                    <a:stretch>
                      <a:fillRect/>
                    </a:stretch>
                  </pic:blipFill>
                  <pic:spPr bwMode="auto">
                    <a:xfrm>
                      <a:off x="0" y="0"/>
                      <a:ext cx="68580" cy="120015"/>
                    </a:xfrm>
                    <a:prstGeom prst="rect">
                      <a:avLst/>
                    </a:prstGeom>
                    <a:noFill/>
                  </pic:spPr>
                </pic:pic>
              </a:graphicData>
            </a:graphic>
          </wp:anchor>
        </w:drawing>
        <w:drawing>
          <wp:anchor simplePos="0" relativeHeight="251657728" behindDoc="1" locked="0" layoutInCell="0" allowOverlap="1">
            <wp:simplePos x="0" y="0"/>
            <wp:positionH relativeFrom="column">
              <wp:posOffset>194310</wp:posOffset>
            </wp:positionH>
            <wp:positionV relativeFrom="paragraph">
              <wp:posOffset>-329565</wp:posOffset>
            </wp:positionV>
            <wp:extent cx="68580" cy="12001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clrChange>
                        <a:clrFrom>
                          <a:srgbClr val="FFFFFF"/>
                        </a:clrFrom>
                        <a:clrTo>
                          <a:srgbClr val="FFFFFF">
                            <a:alpha val="0"/>
                          </a:srgbClr>
                        </a:clrTo>
                      </a:clrChange>
                      <a:extLst>
                        <a:ext uri="{28A0092B-C50C-407E-A947-70E740481C1C}"/>
                      </a:extLst>
                    </a:blip>
                    <a:srcRect/>
                    <a:stretch>
                      <a:fillRect/>
                    </a:stretch>
                  </pic:blipFill>
                  <pic:spPr bwMode="auto">
                    <a:xfrm>
                      <a:off x="0" y="0"/>
                      <a:ext cx="68580" cy="120015"/>
                    </a:xfrm>
                    <a:prstGeom prst="rect">
                      <a:avLst/>
                    </a:prstGeom>
                    <a:noFill/>
                  </pic:spPr>
                </pic:pic>
              </a:graphicData>
            </a:graphic>
          </wp:anchor>
        </w:drawing>
        <w:drawing>
          <wp:anchor simplePos="0" relativeHeight="251657728" behindDoc="1" locked="0" layoutInCell="0" allowOverlap="1">
            <wp:simplePos x="0" y="0"/>
            <wp:positionH relativeFrom="column">
              <wp:posOffset>5869305</wp:posOffset>
            </wp:positionH>
            <wp:positionV relativeFrom="paragraph">
              <wp:posOffset>-329565</wp:posOffset>
            </wp:positionV>
            <wp:extent cx="68580" cy="11112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clrChange>
                        <a:clrFrom>
                          <a:srgbClr val="000000"/>
                        </a:clrFrom>
                        <a:clrTo>
                          <a:srgbClr val="000000">
                            <a:alpha val="0"/>
                          </a:srgbClr>
                        </a:clrTo>
                      </a:clrChange>
                      <a:extLst>
                        <a:ext uri="{28A0092B-C50C-407E-A947-70E740481C1C}"/>
                      </a:extLst>
                    </a:blip>
                    <a:srcRect/>
                    <a:stretch>
                      <a:fillRect/>
                    </a:stretch>
                  </pic:blipFill>
                  <pic:spPr bwMode="auto">
                    <a:xfrm>
                      <a:off x="0" y="0"/>
                      <a:ext cx="68580" cy="111125"/>
                    </a:xfrm>
                    <a:prstGeom prst="rect">
                      <a:avLst/>
                    </a:prstGeom>
                    <a:noFill/>
                  </pic:spPr>
                </pic:pic>
              </a:graphicData>
            </a:graphic>
          </wp:anchor>
        </w:drawing>
        <w:drawing>
          <wp:anchor simplePos="0" relativeHeight="251657728" behindDoc="1" locked="0" layoutInCell="0" allowOverlap="1">
            <wp:simplePos x="0" y="0"/>
            <wp:positionH relativeFrom="column">
              <wp:posOffset>5869305</wp:posOffset>
            </wp:positionH>
            <wp:positionV relativeFrom="paragraph">
              <wp:posOffset>-329565</wp:posOffset>
            </wp:positionV>
            <wp:extent cx="68580" cy="11112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clrChange>
                        <a:clrFrom>
                          <a:srgbClr val="FFFFFF"/>
                        </a:clrFrom>
                        <a:clrTo>
                          <a:srgbClr val="FFFFFF">
                            <a:alpha val="0"/>
                          </a:srgbClr>
                        </a:clrTo>
                      </a:clrChange>
                      <a:extLst>
                        <a:ext uri="{28A0092B-C50C-407E-A947-70E740481C1C}"/>
                      </a:extLst>
                    </a:blip>
                    <a:srcRect/>
                    <a:stretch>
                      <a:fillRect/>
                    </a:stretch>
                  </pic:blipFill>
                  <pic:spPr bwMode="auto">
                    <a:xfrm>
                      <a:off x="0" y="0"/>
                      <a:ext cx="68580" cy="1111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left="794"/>
        <w:spacing w:after="0"/>
        <w:rPr>
          <w:sz w:val="20"/>
          <w:szCs w:val="20"/>
          <w:color w:val="auto"/>
        </w:rPr>
      </w:pPr>
      <w:r>
        <w:rPr>
          <w:rFonts w:ascii="Arial" w:cs="Arial" w:eastAsia="Arial" w:hAnsi="Arial"/>
          <w:sz w:val="15"/>
          <w:szCs w:val="15"/>
          <w:b w:val="1"/>
          <w:bCs w:val="1"/>
          <w:color w:val="0067B3"/>
        </w:rPr>
        <w:t>NOMINATING AND CORPORATE GOVERNANCE COMMITTEE</w:t>
      </w:r>
    </w:p>
    <w:p>
      <w:pPr>
        <w:spacing w:after="0" w:line="100" w:lineRule="exact"/>
        <w:rPr>
          <w:sz w:val="20"/>
          <w:szCs w:val="20"/>
          <w:color w:val="auto"/>
        </w:rPr>
      </w:pPr>
    </w:p>
    <w:p>
      <w:pPr>
        <w:ind w:left="994" w:right="1339" w:hanging="203"/>
        <w:spacing w:after="0" w:line="281" w:lineRule="auto"/>
        <w:tabs>
          <w:tab w:leader="none" w:pos="939" w:val="left"/>
        </w:tabs>
        <w:numPr>
          <w:ilvl w:val="0"/>
          <w:numId w:val="45"/>
        </w:numPr>
        <w:rPr>
          <w:rFonts w:ascii="Arial" w:cs="Arial" w:eastAsia="Arial" w:hAnsi="Arial"/>
          <w:sz w:val="15"/>
          <w:szCs w:val="15"/>
          <w:color w:val="0067B3"/>
        </w:rPr>
      </w:pPr>
      <w:r>
        <w:rPr>
          <w:rFonts w:ascii="Arial" w:cs="Arial" w:eastAsia="Arial" w:hAnsi="Arial"/>
          <w:sz w:val="15"/>
          <w:szCs w:val="15"/>
          <w:color w:val="auto"/>
        </w:rPr>
        <w:t>Leads the Board of Directors with respect to the adequacy of ADI’s governance structure and process of succession planning for our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194310</wp:posOffset>
            </wp:positionH>
            <wp:positionV relativeFrom="paragraph">
              <wp:posOffset>-30480</wp:posOffset>
            </wp:positionV>
            <wp:extent cx="68580" cy="12001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clrChange>
                        <a:clrFrom>
                          <a:srgbClr val="000000"/>
                        </a:clrFrom>
                        <a:clrTo>
                          <a:srgbClr val="000000">
                            <a:alpha val="0"/>
                          </a:srgbClr>
                        </a:clrTo>
                      </a:clrChange>
                      <a:extLst>
                        <a:ext uri="{28A0092B-C50C-407E-A947-70E740481C1C}"/>
                      </a:extLst>
                    </a:blip>
                    <a:srcRect/>
                    <a:stretch>
                      <a:fillRect/>
                    </a:stretch>
                  </pic:blipFill>
                  <pic:spPr bwMode="auto">
                    <a:xfrm>
                      <a:off x="0" y="0"/>
                      <a:ext cx="68580" cy="120015"/>
                    </a:xfrm>
                    <a:prstGeom prst="rect">
                      <a:avLst/>
                    </a:prstGeom>
                    <a:noFill/>
                  </pic:spPr>
                </pic:pic>
              </a:graphicData>
            </a:graphic>
          </wp:anchor>
        </w:drawing>
        <w:drawing>
          <wp:anchor simplePos="0" relativeHeight="251657728" behindDoc="1" locked="0" layoutInCell="0" allowOverlap="1">
            <wp:simplePos x="0" y="0"/>
            <wp:positionH relativeFrom="column">
              <wp:posOffset>194310</wp:posOffset>
            </wp:positionH>
            <wp:positionV relativeFrom="paragraph">
              <wp:posOffset>-30480</wp:posOffset>
            </wp:positionV>
            <wp:extent cx="68580" cy="12001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clrChange>
                        <a:clrFrom>
                          <a:srgbClr val="FFFFFF"/>
                        </a:clrFrom>
                        <a:clrTo>
                          <a:srgbClr val="FFFFFF">
                            <a:alpha val="0"/>
                          </a:srgbClr>
                        </a:clrTo>
                      </a:clrChange>
                      <a:extLst>
                        <a:ext uri="{28A0092B-C50C-407E-A947-70E740481C1C}"/>
                      </a:extLst>
                    </a:blip>
                    <a:srcRect/>
                    <a:stretch>
                      <a:fillRect/>
                    </a:stretch>
                  </pic:blipFill>
                  <pic:spPr bwMode="auto">
                    <a:xfrm>
                      <a:off x="0" y="0"/>
                      <a:ext cx="68580" cy="120015"/>
                    </a:xfrm>
                    <a:prstGeom prst="rect">
                      <a:avLst/>
                    </a:prstGeom>
                    <a:noFill/>
                  </pic:spPr>
                </pic:pic>
              </a:graphicData>
            </a:graphic>
          </wp:anchor>
        </w:drawing>
        <w:drawing>
          <wp:anchor simplePos="0" relativeHeight="251657728" behindDoc="1" locked="0" layoutInCell="0" allowOverlap="1">
            <wp:simplePos x="0" y="0"/>
            <wp:positionH relativeFrom="column">
              <wp:posOffset>5869305</wp:posOffset>
            </wp:positionH>
            <wp:positionV relativeFrom="paragraph">
              <wp:posOffset>-21590</wp:posOffset>
            </wp:positionV>
            <wp:extent cx="68580" cy="11112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clrChange>
                        <a:clrFrom>
                          <a:srgbClr val="000000"/>
                        </a:clrFrom>
                        <a:clrTo>
                          <a:srgbClr val="000000">
                            <a:alpha val="0"/>
                          </a:srgbClr>
                        </a:clrTo>
                      </a:clrChange>
                      <a:extLst>
                        <a:ext uri="{28A0092B-C50C-407E-A947-70E740481C1C}"/>
                      </a:extLst>
                    </a:blip>
                    <a:srcRect/>
                    <a:stretch>
                      <a:fillRect/>
                    </a:stretch>
                  </pic:blipFill>
                  <pic:spPr bwMode="auto">
                    <a:xfrm>
                      <a:off x="0" y="0"/>
                      <a:ext cx="68580" cy="111125"/>
                    </a:xfrm>
                    <a:prstGeom prst="rect">
                      <a:avLst/>
                    </a:prstGeom>
                    <a:noFill/>
                  </pic:spPr>
                </pic:pic>
              </a:graphicData>
            </a:graphic>
          </wp:anchor>
        </w:drawing>
        <w:drawing>
          <wp:anchor simplePos="0" relativeHeight="251657728" behindDoc="1" locked="0" layoutInCell="0" allowOverlap="1">
            <wp:simplePos x="0" y="0"/>
            <wp:positionH relativeFrom="column">
              <wp:posOffset>5869305</wp:posOffset>
            </wp:positionH>
            <wp:positionV relativeFrom="paragraph">
              <wp:posOffset>-21590</wp:posOffset>
            </wp:positionV>
            <wp:extent cx="68580" cy="11112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clrChange>
                        <a:clrFrom>
                          <a:srgbClr val="FFFFFF"/>
                        </a:clrFrom>
                        <a:clrTo>
                          <a:srgbClr val="FFFFFF">
                            <a:alpha val="0"/>
                          </a:srgbClr>
                        </a:clrTo>
                      </a:clrChange>
                      <a:extLst>
                        <a:ext uri="{28A0092B-C50C-407E-A947-70E740481C1C}"/>
                      </a:extLst>
                    </a:blip>
                    <a:srcRect/>
                    <a:stretch>
                      <a:fillRect/>
                    </a:stretch>
                  </pic:blipFill>
                  <pic:spPr bwMode="auto">
                    <a:xfrm>
                      <a:off x="0" y="0"/>
                      <a:ext cx="68580" cy="111125"/>
                    </a:xfrm>
                    <a:prstGeom prst="rect">
                      <a:avLst/>
                    </a:prstGeom>
                    <a:noFill/>
                  </pic:spPr>
                </pic:pic>
              </a:graphicData>
            </a:graphic>
          </wp:anchor>
        </w:drawing>
      </w:r>
    </w:p>
    <w:p>
      <w:pPr>
        <w:ind w:left="994" w:right="1299" w:hanging="193"/>
        <w:spacing w:after="0" w:line="281" w:lineRule="auto"/>
        <w:rPr>
          <w:sz w:val="20"/>
          <w:szCs w:val="20"/>
          <w:color w:val="auto"/>
        </w:rPr>
      </w:pPr>
      <w:r>
        <w:rPr>
          <w:rFonts w:ascii="Arial" w:cs="Arial" w:eastAsia="Arial" w:hAnsi="Arial"/>
          <w:sz w:val="15"/>
          <w:szCs w:val="15"/>
          <w:color w:val="0067B3"/>
        </w:rPr>
        <w:t xml:space="preserve">u </w:t>
      </w:r>
      <w:r>
        <w:rPr>
          <w:rFonts w:ascii="Arial" w:cs="Arial" w:eastAsia="Arial" w:hAnsi="Arial"/>
          <w:sz w:val="15"/>
          <w:szCs w:val="15"/>
          <w:color w:val="000000"/>
        </w:rPr>
        <w:t>Oversees ADI’s ESG programs, practices, and reporting, including reviewing ADI’s sustainability initiatives and goals</w:t>
      </w:r>
      <w:r>
        <w:rPr>
          <w:rFonts w:ascii="Arial" w:cs="Arial" w:eastAsia="Arial" w:hAnsi="Arial"/>
          <w:sz w:val="15"/>
          <w:szCs w:val="15"/>
          <w:color w:val="0067B3"/>
        </w:rPr>
        <w:t xml:space="preserve"> </w:t>
      </w:r>
      <w:r>
        <w:rPr>
          <w:rFonts w:ascii="Arial" w:cs="Arial" w:eastAsia="Arial" w:hAnsi="Arial"/>
          <w:sz w:val="15"/>
          <w:szCs w:val="15"/>
          <w:color w:val="000000"/>
        </w:rPr>
        <w:t>as well as our progress toward achieving those goals.</w:t>
      </w:r>
    </w:p>
    <w:p>
      <w:pPr>
        <w:spacing w:after="0" w:line="1" w:lineRule="exact"/>
        <w:rPr>
          <w:sz w:val="20"/>
          <w:szCs w:val="20"/>
          <w:color w:val="auto"/>
        </w:rPr>
      </w:pPr>
    </w:p>
    <w:p>
      <w:pPr>
        <w:ind w:left="994" w:right="1259" w:hanging="203"/>
        <w:spacing w:after="0" w:line="301" w:lineRule="auto"/>
        <w:tabs>
          <w:tab w:leader="none" w:pos="939" w:val="left"/>
        </w:tabs>
        <w:numPr>
          <w:ilvl w:val="0"/>
          <w:numId w:val="46"/>
        </w:numPr>
        <w:rPr>
          <w:rFonts w:ascii="Arial" w:cs="Arial" w:eastAsia="Arial" w:hAnsi="Arial"/>
          <w:sz w:val="15"/>
          <w:szCs w:val="15"/>
          <w:color w:val="0067B3"/>
        </w:rPr>
      </w:pPr>
      <w:r>
        <w:rPr>
          <w:rFonts w:ascii="Arial" w:cs="Arial" w:eastAsia="Arial" w:hAnsi="Arial"/>
          <w:sz w:val="15"/>
          <w:szCs w:val="15"/>
          <w:color w:val="auto"/>
        </w:rPr>
        <w:t>Oversees and periodically reviews policies and practices in connection with governmental relations, public policy, and related expenditures.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400050</wp:posOffset>
            </wp:positionH>
            <wp:positionV relativeFrom="paragraph">
              <wp:posOffset>199390</wp:posOffset>
            </wp:positionV>
            <wp:extent cx="5340350" cy="66865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5340350" cy="668655"/>
                    </a:xfrm>
                    <a:prstGeom prst="rect">
                      <a:avLst/>
                    </a:prstGeom>
                    <a:noFill/>
                  </pic:spPr>
                </pic:pic>
              </a:graphicData>
            </a:graphic>
          </wp:anchor>
        </w:drawing>
      </w:r>
    </w:p>
    <w:p>
      <w:pPr>
        <w:spacing w:after="0" w:line="200" w:lineRule="exact"/>
        <w:rPr>
          <w:sz w:val="20"/>
          <w:szCs w:val="20"/>
          <w:color w:val="auto"/>
        </w:rPr>
      </w:pPr>
    </w:p>
    <w:p>
      <w:pPr>
        <w:spacing w:after="0" w:line="344" w:lineRule="exact"/>
        <w:rPr>
          <w:sz w:val="20"/>
          <w:szCs w:val="20"/>
          <w:color w:val="auto"/>
        </w:rPr>
      </w:pPr>
    </w:p>
    <w:p>
      <w:pPr>
        <w:ind w:left="794"/>
        <w:spacing w:after="0"/>
        <w:rPr>
          <w:sz w:val="20"/>
          <w:szCs w:val="20"/>
          <w:color w:val="auto"/>
        </w:rPr>
      </w:pPr>
      <w:r>
        <w:rPr>
          <w:rFonts w:ascii="Arial" w:cs="Arial" w:eastAsia="Arial" w:hAnsi="Arial"/>
          <w:sz w:val="15"/>
          <w:szCs w:val="15"/>
          <w:b w:val="1"/>
          <w:bCs w:val="1"/>
          <w:color w:val="0067B3"/>
        </w:rPr>
        <w:t>CORPORATE DEVELOPMENT 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194310</wp:posOffset>
            </wp:positionH>
            <wp:positionV relativeFrom="paragraph">
              <wp:posOffset>-10795</wp:posOffset>
            </wp:positionV>
            <wp:extent cx="68580" cy="12001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clrChange>
                        <a:clrFrom>
                          <a:srgbClr val="000000"/>
                        </a:clrFrom>
                        <a:clrTo>
                          <a:srgbClr val="000000">
                            <a:alpha val="0"/>
                          </a:srgbClr>
                        </a:clrTo>
                      </a:clrChange>
                      <a:extLst>
                        <a:ext uri="{28A0092B-C50C-407E-A947-70E740481C1C}"/>
                      </a:extLst>
                    </a:blip>
                    <a:srcRect/>
                    <a:stretch>
                      <a:fillRect/>
                    </a:stretch>
                  </pic:blipFill>
                  <pic:spPr bwMode="auto">
                    <a:xfrm>
                      <a:off x="0" y="0"/>
                      <a:ext cx="68580" cy="120015"/>
                    </a:xfrm>
                    <a:prstGeom prst="rect">
                      <a:avLst/>
                    </a:prstGeom>
                    <a:noFill/>
                  </pic:spPr>
                </pic:pic>
              </a:graphicData>
            </a:graphic>
          </wp:anchor>
        </w:drawing>
        <w:drawing>
          <wp:anchor simplePos="0" relativeHeight="251657728" behindDoc="1" locked="0" layoutInCell="0" allowOverlap="1">
            <wp:simplePos x="0" y="0"/>
            <wp:positionH relativeFrom="column">
              <wp:posOffset>194310</wp:posOffset>
            </wp:positionH>
            <wp:positionV relativeFrom="paragraph">
              <wp:posOffset>-10795</wp:posOffset>
            </wp:positionV>
            <wp:extent cx="68580" cy="12001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clrChange>
                        <a:clrFrom>
                          <a:srgbClr val="FFFFFF"/>
                        </a:clrFrom>
                        <a:clrTo>
                          <a:srgbClr val="FFFFFF">
                            <a:alpha val="0"/>
                          </a:srgbClr>
                        </a:clrTo>
                      </a:clrChange>
                      <a:extLst>
                        <a:ext uri="{28A0092B-C50C-407E-A947-70E740481C1C}"/>
                      </a:extLst>
                    </a:blip>
                    <a:srcRect/>
                    <a:stretch>
                      <a:fillRect/>
                    </a:stretch>
                  </pic:blipFill>
                  <pic:spPr bwMode="auto">
                    <a:xfrm>
                      <a:off x="0" y="0"/>
                      <a:ext cx="68580" cy="120015"/>
                    </a:xfrm>
                    <a:prstGeom prst="rect">
                      <a:avLst/>
                    </a:prstGeom>
                    <a:noFill/>
                  </pic:spPr>
                </pic:pic>
              </a:graphicData>
            </a:graphic>
          </wp:anchor>
        </w:drawing>
        <w:drawing>
          <wp:anchor simplePos="0" relativeHeight="251657728" behindDoc="1" locked="0" layoutInCell="0" allowOverlap="1">
            <wp:simplePos x="0" y="0"/>
            <wp:positionH relativeFrom="column">
              <wp:posOffset>5869305</wp:posOffset>
            </wp:positionH>
            <wp:positionV relativeFrom="paragraph">
              <wp:posOffset>-2540</wp:posOffset>
            </wp:positionV>
            <wp:extent cx="68580" cy="11112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clrChange>
                        <a:clrFrom>
                          <a:srgbClr val="000000"/>
                        </a:clrFrom>
                        <a:clrTo>
                          <a:srgbClr val="000000">
                            <a:alpha val="0"/>
                          </a:srgbClr>
                        </a:clrTo>
                      </a:clrChange>
                      <a:extLst>
                        <a:ext uri="{28A0092B-C50C-407E-A947-70E740481C1C}"/>
                      </a:extLst>
                    </a:blip>
                    <a:srcRect/>
                    <a:stretch>
                      <a:fillRect/>
                    </a:stretch>
                  </pic:blipFill>
                  <pic:spPr bwMode="auto">
                    <a:xfrm>
                      <a:off x="0" y="0"/>
                      <a:ext cx="68580" cy="111125"/>
                    </a:xfrm>
                    <a:prstGeom prst="rect">
                      <a:avLst/>
                    </a:prstGeom>
                    <a:noFill/>
                  </pic:spPr>
                </pic:pic>
              </a:graphicData>
            </a:graphic>
          </wp:anchor>
        </w:drawing>
        <w:drawing>
          <wp:anchor simplePos="0" relativeHeight="251657728" behindDoc="1" locked="0" layoutInCell="0" allowOverlap="1">
            <wp:simplePos x="0" y="0"/>
            <wp:positionH relativeFrom="column">
              <wp:posOffset>5869305</wp:posOffset>
            </wp:positionH>
            <wp:positionV relativeFrom="paragraph">
              <wp:posOffset>-2540</wp:posOffset>
            </wp:positionV>
            <wp:extent cx="68580" cy="11112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clrChange>
                        <a:clrFrom>
                          <a:srgbClr val="FFFFFF"/>
                        </a:clrFrom>
                        <a:clrTo>
                          <a:srgbClr val="FFFFFF">
                            <a:alpha val="0"/>
                          </a:srgbClr>
                        </a:clrTo>
                      </a:clrChange>
                      <a:extLst>
                        <a:ext uri="{28A0092B-C50C-407E-A947-70E740481C1C}"/>
                      </a:extLst>
                    </a:blip>
                    <a:srcRect/>
                    <a:stretch>
                      <a:fillRect/>
                    </a:stretch>
                  </pic:blipFill>
                  <pic:spPr bwMode="auto">
                    <a:xfrm>
                      <a:off x="0" y="0"/>
                      <a:ext cx="68580" cy="111125"/>
                    </a:xfrm>
                    <a:prstGeom prst="rect">
                      <a:avLst/>
                    </a:prstGeom>
                    <a:noFill/>
                  </pic:spPr>
                </pic:pic>
              </a:graphicData>
            </a:graphic>
          </wp:anchor>
        </w:drawing>
      </w:r>
    </w:p>
    <w:p>
      <w:pPr>
        <w:spacing w:after="0" w:line="80" w:lineRule="exact"/>
        <w:rPr>
          <w:sz w:val="20"/>
          <w:szCs w:val="20"/>
          <w:color w:val="auto"/>
        </w:rPr>
      </w:pPr>
    </w:p>
    <w:p>
      <w:pPr>
        <w:ind w:left="934" w:hanging="143"/>
        <w:spacing w:after="0"/>
        <w:tabs>
          <w:tab w:leader="none" w:pos="934" w:val="left"/>
        </w:tabs>
        <w:numPr>
          <w:ilvl w:val="0"/>
          <w:numId w:val="47"/>
        </w:numPr>
        <w:rPr>
          <w:rFonts w:ascii="Arial" w:cs="Arial" w:eastAsia="Arial" w:hAnsi="Arial"/>
          <w:sz w:val="15"/>
          <w:szCs w:val="15"/>
          <w:color w:val="0067B3"/>
        </w:rPr>
      </w:pPr>
      <w:r>
        <w:rPr>
          <w:rFonts w:ascii="Arial" w:cs="Arial" w:eastAsia="Arial" w:hAnsi="Arial"/>
          <w:sz w:val="15"/>
          <w:szCs w:val="15"/>
          <w:color w:val="auto"/>
        </w:rPr>
        <w:t>Evaluates significant strategic plans, transactions, and investments, including mergers, acquisitions, and divestitures.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400050</wp:posOffset>
            </wp:positionH>
            <wp:positionV relativeFrom="paragraph">
              <wp:posOffset>278765</wp:posOffset>
            </wp:positionV>
            <wp:extent cx="5332095" cy="140589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5332095" cy="1405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774"/>
        <w:spacing w:after="0"/>
        <w:rPr>
          <w:sz w:val="20"/>
          <w:szCs w:val="20"/>
          <w:color w:val="auto"/>
        </w:rPr>
      </w:pPr>
      <w:r>
        <w:rPr>
          <w:rFonts w:ascii="Arial" w:cs="Arial" w:eastAsia="Arial" w:hAnsi="Arial"/>
          <w:sz w:val="15"/>
          <w:szCs w:val="15"/>
          <w:b w:val="1"/>
          <w:bCs w:val="1"/>
          <w:color w:val="0067B3"/>
        </w:rPr>
        <w:t>LEADERSHIP TEAM AND MANAGEMENT</w:t>
      </w:r>
    </w:p>
    <w:p>
      <w:pPr>
        <w:spacing w:after="0" w:line="100" w:lineRule="exact"/>
        <w:rPr>
          <w:sz w:val="20"/>
          <w:szCs w:val="20"/>
          <w:color w:val="auto"/>
        </w:rPr>
      </w:pPr>
    </w:p>
    <w:p>
      <w:pPr>
        <w:jc w:val="both"/>
        <w:ind w:left="974" w:right="1239" w:hanging="196"/>
        <w:spacing w:after="0" w:line="275" w:lineRule="auto"/>
        <w:tabs>
          <w:tab w:leader="none" w:pos="919" w:val="left"/>
        </w:tabs>
        <w:numPr>
          <w:ilvl w:val="0"/>
          <w:numId w:val="48"/>
        </w:numPr>
        <w:rPr>
          <w:rFonts w:ascii="Arial" w:cs="Arial" w:eastAsia="Arial" w:hAnsi="Arial"/>
          <w:sz w:val="15"/>
          <w:szCs w:val="15"/>
          <w:color w:val="0067B3"/>
        </w:rPr>
      </w:pPr>
      <w:r>
        <w:rPr>
          <w:rFonts w:ascii="Arial" w:cs="Arial" w:eastAsia="Arial" w:hAnsi="Arial"/>
          <w:sz w:val="15"/>
          <w:szCs w:val="15"/>
          <w:color w:val="auto"/>
        </w:rPr>
        <w:t>Our Leadership Team and our CEO and Chair have ownership for risk management, and risk governance is managed by our Enterprise Risk Management Committee, a management-led, cross-functional committee, which is chaired by our Chief Risk Officer.</w:t>
      </w:r>
    </w:p>
    <w:p>
      <w:pPr>
        <w:spacing w:after="0" w:line="1" w:lineRule="exact"/>
        <w:rPr>
          <w:rFonts w:ascii="Arial" w:cs="Arial" w:eastAsia="Arial" w:hAnsi="Arial"/>
          <w:sz w:val="15"/>
          <w:szCs w:val="15"/>
          <w:color w:val="0067B3"/>
        </w:rPr>
      </w:pPr>
    </w:p>
    <w:p>
      <w:pPr>
        <w:ind w:left="974" w:right="1339" w:hanging="196"/>
        <w:spacing w:after="0" w:line="281" w:lineRule="auto"/>
        <w:tabs>
          <w:tab w:leader="none" w:pos="919" w:val="left"/>
        </w:tabs>
        <w:numPr>
          <w:ilvl w:val="0"/>
          <w:numId w:val="48"/>
        </w:numPr>
        <w:rPr>
          <w:rFonts w:ascii="Arial" w:cs="Arial" w:eastAsia="Arial" w:hAnsi="Arial"/>
          <w:sz w:val="15"/>
          <w:szCs w:val="15"/>
          <w:color w:val="0067B3"/>
        </w:rPr>
      </w:pPr>
      <w:r>
        <w:rPr>
          <w:rFonts w:ascii="Arial" w:cs="Arial" w:eastAsia="Arial" w:hAnsi="Arial"/>
          <w:sz w:val="15"/>
          <w:szCs w:val="15"/>
          <w:color w:val="auto"/>
        </w:rPr>
        <w:t>Our Enterprise Risk Management Committee works closely with our Leadership Team, including our CEO and Chair, to identify and mitigate identified risks.</w:t>
      </w:r>
    </w:p>
    <w:p>
      <w:pPr>
        <w:spacing w:after="0" w:line="1" w:lineRule="exact"/>
        <w:rPr>
          <w:rFonts w:ascii="Arial" w:cs="Arial" w:eastAsia="Arial" w:hAnsi="Arial"/>
          <w:sz w:val="15"/>
          <w:szCs w:val="15"/>
          <w:color w:val="0067B3"/>
        </w:rPr>
      </w:pPr>
    </w:p>
    <w:p>
      <w:pPr>
        <w:ind w:left="974" w:right="1719" w:hanging="196"/>
        <w:spacing w:after="0" w:line="283" w:lineRule="auto"/>
        <w:tabs>
          <w:tab w:leader="none" w:pos="919" w:val="left"/>
        </w:tabs>
        <w:numPr>
          <w:ilvl w:val="0"/>
          <w:numId w:val="48"/>
        </w:numPr>
        <w:rPr>
          <w:rFonts w:ascii="Arial" w:cs="Arial" w:eastAsia="Arial" w:hAnsi="Arial"/>
          <w:sz w:val="15"/>
          <w:szCs w:val="15"/>
          <w:color w:val="0067B3"/>
        </w:rPr>
      </w:pPr>
      <w:r>
        <w:rPr>
          <w:rFonts w:ascii="Arial" w:cs="Arial" w:eastAsia="Arial" w:hAnsi="Arial"/>
          <w:sz w:val="15"/>
          <w:szCs w:val="15"/>
          <w:color w:val="auto"/>
        </w:rPr>
        <w:t>Our Chief Risk Officer, and other members of management, report to the Board of Directors (or the appropriate committee as applicable) regarding risk identification, management, and mitigation strategies.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194310</wp:posOffset>
            </wp:positionH>
            <wp:positionV relativeFrom="paragraph">
              <wp:posOffset>-589280</wp:posOffset>
            </wp:positionV>
            <wp:extent cx="68580" cy="12001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clrChange>
                        <a:clrFrom>
                          <a:srgbClr val="000000"/>
                        </a:clrFrom>
                        <a:clrTo>
                          <a:srgbClr val="000000">
                            <a:alpha val="0"/>
                          </a:srgbClr>
                        </a:clrTo>
                      </a:clrChange>
                      <a:extLst>
                        <a:ext uri="{28A0092B-C50C-407E-A947-70E740481C1C}"/>
                      </a:extLst>
                    </a:blip>
                    <a:srcRect/>
                    <a:stretch>
                      <a:fillRect/>
                    </a:stretch>
                  </pic:blipFill>
                  <pic:spPr bwMode="auto">
                    <a:xfrm>
                      <a:off x="0" y="0"/>
                      <a:ext cx="68580" cy="120015"/>
                    </a:xfrm>
                    <a:prstGeom prst="rect">
                      <a:avLst/>
                    </a:prstGeom>
                    <a:noFill/>
                  </pic:spPr>
                </pic:pic>
              </a:graphicData>
            </a:graphic>
          </wp:anchor>
        </w:drawing>
        <w:drawing>
          <wp:anchor simplePos="0" relativeHeight="251657728" behindDoc="1" locked="0" layoutInCell="0" allowOverlap="1">
            <wp:simplePos x="0" y="0"/>
            <wp:positionH relativeFrom="column">
              <wp:posOffset>194310</wp:posOffset>
            </wp:positionH>
            <wp:positionV relativeFrom="paragraph">
              <wp:posOffset>-589280</wp:posOffset>
            </wp:positionV>
            <wp:extent cx="68580" cy="12001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clrChange>
                        <a:clrFrom>
                          <a:srgbClr val="FFFFFF"/>
                        </a:clrFrom>
                        <a:clrTo>
                          <a:srgbClr val="FFFFFF">
                            <a:alpha val="0"/>
                          </a:srgbClr>
                        </a:clrTo>
                      </a:clrChange>
                      <a:extLst>
                        <a:ext uri="{28A0092B-C50C-407E-A947-70E740481C1C}"/>
                      </a:extLst>
                    </a:blip>
                    <a:srcRect/>
                    <a:stretch>
                      <a:fillRect/>
                    </a:stretch>
                  </pic:blipFill>
                  <pic:spPr bwMode="auto">
                    <a:xfrm>
                      <a:off x="0" y="0"/>
                      <a:ext cx="68580" cy="120015"/>
                    </a:xfrm>
                    <a:prstGeom prst="rect">
                      <a:avLst/>
                    </a:prstGeom>
                    <a:noFill/>
                  </pic:spPr>
                </pic:pic>
              </a:graphicData>
            </a:graphic>
          </wp:anchor>
        </w:drawing>
        <w:drawing>
          <wp:anchor simplePos="0" relativeHeight="251657728" behindDoc="1" locked="0" layoutInCell="0" allowOverlap="1">
            <wp:simplePos x="0" y="0"/>
            <wp:positionH relativeFrom="column">
              <wp:posOffset>5869305</wp:posOffset>
            </wp:positionH>
            <wp:positionV relativeFrom="paragraph">
              <wp:posOffset>-589280</wp:posOffset>
            </wp:positionV>
            <wp:extent cx="68580" cy="11112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clrChange>
                        <a:clrFrom>
                          <a:srgbClr val="000000"/>
                        </a:clrFrom>
                        <a:clrTo>
                          <a:srgbClr val="000000">
                            <a:alpha val="0"/>
                          </a:srgbClr>
                        </a:clrTo>
                      </a:clrChange>
                      <a:extLst>
                        <a:ext uri="{28A0092B-C50C-407E-A947-70E740481C1C}"/>
                      </a:extLst>
                    </a:blip>
                    <a:srcRect/>
                    <a:stretch>
                      <a:fillRect/>
                    </a:stretch>
                  </pic:blipFill>
                  <pic:spPr bwMode="auto">
                    <a:xfrm>
                      <a:off x="0" y="0"/>
                      <a:ext cx="68580" cy="111125"/>
                    </a:xfrm>
                    <a:prstGeom prst="rect">
                      <a:avLst/>
                    </a:prstGeom>
                    <a:noFill/>
                  </pic:spPr>
                </pic:pic>
              </a:graphicData>
            </a:graphic>
          </wp:anchor>
        </w:drawing>
        <w:drawing>
          <wp:anchor simplePos="0" relativeHeight="251657728" behindDoc="1" locked="0" layoutInCell="0" allowOverlap="1">
            <wp:simplePos x="0" y="0"/>
            <wp:positionH relativeFrom="column">
              <wp:posOffset>5869305</wp:posOffset>
            </wp:positionH>
            <wp:positionV relativeFrom="paragraph">
              <wp:posOffset>-589280</wp:posOffset>
            </wp:positionV>
            <wp:extent cx="68580" cy="11112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clrChange>
                        <a:clrFrom>
                          <a:srgbClr val="FFFFFF"/>
                        </a:clrFrom>
                        <a:clrTo>
                          <a:srgbClr val="FFFFFF">
                            <a:alpha val="0"/>
                          </a:srgbClr>
                        </a:clrTo>
                      </a:clrChange>
                      <a:extLst>
                        <a:ext uri="{28A0092B-C50C-407E-A947-70E740481C1C}"/>
                      </a:extLst>
                    </a:blip>
                    <a:srcRect/>
                    <a:stretch>
                      <a:fillRect/>
                    </a:stretch>
                  </pic:blipFill>
                  <pic:spPr bwMode="auto">
                    <a:xfrm>
                      <a:off x="0" y="0"/>
                      <a:ext cx="68580" cy="1111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ind w:left="614" w:hanging="614"/>
        <w:spacing w:after="0"/>
        <w:tabs>
          <w:tab w:leader="none" w:pos="614" w:val="left"/>
        </w:tabs>
        <w:numPr>
          <w:ilvl w:val="0"/>
          <w:numId w:val="49"/>
        </w:numPr>
        <w:rPr>
          <w:rFonts w:ascii="Arial" w:cs="Arial" w:eastAsia="Arial" w:hAnsi="Arial"/>
          <w:sz w:val="20"/>
          <w:szCs w:val="20"/>
          <w:b w:val="1"/>
          <w:bCs w:val="1"/>
          <w:color w:val="auto"/>
        </w:rPr>
      </w:pPr>
      <w:r>
        <w:rPr>
          <w:rFonts w:ascii="Arial" w:cs="Arial" w:eastAsia="Arial" w:hAnsi="Arial"/>
          <w:sz w:val="16"/>
          <w:szCs w:val="16"/>
          <w:color w:val="6D6E71"/>
        </w:rPr>
        <w:t>Corporate Governance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-23495</wp:posOffset>
            </wp:positionH>
            <wp:positionV relativeFrom="paragraph">
              <wp:posOffset>194310</wp:posOffset>
            </wp:positionV>
            <wp:extent cx="7157720" cy="4254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13"/>
          </w:cols>
          <w:pgMar w:left="346" w:top="417" w:right="1440" w:bottom="1440" w:gutter="0" w:footer="0" w:header="0"/>
        </w:sectPr>
      </w:pPr>
    </w:p>
    <w:bookmarkStart w:id="36" w:name="page37"/>
    <w:bookmarkEnd w:id="36"/>
    <w:p>
      <w:pPr>
        <w:spacing w:after="0"/>
        <w:rPr>
          <w:sz w:val="20"/>
          <w:szCs w:val="20"/>
          <w:color w:val="auto"/>
        </w:rPr>
      </w:pPr>
      <w:r>
        <w:rPr>
          <w:rFonts w:ascii="Arial" w:cs="Arial" w:eastAsia="Arial" w:hAnsi="Arial"/>
          <w:sz w:val="18"/>
          <w:szCs w:val="18"/>
          <w:b w:val="1"/>
          <w:bCs w:val="1"/>
          <w:color w:val="auto"/>
        </w:rPr>
        <w:t>Enterprise Risk Management Program</w:t>
      </w:r>
    </w:p>
    <w:p>
      <w:pPr>
        <w:spacing w:after="0" w:line="117" w:lineRule="exact"/>
        <w:rPr>
          <w:sz w:val="20"/>
          <w:szCs w:val="20"/>
          <w:color w:val="auto"/>
        </w:rPr>
      </w:pPr>
    </w:p>
    <w:p>
      <w:pPr>
        <w:ind w:right="280"/>
        <w:spacing w:after="0" w:line="262" w:lineRule="auto"/>
        <w:rPr>
          <w:sz w:val="20"/>
          <w:szCs w:val="20"/>
          <w:color w:val="auto"/>
        </w:rPr>
      </w:pPr>
      <w:r>
        <w:rPr>
          <w:rFonts w:ascii="Arial" w:cs="Arial" w:eastAsia="Arial" w:hAnsi="Arial"/>
          <w:sz w:val="18"/>
          <w:szCs w:val="18"/>
          <w:color w:val="auto"/>
        </w:rPr>
        <w:t>Our Enterprise Risk Management Program defines how we identify, manage, and govern risk throughout our organization to promote the achievement of our financial and operational goals in a compliant manner. It assigns accountability for risk management to every business unit, based on the risks they encounter as part of their day-to-day operations. Our CEO and Chair and Leadership Team have ultimate responsibility for our Enterprise Risk Management Program and output.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433705</wp:posOffset>
            </wp:positionH>
            <wp:positionV relativeFrom="paragraph">
              <wp:posOffset>140970</wp:posOffset>
            </wp:positionV>
            <wp:extent cx="6206490" cy="25717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6206490" cy="2571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332"/>
        </w:trPr>
        <w:tc>
          <w:tcPr>
            <w:tcW w:w="1540" w:type="dxa"/>
            <w:vAlign w:val="bottom"/>
            <w:tcBorders>
              <w:top w:val="single" w:sz="8" w:color="CAD3EC"/>
            </w:tcBorders>
            <w:shd w:val="clear" w:color="auto" w:fill="CAD3EC"/>
          </w:tcPr>
          <w:p>
            <w:pPr>
              <w:spacing w:after="0"/>
              <w:rPr>
                <w:sz w:val="24"/>
                <w:szCs w:val="24"/>
                <w:color w:val="auto"/>
              </w:rPr>
            </w:pPr>
          </w:p>
        </w:tc>
        <w:tc>
          <w:tcPr>
            <w:tcW w:w="220" w:type="dxa"/>
            <w:vAlign w:val="bottom"/>
            <w:tcBorders>
              <w:right w:val="single" w:sz="8" w:color="0067B3"/>
            </w:tcBorders>
          </w:tcPr>
          <w:p>
            <w:pPr>
              <w:spacing w:after="0"/>
              <w:rPr>
                <w:sz w:val="24"/>
                <w:szCs w:val="24"/>
                <w:color w:val="auto"/>
              </w:rPr>
            </w:pPr>
          </w:p>
        </w:tc>
        <w:tc>
          <w:tcPr>
            <w:tcW w:w="1660" w:type="dxa"/>
            <w:vAlign w:val="bottom"/>
            <w:tcBorders>
              <w:top w:val="single" w:sz="8" w:color="0067B3"/>
              <w:right w:val="single" w:sz="8" w:color="0067B3"/>
            </w:tcBorders>
          </w:tcPr>
          <w:p>
            <w:pPr>
              <w:spacing w:after="0"/>
              <w:rPr>
                <w:sz w:val="24"/>
                <w:szCs w:val="24"/>
                <w:color w:val="auto"/>
              </w:rPr>
            </w:pPr>
          </w:p>
        </w:tc>
        <w:tc>
          <w:tcPr>
            <w:tcW w:w="220" w:type="dxa"/>
            <w:vAlign w:val="bottom"/>
            <w:tcBorders>
              <w:right w:val="single" w:sz="8" w:color="0067B3"/>
            </w:tcBorders>
          </w:tcPr>
          <w:p>
            <w:pPr>
              <w:spacing w:after="0"/>
              <w:rPr>
                <w:sz w:val="24"/>
                <w:szCs w:val="24"/>
                <w:color w:val="auto"/>
              </w:rPr>
            </w:pPr>
          </w:p>
        </w:tc>
        <w:tc>
          <w:tcPr>
            <w:tcW w:w="1820" w:type="dxa"/>
            <w:vAlign w:val="bottom"/>
            <w:tcBorders>
              <w:top w:val="single" w:sz="8" w:color="0067B3"/>
              <w:right w:val="single" w:sz="8" w:color="0067B3"/>
            </w:tcBorders>
          </w:tcPr>
          <w:p>
            <w:pPr>
              <w:spacing w:after="0"/>
              <w:rPr>
                <w:sz w:val="24"/>
                <w:szCs w:val="24"/>
                <w:color w:val="auto"/>
              </w:rPr>
            </w:pPr>
          </w:p>
        </w:tc>
        <w:tc>
          <w:tcPr>
            <w:tcW w:w="220" w:type="dxa"/>
            <w:vAlign w:val="bottom"/>
            <w:tcBorders>
              <w:right w:val="single" w:sz="8" w:color="0067B3"/>
            </w:tcBorders>
          </w:tcPr>
          <w:p>
            <w:pPr>
              <w:spacing w:after="0"/>
              <w:rPr>
                <w:sz w:val="24"/>
                <w:szCs w:val="24"/>
                <w:color w:val="auto"/>
              </w:rPr>
            </w:pPr>
          </w:p>
        </w:tc>
        <w:tc>
          <w:tcPr>
            <w:tcW w:w="1700" w:type="dxa"/>
            <w:vAlign w:val="bottom"/>
            <w:tcBorders>
              <w:top w:val="single" w:sz="8" w:color="0067B3"/>
              <w:right w:val="single" w:sz="8" w:color="0067B3"/>
            </w:tcBorders>
          </w:tcPr>
          <w:p>
            <w:pPr>
              <w:spacing w:after="0"/>
              <w:rPr>
                <w:sz w:val="24"/>
                <w:szCs w:val="24"/>
                <w:color w:val="auto"/>
              </w:rPr>
            </w:pPr>
          </w:p>
        </w:tc>
        <w:tc>
          <w:tcPr>
            <w:tcW w:w="220" w:type="dxa"/>
            <w:vAlign w:val="bottom"/>
            <w:tcBorders>
              <w:right w:val="single" w:sz="8" w:color="0067B3"/>
            </w:tcBorders>
          </w:tcPr>
          <w:p>
            <w:pPr>
              <w:spacing w:after="0"/>
              <w:rPr>
                <w:sz w:val="24"/>
                <w:szCs w:val="24"/>
                <w:color w:val="auto"/>
              </w:rPr>
            </w:pPr>
          </w:p>
        </w:tc>
        <w:tc>
          <w:tcPr>
            <w:tcW w:w="1680" w:type="dxa"/>
            <w:vAlign w:val="bottom"/>
            <w:tcBorders>
              <w:top w:val="single" w:sz="8" w:color="0067B3"/>
              <w:right w:val="single" w:sz="8" w:color="0067B3"/>
            </w:tcBorders>
          </w:tcPr>
          <w:p>
            <w:pPr>
              <w:spacing w:after="0"/>
              <w:rPr>
                <w:sz w:val="24"/>
                <w:szCs w:val="24"/>
                <w:color w:val="auto"/>
              </w:rPr>
            </w:pPr>
          </w:p>
        </w:tc>
        <w:tc>
          <w:tcPr>
            <w:tcW w:w="200" w:type="dxa"/>
            <w:vAlign w:val="bottom"/>
          </w:tcPr>
          <w:p>
            <w:pPr>
              <w:spacing w:after="0"/>
              <w:rPr>
                <w:sz w:val="24"/>
                <w:szCs w:val="24"/>
                <w:color w:val="auto"/>
              </w:rPr>
            </w:pPr>
          </w:p>
        </w:tc>
        <w:tc>
          <w:tcPr>
            <w:tcW w:w="1760" w:type="dxa"/>
            <w:vAlign w:val="bottom"/>
            <w:tcBorders>
              <w:top w:val="single" w:sz="8" w:color="E6E7E8"/>
            </w:tcBorders>
            <w:shd w:val="clear" w:color="auto" w:fill="E6E7E8"/>
          </w:tcPr>
          <w:p>
            <w:pPr>
              <w:jc w:val="center"/>
              <w:spacing w:after="0"/>
              <w:rPr>
                <w:sz w:val="20"/>
                <w:szCs w:val="20"/>
                <w:color w:val="auto"/>
              </w:rPr>
            </w:pPr>
            <w:r>
              <w:rPr>
                <w:rFonts w:ascii="Arial" w:cs="Arial" w:eastAsia="Arial" w:hAnsi="Arial"/>
                <w:sz w:val="18"/>
                <w:szCs w:val="18"/>
                <w:b w:val="1"/>
                <w:bCs w:val="1"/>
                <w:color w:val="0067B3"/>
              </w:rPr>
              <w:t>ENTERPRISE</w:t>
            </w:r>
          </w:p>
        </w:tc>
        <w:tc>
          <w:tcPr>
            <w:tcW w:w="0" w:type="dxa"/>
            <w:vAlign w:val="bottom"/>
          </w:tcPr>
          <w:p>
            <w:pPr>
              <w:spacing w:after="0"/>
              <w:rPr>
                <w:sz w:val="1"/>
                <w:szCs w:val="1"/>
                <w:color w:val="auto"/>
              </w:rPr>
            </w:pPr>
          </w:p>
        </w:tc>
      </w:tr>
      <w:tr>
        <w:trPr>
          <w:trHeight w:val="235"/>
        </w:trPr>
        <w:tc>
          <w:tcPr>
            <w:tcW w:w="1540" w:type="dxa"/>
            <w:vAlign w:val="bottom"/>
            <w:shd w:val="clear" w:color="auto" w:fill="CAD3EC"/>
          </w:tcPr>
          <w:p>
            <w:pPr>
              <w:spacing w:after="0"/>
              <w:rPr>
                <w:sz w:val="20"/>
                <w:szCs w:val="20"/>
                <w:color w:val="auto"/>
              </w:rPr>
            </w:pPr>
          </w:p>
        </w:tc>
        <w:tc>
          <w:tcPr>
            <w:tcW w:w="220" w:type="dxa"/>
            <w:vAlign w:val="bottom"/>
            <w:tcBorders>
              <w:right w:val="single" w:sz="8" w:color="0067B3"/>
            </w:tcBorders>
          </w:tcPr>
          <w:p>
            <w:pPr>
              <w:spacing w:after="0"/>
              <w:rPr>
                <w:sz w:val="20"/>
                <w:szCs w:val="20"/>
                <w:color w:val="auto"/>
              </w:rPr>
            </w:pPr>
          </w:p>
        </w:tc>
        <w:tc>
          <w:tcPr>
            <w:tcW w:w="1660" w:type="dxa"/>
            <w:vAlign w:val="bottom"/>
            <w:tcBorders>
              <w:right w:val="single" w:sz="8" w:color="0067B3"/>
            </w:tcBorders>
          </w:tcPr>
          <w:p>
            <w:pPr>
              <w:spacing w:after="0"/>
              <w:rPr>
                <w:sz w:val="20"/>
                <w:szCs w:val="20"/>
                <w:color w:val="auto"/>
              </w:rPr>
            </w:pPr>
          </w:p>
        </w:tc>
        <w:tc>
          <w:tcPr>
            <w:tcW w:w="220" w:type="dxa"/>
            <w:vAlign w:val="bottom"/>
            <w:tcBorders>
              <w:right w:val="single" w:sz="8" w:color="0067B3"/>
            </w:tcBorders>
          </w:tcPr>
          <w:p>
            <w:pPr>
              <w:spacing w:after="0"/>
              <w:rPr>
                <w:sz w:val="20"/>
                <w:szCs w:val="20"/>
                <w:color w:val="auto"/>
              </w:rPr>
            </w:pPr>
          </w:p>
        </w:tc>
        <w:tc>
          <w:tcPr>
            <w:tcW w:w="1820" w:type="dxa"/>
            <w:vAlign w:val="bottom"/>
            <w:tcBorders>
              <w:right w:val="single" w:sz="8" w:color="0067B3"/>
            </w:tcBorders>
            <w:vMerge w:val="restart"/>
          </w:tcPr>
          <w:p>
            <w:pPr>
              <w:jc w:val="center"/>
              <w:spacing w:after="0"/>
              <w:rPr>
                <w:sz w:val="20"/>
                <w:szCs w:val="20"/>
                <w:color w:val="auto"/>
              </w:rPr>
            </w:pPr>
            <w:r>
              <w:rPr>
                <w:rFonts w:ascii="Arial" w:cs="Arial" w:eastAsia="Arial" w:hAnsi="Arial"/>
                <w:sz w:val="18"/>
                <w:szCs w:val="18"/>
                <w:b w:val="1"/>
                <w:bCs w:val="1"/>
                <w:color w:val="0067B3"/>
                <w:w w:val="99"/>
              </w:rPr>
              <w:t>COMPENSATION</w:t>
            </w:r>
          </w:p>
        </w:tc>
        <w:tc>
          <w:tcPr>
            <w:tcW w:w="220" w:type="dxa"/>
            <w:vAlign w:val="bottom"/>
            <w:tcBorders>
              <w:right w:val="single" w:sz="8" w:color="0067B3"/>
            </w:tcBorders>
          </w:tcPr>
          <w:p>
            <w:pPr>
              <w:spacing w:after="0"/>
              <w:rPr>
                <w:sz w:val="20"/>
                <w:szCs w:val="20"/>
                <w:color w:val="auto"/>
              </w:rPr>
            </w:pPr>
          </w:p>
        </w:tc>
        <w:tc>
          <w:tcPr>
            <w:tcW w:w="1700" w:type="dxa"/>
            <w:vAlign w:val="bottom"/>
            <w:tcBorders>
              <w:right w:val="single" w:sz="8" w:color="0067B3"/>
            </w:tcBorders>
          </w:tcPr>
          <w:p>
            <w:pPr>
              <w:jc w:val="center"/>
              <w:spacing w:after="0"/>
              <w:rPr>
                <w:sz w:val="20"/>
                <w:szCs w:val="20"/>
                <w:color w:val="auto"/>
              </w:rPr>
            </w:pPr>
            <w:r>
              <w:rPr>
                <w:rFonts w:ascii="Arial" w:cs="Arial" w:eastAsia="Arial" w:hAnsi="Arial"/>
                <w:sz w:val="18"/>
                <w:szCs w:val="18"/>
                <w:b w:val="1"/>
                <w:bCs w:val="1"/>
                <w:color w:val="0067B3"/>
                <w:w w:val="98"/>
              </w:rPr>
              <w:t>NOMINATING</w:t>
            </w:r>
          </w:p>
        </w:tc>
        <w:tc>
          <w:tcPr>
            <w:tcW w:w="220" w:type="dxa"/>
            <w:vAlign w:val="bottom"/>
            <w:tcBorders>
              <w:right w:val="single" w:sz="8" w:color="0067B3"/>
            </w:tcBorders>
          </w:tcPr>
          <w:p>
            <w:pPr>
              <w:spacing w:after="0"/>
              <w:rPr>
                <w:sz w:val="20"/>
                <w:szCs w:val="20"/>
                <w:color w:val="auto"/>
              </w:rPr>
            </w:pPr>
          </w:p>
        </w:tc>
        <w:tc>
          <w:tcPr>
            <w:tcW w:w="1680" w:type="dxa"/>
            <w:vAlign w:val="bottom"/>
            <w:tcBorders>
              <w:right w:val="single" w:sz="8" w:color="0067B3"/>
            </w:tcBorders>
            <w:vMerge w:val="restart"/>
          </w:tcPr>
          <w:p>
            <w:pPr>
              <w:jc w:val="center"/>
              <w:spacing w:after="0"/>
              <w:rPr>
                <w:sz w:val="20"/>
                <w:szCs w:val="20"/>
                <w:color w:val="auto"/>
              </w:rPr>
            </w:pPr>
            <w:r>
              <w:rPr>
                <w:rFonts w:ascii="Arial" w:cs="Arial" w:eastAsia="Arial" w:hAnsi="Arial"/>
                <w:sz w:val="18"/>
                <w:szCs w:val="18"/>
                <w:b w:val="1"/>
                <w:bCs w:val="1"/>
                <w:color w:val="0067B3"/>
                <w:w w:val="97"/>
              </w:rPr>
              <w:t>CORPORATE</w:t>
            </w:r>
          </w:p>
        </w:tc>
        <w:tc>
          <w:tcPr>
            <w:tcW w:w="200" w:type="dxa"/>
            <w:vAlign w:val="bottom"/>
          </w:tcPr>
          <w:p>
            <w:pPr>
              <w:spacing w:after="0"/>
              <w:rPr>
                <w:sz w:val="20"/>
                <w:szCs w:val="20"/>
                <w:color w:val="auto"/>
              </w:rPr>
            </w:pPr>
          </w:p>
        </w:tc>
        <w:tc>
          <w:tcPr>
            <w:tcW w:w="1760" w:type="dxa"/>
            <w:vAlign w:val="bottom"/>
            <w:shd w:val="clear" w:color="auto" w:fill="E6E7E8"/>
          </w:tcPr>
          <w:p>
            <w:pPr>
              <w:jc w:val="center"/>
              <w:spacing w:after="0"/>
              <w:rPr>
                <w:sz w:val="20"/>
                <w:szCs w:val="20"/>
                <w:color w:val="auto"/>
              </w:rPr>
            </w:pPr>
            <w:r>
              <w:rPr>
                <w:rFonts w:ascii="Arial" w:cs="Arial" w:eastAsia="Arial" w:hAnsi="Arial"/>
                <w:sz w:val="18"/>
                <w:szCs w:val="18"/>
                <w:b w:val="1"/>
                <w:bCs w:val="1"/>
                <w:color w:val="0067B3"/>
              </w:rPr>
              <w:t>RISK</w:t>
            </w:r>
          </w:p>
        </w:tc>
        <w:tc>
          <w:tcPr>
            <w:tcW w:w="0" w:type="dxa"/>
            <w:vAlign w:val="bottom"/>
          </w:tcPr>
          <w:p>
            <w:pPr>
              <w:spacing w:after="0"/>
              <w:rPr>
                <w:sz w:val="1"/>
                <w:szCs w:val="1"/>
                <w:color w:val="auto"/>
              </w:rPr>
            </w:pPr>
          </w:p>
        </w:tc>
      </w:tr>
      <w:tr>
        <w:trPr>
          <w:trHeight w:val="216"/>
        </w:trPr>
        <w:tc>
          <w:tcPr>
            <w:tcW w:w="1540" w:type="dxa"/>
            <w:vAlign w:val="bottom"/>
            <w:shd w:val="clear" w:color="auto" w:fill="CAD3EC"/>
          </w:tcPr>
          <w:p>
            <w:pPr>
              <w:jc w:val="center"/>
              <w:spacing w:after="0"/>
              <w:rPr>
                <w:sz w:val="20"/>
                <w:szCs w:val="20"/>
                <w:color w:val="auto"/>
              </w:rPr>
            </w:pPr>
            <w:r>
              <w:rPr>
                <w:rFonts w:ascii="Arial" w:cs="Arial" w:eastAsia="Arial" w:hAnsi="Arial"/>
                <w:sz w:val="18"/>
                <w:szCs w:val="18"/>
                <w:b w:val="1"/>
                <w:bCs w:val="1"/>
                <w:color w:val="0067B3"/>
                <w:w w:val="99"/>
              </w:rPr>
              <w:t>BOARD OF</w:t>
            </w:r>
          </w:p>
        </w:tc>
        <w:tc>
          <w:tcPr>
            <w:tcW w:w="220" w:type="dxa"/>
            <w:vAlign w:val="bottom"/>
            <w:tcBorders>
              <w:right w:val="single" w:sz="8" w:color="0067B3"/>
            </w:tcBorders>
          </w:tcPr>
          <w:p>
            <w:pPr>
              <w:spacing w:after="0"/>
              <w:rPr>
                <w:sz w:val="18"/>
                <w:szCs w:val="18"/>
                <w:color w:val="auto"/>
              </w:rPr>
            </w:pPr>
          </w:p>
        </w:tc>
        <w:tc>
          <w:tcPr>
            <w:tcW w:w="1660" w:type="dxa"/>
            <w:vAlign w:val="bottom"/>
            <w:tcBorders>
              <w:right w:val="single" w:sz="8" w:color="0067B3"/>
            </w:tcBorders>
          </w:tcPr>
          <w:p>
            <w:pPr>
              <w:jc w:val="center"/>
              <w:spacing w:after="0"/>
              <w:rPr>
                <w:sz w:val="20"/>
                <w:szCs w:val="20"/>
                <w:color w:val="auto"/>
              </w:rPr>
            </w:pPr>
            <w:r>
              <w:rPr>
                <w:rFonts w:ascii="Arial" w:cs="Arial" w:eastAsia="Arial" w:hAnsi="Arial"/>
                <w:sz w:val="18"/>
                <w:szCs w:val="18"/>
                <w:b w:val="1"/>
                <w:bCs w:val="1"/>
                <w:color w:val="0067B3"/>
              </w:rPr>
              <w:t>AUDIT</w:t>
            </w:r>
          </w:p>
        </w:tc>
        <w:tc>
          <w:tcPr>
            <w:tcW w:w="220" w:type="dxa"/>
            <w:vAlign w:val="bottom"/>
            <w:tcBorders>
              <w:right w:val="single" w:sz="8" w:color="0067B3"/>
            </w:tcBorders>
          </w:tcPr>
          <w:p>
            <w:pPr>
              <w:spacing w:after="0"/>
              <w:rPr>
                <w:sz w:val="18"/>
                <w:szCs w:val="18"/>
                <w:color w:val="auto"/>
              </w:rPr>
            </w:pPr>
          </w:p>
        </w:tc>
        <w:tc>
          <w:tcPr>
            <w:tcW w:w="1820" w:type="dxa"/>
            <w:vAlign w:val="bottom"/>
            <w:tcBorders>
              <w:right w:val="single" w:sz="8" w:color="0067B3"/>
            </w:tcBorders>
            <w:vMerge w:val="continue"/>
          </w:tcPr>
          <w:p>
            <w:pPr>
              <w:spacing w:after="0"/>
              <w:rPr>
                <w:sz w:val="18"/>
                <w:szCs w:val="18"/>
                <w:color w:val="auto"/>
              </w:rPr>
            </w:pPr>
          </w:p>
        </w:tc>
        <w:tc>
          <w:tcPr>
            <w:tcW w:w="220" w:type="dxa"/>
            <w:vAlign w:val="bottom"/>
            <w:tcBorders>
              <w:right w:val="single" w:sz="8" w:color="0067B3"/>
            </w:tcBorders>
          </w:tcPr>
          <w:p>
            <w:pPr>
              <w:spacing w:after="0"/>
              <w:rPr>
                <w:sz w:val="18"/>
                <w:szCs w:val="18"/>
                <w:color w:val="auto"/>
              </w:rPr>
            </w:pPr>
          </w:p>
        </w:tc>
        <w:tc>
          <w:tcPr>
            <w:tcW w:w="1700" w:type="dxa"/>
            <w:vAlign w:val="bottom"/>
            <w:tcBorders>
              <w:right w:val="single" w:sz="8" w:color="0067B3"/>
            </w:tcBorders>
          </w:tcPr>
          <w:p>
            <w:pPr>
              <w:jc w:val="center"/>
              <w:spacing w:after="0"/>
              <w:rPr>
                <w:sz w:val="20"/>
                <w:szCs w:val="20"/>
                <w:color w:val="auto"/>
              </w:rPr>
            </w:pPr>
            <w:r>
              <w:rPr>
                <w:rFonts w:ascii="Arial" w:cs="Arial" w:eastAsia="Arial" w:hAnsi="Arial"/>
                <w:sz w:val="18"/>
                <w:szCs w:val="18"/>
                <w:b w:val="1"/>
                <w:bCs w:val="1"/>
                <w:color w:val="0067B3"/>
                <w:w w:val="98"/>
              </w:rPr>
              <w:t>AND CORPORATE</w:t>
            </w:r>
          </w:p>
        </w:tc>
        <w:tc>
          <w:tcPr>
            <w:tcW w:w="220" w:type="dxa"/>
            <w:vAlign w:val="bottom"/>
            <w:tcBorders>
              <w:right w:val="single" w:sz="8" w:color="0067B3"/>
            </w:tcBorders>
          </w:tcPr>
          <w:p>
            <w:pPr>
              <w:spacing w:after="0"/>
              <w:rPr>
                <w:sz w:val="18"/>
                <w:szCs w:val="18"/>
                <w:color w:val="auto"/>
              </w:rPr>
            </w:pPr>
          </w:p>
        </w:tc>
        <w:tc>
          <w:tcPr>
            <w:tcW w:w="1680" w:type="dxa"/>
            <w:vAlign w:val="bottom"/>
            <w:tcBorders>
              <w:right w:val="single" w:sz="8" w:color="0067B3"/>
            </w:tcBorders>
            <w:vMerge w:val="continue"/>
          </w:tcPr>
          <w:p>
            <w:pPr>
              <w:spacing w:after="0"/>
              <w:rPr>
                <w:sz w:val="18"/>
                <w:szCs w:val="18"/>
                <w:color w:val="auto"/>
              </w:rPr>
            </w:pPr>
          </w:p>
        </w:tc>
        <w:tc>
          <w:tcPr>
            <w:tcW w:w="200" w:type="dxa"/>
            <w:vAlign w:val="bottom"/>
          </w:tcPr>
          <w:p>
            <w:pPr>
              <w:spacing w:after="0"/>
              <w:rPr>
                <w:sz w:val="18"/>
                <w:szCs w:val="18"/>
                <w:color w:val="auto"/>
              </w:rPr>
            </w:pPr>
          </w:p>
        </w:tc>
        <w:tc>
          <w:tcPr>
            <w:tcW w:w="1760" w:type="dxa"/>
            <w:vAlign w:val="bottom"/>
            <w:shd w:val="clear" w:color="auto" w:fill="E6E7E8"/>
          </w:tcPr>
          <w:p>
            <w:pPr>
              <w:jc w:val="center"/>
              <w:spacing w:after="0"/>
              <w:rPr>
                <w:sz w:val="20"/>
                <w:szCs w:val="20"/>
                <w:color w:val="auto"/>
              </w:rPr>
            </w:pPr>
            <w:r>
              <w:rPr>
                <w:rFonts w:ascii="Arial" w:cs="Arial" w:eastAsia="Arial" w:hAnsi="Arial"/>
                <w:sz w:val="18"/>
                <w:szCs w:val="18"/>
                <w:b w:val="1"/>
                <w:bCs w:val="1"/>
                <w:color w:val="0067B3"/>
              </w:rPr>
              <w:t>MANAGEMENT</w:t>
            </w:r>
          </w:p>
        </w:tc>
        <w:tc>
          <w:tcPr>
            <w:tcW w:w="0" w:type="dxa"/>
            <w:vAlign w:val="bottom"/>
          </w:tcPr>
          <w:p>
            <w:pPr>
              <w:spacing w:after="0"/>
              <w:rPr>
                <w:sz w:val="1"/>
                <w:szCs w:val="1"/>
                <w:color w:val="auto"/>
              </w:rPr>
            </w:pPr>
          </w:p>
        </w:tc>
      </w:tr>
      <w:tr>
        <w:trPr>
          <w:trHeight w:val="216"/>
        </w:trPr>
        <w:tc>
          <w:tcPr>
            <w:tcW w:w="1540" w:type="dxa"/>
            <w:vAlign w:val="bottom"/>
            <w:shd w:val="clear" w:color="auto" w:fill="CAD3EC"/>
          </w:tcPr>
          <w:p>
            <w:pPr>
              <w:jc w:val="center"/>
              <w:spacing w:after="0"/>
              <w:rPr>
                <w:sz w:val="20"/>
                <w:szCs w:val="20"/>
                <w:color w:val="auto"/>
              </w:rPr>
            </w:pPr>
            <w:r>
              <w:rPr>
                <w:rFonts w:ascii="Arial" w:cs="Arial" w:eastAsia="Arial" w:hAnsi="Arial"/>
                <w:sz w:val="18"/>
                <w:szCs w:val="18"/>
                <w:b w:val="1"/>
                <w:bCs w:val="1"/>
                <w:color w:val="0067B3"/>
                <w:w w:val="99"/>
              </w:rPr>
              <w:t>DIRECTORS</w:t>
            </w:r>
          </w:p>
        </w:tc>
        <w:tc>
          <w:tcPr>
            <w:tcW w:w="220" w:type="dxa"/>
            <w:vAlign w:val="bottom"/>
            <w:tcBorders>
              <w:right w:val="single" w:sz="8" w:color="0067B3"/>
            </w:tcBorders>
          </w:tcPr>
          <w:p>
            <w:pPr>
              <w:spacing w:after="0"/>
              <w:rPr>
                <w:sz w:val="18"/>
                <w:szCs w:val="18"/>
                <w:color w:val="auto"/>
              </w:rPr>
            </w:pPr>
          </w:p>
        </w:tc>
        <w:tc>
          <w:tcPr>
            <w:tcW w:w="1660" w:type="dxa"/>
            <w:vAlign w:val="bottom"/>
            <w:tcBorders>
              <w:right w:val="single" w:sz="8" w:color="0067B3"/>
            </w:tcBorders>
          </w:tcPr>
          <w:p>
            <w:pPr>
              <w:jc w:val="center"/>
              <w:spacing w:after="0"/>
              <w:rPr>
                <w:sz w:val="20"/>
                <w:szCs w:val="20"/>
                <w:color w:val="auto"/>
              </w:rPr>
            </w:pPr>
            <w:r>
              <w:rPr>
                <w:rFonts w:ascii="Arial" w:cs="Arial" w:eastAsia="Arial" w:hAnsi="Arial"/>
                <w:sz w:val="18"/>
                <w:szCs w:val="18"/>
                <w:b w:val="1"/>
                <w:bCs w:val="1"/>
                <w:color w:val="0067B3"/>
                <w:w w:val="99"/>
              </w:rPr>
              <w:t>COMMITTEE</w:t>
            </w:r>
          </w:p>
        </w:tc>
        <w:tc>
          <w:tcPr>
            <w:tcW w:w="220" w:type="dxa"/>
            <w:vAlign w:val="bottom"/>
            <w:tcBorders>
              <w:right w:val="single" w:sz="8" w:color="0067B3"/>
            </w:tcBorders>
          </w:tcPr>
          <w:p>
            <w:pPr>
              <w:spacing w:after="0"/>
              <w:rPr>
                <w:sz w:val="18"/>
                <w:szCs w:val="18"/>
                <w:color w:val="auto"/>
              </w:rPr>
            </w:pPr>
          </w:p>
        </w:tc>
        <w:tc>
          <w:tcPr>
            <w:tcW w:w="1820" w:type="dxa"/>
            <w:vAlign w:val="bottom"/>
            <w:tcBorders>
              <w:right w:val="single" w:sz="8" w:color="0067B3"/>
            </w:tcBorders>
          </w:tcPr>
          <w:p>
            <w:pPr>
              <w:jc w:val="center"/>
              <w:spacing w:after="0"/>
              <w:rPr>
                <w:sz w:val="20"/>
                <w:szCs w:val="20"/>
                <w:color w:val="auto"/>
              </w:rPr>
            </w:pPr>
            <w:r>
              <w:rPr>
                <w:rFonts w:ascii="Arial" w:cs="Arial" w:eastAsia="Arial" w:hAnsi="Arial"/>
                <w:sz w:val="18"/>
                <w:szCs w:val="18"/>
                <w:b w:val="1"/>
                <w:bCs w:val="1"/>
                <w:color w:val="0067B3"/>
                <w:w w:val="99"/>
              </w:rPr>
              <w:t>AND TALENT</w:t>
            </w:r>
          </w:p>
        </w:tc>
        <w:tc>
          <w:tcPr>
            <w:tcW w:w="220" w:type="dxa"/>
            <w:vAlign w:val="bottom"/>
            <w:tcBorders>
              <w:right w:val="single" w:sz="8" w:color="0067B3"/>
            </w:tcBorders>
          </w:tcPr>
          <w:p>
            <w:pPr>
              <w:spacing w:after="0"/>
              <w:rPr>
                <w:sz w:val="18"/>
                <w:szCs w:val="18"/>
                <w:color w:val="auto"/>
              </w:rPr>
            </w:pPr>
          </w:p>
        </w:tc>
        <w:tc>
          <w:tcPr>
            <w:tcW w:w="1700" w:type="dxa"/>
            <w:vAlign w:val="bottom"/>
            <w:tcBorders>
              <w:right w:val="single" w:sz="8" w:color="0067B3"/>
            </w:tcBorders>
          </w:tcPr>
          <w:p>
            <w:pPr>
              <w:jc w:val="center"/>
              <w:spacing w:after="0"/>
              <w:rPr>
                <w:sz w:val="20"/>
                <w:szCs w:val="20"/>
                <w:color w:val="auto"/>
              </w:rPr>
            </w:pPr>
            <w:r>
              <w:rPr>
                <w:rFonts w:ascii="Arial" w:cs="Arial" w:eastAsia="Arial" w:hAnsi="Arial"/>
                <w:sz w:val="18"/>
                <w:szCs w:val="18"/>
                <w:b w:val="1"/>
                <w:bCs w:val="1"/>
                <w:color w:val="0067B3"/>
                <w:w w:val="99"/>
              </w:rPr>
              <w:t>GOVERNANCE</w:t>
            </w:r>
          </w:p>
        </w:tc>
        <w:tc>
          <w:tcPr>
            <w:tcW w:w="220" w:type="dxa"/>
            <w:vAlign w:val="bottom"/>
            <w:tcBorders>
              <w:right w:val="single" w:sz="8" w:color="0067B3"/>
            </w:tcBorders>
          </w:tcPr>
          <w:p>
            <w:pPr>
              <w:spacing w:after="0"/>
              <w:rPr>
                <w:sz w:val="18"/>
                <w:szCs w:val="18"/>
                <w:color w:val="auto"/>
              </w:rPr>
            </w:pPr>
          </w:p>
        </w:tc>
        <w:tc>
          <w:tcPr>
            <w:tcW w:w="1680" w:type="dxa"/>
            <w:vAlign w:val="bottom"/>
            <w:tcBorders>
              <w:right w:val="single" w:sz="8" w:color="0067B3"/>
            </w:tcBorders>
          </w:tcPr>
          <w:p>
            <w:pPr>
              <w:jc w:val="center"/>
              <w:spacing w:after="0"/>
              <w:rPr>
                <w:sz w:val="20"/>
                <w:szCs w:val="20"/>
                <w:color w:val="auto"/>
              </w:rPr>
            </w:pPr>
            <w:r>
              <w:rPr>
                <w:rFonts w:ascii="Arial" w:cs="Arial" w:eastAsia="Arial" w:hAnsi="Arial"/>
                <w:sz w:val="18"/>
                <w:szCs w:val="18"/>
                <w:b w:val="1"/>
                <w:bCs w:val="1"/>
                <w:color w:val="0067B3"/>
              </w:rPr>
              <w:t>DEVELOPMENT</w:t>
            </w:r>
          </w:p>
        </w:tc>
        <w:tc>
          <w:tcPr>
            <w:tcW w:w="200" w:type="dxa"/>
            <w:vAlign w:val="bottom"/>
          </w:tcPr>
          <w:p>
            <w:pPr>
              <w:spacing w:after="0"/>
              <w:rPr>
                <w:sz w:val="18"/>
                <w:szCs w:val="18"/>
                <w:color w:val="auto"/>
              </w:rPr>
            </w:pPr>
          </w:p>
        </w:tc>
        <w:tc>
          <w:tcPr>
            <w:tcW w:w="1760" w:type="dxa"/>
            <w:vAlign w:val="bottom"/>
            <w:shd w:val="clear" w:color="auto" w:fill="E6E7E8"/>
          </w:tcPr>
          <w:p>
            <w:pPr>
              <w:jc w:val="center"/>
              <w:spacing w:after="0"/>
              <w:rPr>
                <w:sz w:val="20"/>
                <w:szCs w:val="20"/>
                <w:color w:val="auto"/>
              </w:rPr>
            </w:pPr>
            <w:r>
              <w:rPr>
                <w:rFonts w:ascii="Arial" w:cs="Arial" w:eastAsia="Arial" w:hAnsi="Arial"/>
                <w:sz w:val="18"/>
                <w:szCs w:val="18"/>
                <w:b w:val="1"/>
                <w:bCs w:val="1"/>
                <w:color w:val="0067B3"/>
                <w:w w:val="99"/>
              </w:rPr>
              <w:t>COMMITTEE</w:t>
            </w:r>
          </w:p>
        </w:tc>
        <w:tc>
          <w:tcPr>
            <w:tcW w:w="0" w:type="dxa"/>
            <w:vAlign w:val="bottom"/>
          </w:tcPr>
          <w:p>
            <w:pPr>
              <w:spacing w:after="0"/>
              <w:rPr>
                <w:sz w:val="1"/>
                <w:szCs w:val="1"/>
                <w:color w:val="auto"/>
              </w:rPr>
            </w:pPr>
          </w:p>
        </w:tc>
      </w:tr>
      <w:tr>
        <w:trPr>
          <w:trHeight w:val="247"/>
        </w:trPr>
        <w:tc>
          <w:tcPr>
            <w:tcW w:w="1540" w:type="dxa"/>
            <w:vAlign w:val="bottom"/>
            <w:shd w:val="clear" w:color="auto" w:fill="CAD3EC"/>
          </w:tcPr>
          <w:p>
            <w:pPr>
              <w:spacing w:after="0"/>
              <w:rPr>
                <w:sz w:val="21"/>
                <w:szCs w:val="21"/>
                <w:color w:val="auto"/>
              </w:rPr>
            </w:pPr>
          </w:p>
        </w:tc>
        <w:tc>
          <w:tcPr>
            <w:tcW w:w="220" w:type="dxa"/>
            <w:vAlign w:val="bottom"/>
            <w:tcBorders>
              <w:right w:val="single" w:sz="8" w:color="0067B3"/>
            </w:tcBorders>
          </w:tcPr>
          <w:p>
            <w:pPr>
              <w:spacing w:after="0"/>
              <w:rPr>
                <w:sz w:val="21"/>
                <w:szCs w:val="21"/>
                <w:color w:val="auto"/>
              </w:rPr>
            </w:pPr>
          </w:p>
        </w:tc>
        <w:tc>
          <w:tcPr>
            <w:tcW w:w="1660" w:type="dxa"/>
            <w:vAlign w:val="bottom"/>
            <w:tcBorders>
              <w:right w:val="single" w:sz="8" w:color="0067B3"/>
            </w:tcBorders>
          </w:tcPr>
          <w:p>
            <w:pPr>
              <w:spacing w:after="0"/>
              <w:rPr>
                <w:sz w:val="21"/>
                <w:szCs w:val="21"/>
                <w:color w:val="auto"/>
              </w:rPr>
            </w:pPr>
          </w:p>
        </w:tc>
        <w:tc>
          <w:tcPr>
            <w:tcW w:w="220" w:type="dxa"/>
            <w:vAlign w:val="bottom"/>
            <w:tcBorders>
              <w:right w:val="single" w:sz="8" w:color="0067B3"/>
            </w:tcBorders>
          </w:tcPr>
          <w:p>
            <w:pPr>
              <w:spacing w:after="0"/>
              <w:rPr>
                <w:sz w:val="21"/>
                <w:szCs w:val="21"/>
                <w:color w:val="auto"/>
              </w:rPr>
            </w:pPr>
          </w:p>
        </w:tc>
        <w:tc>
          <w:tcPr>
            <w:tcW w:w="1820" w:type="dxa"/>
            <w:vAlign w:val="bottom"/>
            <w:tcBorders>
              <w:right w:val="single" w:sz="8" w:color="0067B3"/>
            </w:tcBorders>
          </w:tcPr>
          <w:p>
            <w:pPr>
              <w:jc w:val="center"/>
              <w:spacing w:after="0"/>
              <w:rPr>
                <w:sz w:val="20"/>
                <w:szCs w:val="20"/>
                <w:color w:val="auto"/>
              </w:rPr>
            </w:pPr>
            <w:r>
              <w:rPr>
                <w:rFonts w:ascii="Arial" w:cs="Arial" w:eastAsia="Arial" w:hAnsi="Arial"/>
                <w:sz w:val="18"/>
                <w:szCs w:val="18"/>
                <w:b w:val="1"/>
                <w:bCs w:val="1"/>
                <w:color w:val="0067B3"/>
                <w:w w:val="99"/>
              </w:rPr>
              <w:t>COMMITTEE</w:t>
            </w:r>
          </w:p>
        </w:tc>
        <w:tc>
          <w:tcPr>
            <w:tcW w:w="220" w:type="dxa"/>
            <w:vAlign w:val="bottom"/>
            <w:tcBorders>
              <w:right w:val="single" w:sz="8" w:color="0067B3"/>
            </w:tcBorders>
          </w:tcPr>
          <w:p>
            <w:pPr>
              <w:spacing w:after="0"/>
              <w:rPr>
                <w:sz w:val="21"/>
                <w:szCs w:val="21"/>
                <w:color w:val="auto"/>
              </w:rPr>
            </w:pPr>
          </w:p>
        </w:tc>
        <w:tc>
          <w:tcPr>
            <w:tcW w:w="1700" w:type="dxa"/>
            <w:vAlign w:val="bottom"/>
            <w:tcBorders>
              <w:right w:val="single" w:sz="8" w:color="0067B3"/>
            </w:tcBorders>
            <w:vMerge w:val="restart"/>
          </w:tcPr>
          <w:p>
            <w:pPr>
              <w:jc w:val="center"/>
              <w:spacing w:after="0"/>
              <w:rPr>
                <w:sz w:val="20"/>
                <w:szCs w:val="20"/>
                <w:color w:val="auto"/>
              </w:rPr>
            </w:pPr>
            <w:r>
              <w:rPr>
                <w:rFonts w:ascii="Arial" w:cs="Arial" w:eastAsia="Arial" w:hAnsi="Arial"/>
                <w:sz w:val="18"/>
                <w:szCs w:val="18"/>
                <w:b w:val="1"/>
                <w:bCs w:val="1"/>
                <w:color w:val="0067B3"/>
                <w:w w:val="99"/>
              </w:rPr>
              <w:t>COMMITTEE</w:t>
            </w:r>
          </w:p>
        </w:tc>
        <w:tc>
          <w:tcPr>
            <w:tcW w:w="220" w:type="dxa"/>
            <w:vAlign w:val="bottom"/>
            <w:tcBorders>
              <w:right w:val="single" w:sz="8" w:color="0067B3"/>
            </w:tcBorders>
          </w:tcPr>
          <w:p>
            <w:pPr>
              <w:spacing w:after="0"/>
              <w:rPr>
                <w:sz w:val="21"/>
                <w:szCs w:val="21"/>
                <w:color w:val="auto"/>
              </w:rPr>
            </w:pPr>
          </w:p>
        </w:tc>
        <w:tc>
          <w:tcPr>
            <w:tcW w:w="1680" w:type="dxa"/>
            <w:vAlign w:val="bottom"/>
            <w:tcBorders>
              <w:right w:val="single" w:sz="8" w:color="0067B3"/>
            </w:tcBorders>
          </w:tcPr>
          <w:p>
            <w:pPr>
              <w:jc w:val="center"/>
              <w:spacing w:after="0"/>
              <w:rPr>
                <w:sz w:val="20"/>
                <w:szCs w:val="20"/>
                <w:color w:val="auto"/>
              </w:rPr>
            </w:pPr>
            <w:r>
              <w:rPr>
                <w:rFonts w:ascii="Arial" w:cs="Arial" w:eastAsia="Arial" w:hAnsi="Arial"/>
                <w:sz w:val="18"/>
                <w:szCs w:val="18"/>
                <w:b w:val="1"/>
                <w:bCs w:val="1"/>
                <w:color w:val="0067B3"/>
                <w:w w:val="99"/>
              </w:rPr>
              <w:t>COMMITTEE</w:t>
            </w:r>
          </w:p>
        </w:tc>
        <w:tc>
          <w:tcPr>
            <w:tcW w:w="200" w:type="dxa"/>
            <w:vAlign w:val="bottom"/>
          </w:tcPr>
          <w:p>
            <w:pPr>
              <w:spacing w:after="0"/>
              <w:rPr>
                <w:sz w:val="21"/>
                <w:szCs w:val="21"/>
                <w:color w:val="auto"/>
              </w:rPr>
            </w:pPr>
          </w:p>
        </w:tc>
        <w:tc>
          <w:tcPr>
            <w:tcW w:w="1760" w:type="dxa"/>
            <w:vAlign w:val="bottom"/>
            <w:vMerge w:val="restart"/>
            <w:shd w:val="clear" w:color="auto" w:fill="E6E7E8"/>
          </w:tcPr>
          <w:p>
            <w:pPr>
              <w:jc w:val="center"/>
              <w:spacing w:after="0"/>
              <w:rPr>
                <w:sz w:val="20"/>
                <w:szCs w:val="20"/>
                <w:color w:val="auto"/>
              </w:rPr>
            </w:pPr>
            <w:r>
              <w:rPr>
                <w:rFonts w:ascii="Arial" w:cs="Arial" w:eastAsia="Arial" w:hAnsi="Arial"/>
                <w:sz w:val="18"/>
                <w:szCs w:val="18"/>
                <w:color w:val="auto"/>
                <w:w w:val="99"/>
              </w:rPr>
              <w:t>Chaired by our</w:t>
            </w:r>
          </w:p>
        </w:tc>
        <w:tc>
          <w:tcPr>
            <w:tcW w:w="0" w:type="dxa"/>
            <w:vAlign w:val="bottom"/>
          </w:tcPr>
          <w:p>
            <w:pPr>
              <w:spacing w:after="0"/>
              <w:rPr>
                <w:sz w:val="1"/>
                <w:szCs w:val="1"/>
                <w:color w:val="auto"/>
              </w:rPr>
            </w:pPr>
          </w:p>
        </w:tc>
      </w:tr>
      <w:tr>
        <w:trPr>
          <w:trHeight w:val="58"/>
        </w:trPr>
        <w:tc>
          <w:tcPr>
            <w:tcW w:w="1540" w:type="dxa"/>
            <w:vAlign w:val="bottom"/>
            <w:shd w:val="clear" w:color="auto" w:fill="CAD3EC"/>
          </w:tcPr>
          <w:p>
            <w:pPr>
              <w:spacing w:after="0"/>
              <w:rPr>
                <w:sz w:val="5"/>
                <w:szCs w:val="5"/>
                <w:color w:val="auto"/>
              </w:rPr>
            </w:pPr>
          </w:p>
        </w:tc>
        <w:tc>
          <w:tcPr>
            <w:tcW w:w="220" w:type="dxa"/>
            <w:vAlign w:val="bottom"/>
            <w:tcBorders>
              <w:right w:val="single" w:sz="8" w:color="0067B3"/>
            </w:tcBorders>
          </w:tcPr>
          <w:p>
            <w:pPr>
              <w:spacing w:after="0"/>
              <w:rPr>
                <w:sz w:val="5"/>
                <w:szCs w:val="5"/>
                <w:color w:val="auto"/>
              </w:rPr>
            </w:pPr>
          </w:p>
        </w:tc>
        <w:tc>
          <w:tcPr>
            <w:tcW w:w="1660" w:type="dxa"/>
            <w:vAlign w:val="bottom"/>
            <w:tcBorders>
              <w:right w:val="single" w:sz="8" w:color="0067B3"/>
            </w:tcBorders>
          </w:tcPr>
          <w:p>
            <w:pPr>
              <w:spacing w:after="0"/>
              <w:rPr>
                <w:sz w:val="5"/>
                <w:szCs w:val="5"/>
                <w:color w:val="auto"/>
              </w:rPr>
            </w:pPr>
          </w:p>
        </w:tc>
        <w:tc>
          <w:tcPr>
            <w:tcW w:w="220" w:type="dxa"/>
            <w:vAlign w:val="bottom"/>
            <w:tcBorders>
              <w:right w:val="single" w:sz="8" w:color="0067B3"/>
            </w:tcBorders>
          </w:tcPr>
          <w:p>
            <w:pPr>
              <w:spacing w:after="0"/>
              <w:rPr>
                <w:sz w:val="5"/>
                <w:szCs w:val="5"/>
                <w:color w:val="auto"/>
              </w:rPr>
            </w:pPr>
          </w:p>
        </w:tc>
        <w:tc>
          <w:tcPr>
            <w:tcW w:w="1820" w:type="dxa"/>
            <w:vAlign w:val="bottom"/>
            <w:tcBorders>
              <w:right w:val="single" w:sz="8" w:color="0067B3"/>
            </w:tcBorders>
          </w:tcPr>
          <w:p>
            <w:pPr>
              <w:spacing w:after="0"/>
              <w:rPr>
                <w:sz w:val="5"/>
                <w:szCs w:val="5"/>
                <w:color w:val="auto"/>
              </w:rPr>
            </w:pPr>
          </w:p>
        </w:tc>
        <w:tc>
          <w:tcPr>
            <w:tcW w:w="220" w:type="dxa"/>
            <w:vAlign w:val="bottom"/>
            <w:tcBorders>
              <w:right w:val="single" w:sz="8" w:color="0067B3"/>
            </w:tcBorders>
          </w:tcPr>
          <w:p>
            <w:pPr>
              <w:spacing w:after="0"/>
              <w:rPr>
                <w:sz w:val="5"/>
                <w:szCs w:val="5"/>
                <w:color w:val="auto"/>
              </w:rPr>
            </w:pPr>
          </w:p>
        </w:tc>
        <w:tc>
          <w:tcPr>
            <w:tcW w:w="1700" w:type="dxa"/>
            <w:vAlign w:val="bottom"/>
            <w:tcBorders>
              <w:right w:val="single" w:sz="8" w:color="0067B3"/>
            </w:tcBorders>
            <w:vMerge w:val="continue"/>
          </w:tcPr>
          <w:p>
            <w:pPr>
              <w:spacing w:after="0"/>
              <w:rPr>
                <w:sz w:val="5"/>
                <w:szCs w:val="5"/>
                <w:color w:val="auto"/>
              </w:rPr>
            </w:pPr>
          </w:p>
        </w:tc>
        <w:tc>
          <w:tcPr>
            <w:tcW w:w="220" w:type="dxa"/>
            <w:vAlign w:val="bottom"/>
            <w:tcBorders>
              <w:right w:val="single" w:sz="8" w:color="0067B3"/>
            </w:tcBorders>
          </w:tcPr>
          <w:p>
            <w:pPr>
              <w:spacing w:after="0"/>
              <w:rPr>
                <w:sz w:val="5"/>
                <w:szCs w:val="5"/>
                <w:color w:val="auto"/>
              </w:rPr>
            </w:pPr>
          </w:p>
        </w:tc>
        <w:tc>
          <w:tcPr>
            <w:tcW w:w="1680" w:type="dxa"/>
            <w:vAlign w:val="bottom"/>
            <w:tcBorders>
              <w:right w:val="single" w:sz="8" w:color="0067B3"/>
            </w:tcBorders>
          </w:tcPr>
          <w:p>
            <w:pPr>
              <w:spacing w:after="0"/>
              <w:rPr>
                <w:sz w:val="5"/>
                <w:szCs w:val="5"/>
                <w:color w:val="auto"/>
              </w:rPr>
            </w:pPr>
          </w:p>
        </w:tc>
        <w:tc>
          <w:tcPr>
            <w:tcW w:w="200" w:type="dxa"/>
            <w:vAlign w:val="bottom"/>
          </w:tcPr>
          <w:p>
            <w:pPr>
              <w:spacing w:after="0"/>
              <w:rPr>
                <w:sz w:val="5"/>
                <w:szCs w:val="5"/>
                <w:color w:val="auto"/>
              </w:rPr>
            </w:pPr>
          </w:p>
        </w:tc>
        <w:tc>
          <w:tcPr>
            <w:tcW w:w="1760" w:type="dxa"/>
            <w:vAlign w:val="bottom"/>
            <w:vMerge w:val="continue"/>
            <w:shd w:val="clear" w:color="auto" w:fill="E6E7E8"/>
          </w:tcPr>
          <w:p>
            <w:pPr>
              <w:spacing w:after="0"/>
              <w:rPr>
                <w:sz w:val="5"/>
                <w:szCs w:val="5"/>
                <w:color w:val="auto"/>
              </w:rPr>
            </w:pPr>
          </w:p>
        </w:tc>
        <w:tc>
          <w:tcPr>
            <w:tcW w:w="0" w:type="dxa"/>
            <w:vAlign w:val="bottom"/>
          </w:tcPr>
          <w:p>
            <w:pPr>
              <w:spacing w:after="0"/>
              <w:rPr>
                <w:sz w:val="1"/>
                <w:szCs w:val="1"/>
                <w:color w:val="auto"/>
              </w:rPr>
            </w:pPr>
          </w:p>
        </w:tc>
      </w:tr>
      <w:tr>
        <w:trPr>
          <w:trHeight w:val="239"/>
        </w:trPr>
        <w:tc>
          <w:tcPr>
            <w:tcW w:w="1540" w:type="dxa"/>
            <w:vAlign w:val="bottom"/>
            <w:shd w:val="clear" w:color="auto" w:fill="CAD3EC"/>
          </w:tcPr>
          <w:p>
            <w:pPr>
              <w:spacing w:after="0"/>
              <w:rPr>
                <w:sz w:val="20"/>
                <w:szCs w:val="20"/>
                <w:color w:val="auto"/>
              </w:rPr>
            </w:pPr>
          </w:p>
        </w:tc>
        <w:tc>
          <w:tcPr>
            <w:tcW w:w="220" w:type="dxa"/>
            <w:vAlign w:val="bottom"/>
            <w:tcBorders>
              <w:right w:val="single" w:sz="8" w:color="0067B3"/>
            </w:tcBorders>
          </w:tcPr>
          <w:p>
            <w:pPr>
              <w:spacing w:after="0"/>
              <w:rPr>
                <w:sz w:val="20"/>
                <w:szCs w:val="20"/>
                <w:color w:val="auto"/>
              </w:rPr>
            </w:pPr>
          </w:p>
        </w:tc>
        <w:tc>
          <w:tcPr>
            <w:tcW w:w="1660" w:type="dxa"/>
            <w:vAlign w:val="bottom"/>
            <w:tcBorders>
              <w:right w:val="single" w:sz="8" w:color="0067B3"/>
            </w:tcBorders>
          </w:tcPr>
          <w:p>
            <w:pPr>
              <w:spacing w:after="0"/>
              <w:rPr>
                <w:sz w:val="20"/>
                <w:szCs w:val="20"/>
                <w:color w:val="auto"/>
              </w:rPr>
            </w:pPr>
          </w:p>
        </w:tc>
        <w:tc>
          <w:tcPr>
            <w:tcW w:w="220" w:type="dxa"/>
            <w:vAlign w:val="bottom"/>
            <w:tcBorders>
              <w:right w:val="single" w:sz="8" w:color="0067B3"/>
            </w:tcBorders>
          </w:tcPr>
          <w:p>
            <w:pPr>
              <w:spacing w:after="0"/>
              <w:rPr>
                <w:sz w:val="20"/>
                <w:szCs w:val="20"/>
                <w:color w:val="auto"/>
              </w:rPr>
            </w:pPr>
          </w:p>
        </w:tc>
        <w:tc>
          <w:tcPr>
            <w:tcW w:w="1820" w:type="dxa"/>
            <w:vAlign w:val="bottom"/>
            <w:tcBorders>
              <w:right w:val="single" w:sz="8" w:color="0067B3"/>
            </w:tcBorders>
          </w:tcPr>
          <w:p>
            <w:pPr>
              <w:spacing w:after="0"/>
              <w:rPr>
                <w:sz w:val="20"/>
                <w:szCs w:val="20"/>
                <w:color w:val="auto"/>
              </w:rPr>
            </w:pPr>
          </w:p>
        </w:tc>
        <w:tc>
          <w:tcPr>
            <w:tcW w:w="220" w:type="dxa"/>
            <w:vAlign w:val="bottom"/>
            <w:tcBorders>
              <w:right w:val="single" w:sz="8" w:color="0067B3"/>
            </w:tcBorders>
          </w:tcPr>
          <w:p>
            <w:pPr>
              <w:spacing w:after="0"/>
              <w:rPr>
                <w:sz w:val="20"/>
                <w:szCs w:val="20"/>
                <w:color w:val="auto"/>
              </w:rPr>
            </w:pPr>
          </w:p>
        </w:tc>
        <w:tc>
          <w:tcPr>
            <w:tcW w:w="1700" w:type="dxa"/>
            <w:vAlign w:val="bottom"/>
            <w:tcBorders>
              <w:right w:val="single" w:sz="8" w:color="0067B3"/>
            </w:tcBorders>
          </w:tcPr>
          <w:p>
            <w:pPr>
              <w:spacing w:after="0"/>
              <w:rPr>
                <w:sz w:val="20"/>
                <w:szCs w:val="20"/>
                <w:color w:val="auto"/>
              </w:rPr>
            </w:pPr>
          </w:p>
        </w:tc>
        <w:tc>
          <w:tcPr>
            <w:tcW w:w="220" w:type="dxa"/>
            <w:vAlign w:val="bottom"/>
            <w:tcBorders>
              <w:right w:val="single" w:sz="8" w:color="0067B3"/>
            </w:tcBorders>
          </w:tcPr>
          <w:p>
            <w:pPr>
              <w:spacing w:after="0"/>
              <w:rPr>
                <w:sz w:val="20"/>
                <w:szCs w:val="20"/>
                <w:color w:val="auto"/>
              </w:rPr>
            </w:pPr>
          </w:p>
        </w:tc>
        <w:tc>
          <w:tcPr>
            <w:tcW w:w="1680" w:type="dxa"/>
            <w:vAlign w:val="bottom"/>
            <w:tcBorders>
              <w:right w:val="single" w:sz="8" w:color="0067B3"/>
            </w:tcBorders>
          </w:tcPr>
          <w:p>
            <w:pPr>
              <w:spacing w:after="0"/>
              <w:rPr>
                <w:sz w:val="20"/>
                <w:szCs w:val="20"/>
                <w:color w:val="auto"/>
              </w:rPr>
            </w:pPr>
          </w:p>
        </w:tc>
        <w:tc>
          <w:tcPr>
            <w:tcW w:w="200" w:type="dxa"/>
            <w:vAlign w:val="bottom"/>
          </w:tcPr>
          <w:p>
            <w:pPr>
              <w:spacing w:after="0"/>
              <w:rPr>
                <w:sz w:val="20"/>
                <w:szCs w:val="20"/>
                <w:color w:val="auto"/>
              </w:rPr>
            </w:pPr>
          </w:p>
        </w:tc>
        <w:tc>
          <w:tcPr>
            <w:tcW w:w="1760" w:type="dxa"/>
            <w:vAlign w:val="bottom"/>
            <w:shd w:val="clear" w:color="auto" w:fill="E6E7E8"/>
          </w:tcPr>
          <w:p>
            <w:pPr>
              <w:jc w:val="center"/>
              <w:spacing w:after="0"/>
              <w:rPr>
                <w:sz w:val="20"/>
                <w:szCs w:val="20"/>
                <w:color w:val="auto"/>
              </w:rPr>
            </w:pPr>
            <w:r>
              <w:rPr>
                <w:rFonts w:ascii="Arial" w:cs="Arial" w:eastAsia="Arial" w:hAnsi="Arial"/>
                <w:sz w:val="18"/>
                <w:szCs w:val="18"/>
                <w:color w:val="auto"/>
                <w:w w:val="99"/>
              </w:rPr>
              <w:t>Chief Risk Officer</w:t>
            </w:r>
          </w:p>
        </w:tc>
        <w:tc>
          <w:tcPr>
            <w:tcW w:w="0" w:type="dxa"/>
            <w:vAlign w:val="bottom"/>
          </w:tcPr>
          <w:p>
            <w:pPr>
              <w:spacing w:after="0"/>
              <w:rPr>
                <w:sz w:val="1"/>
                <w:szCs w:val="1"/>
                <w:color w:val="auto"/>
              </w:rPr>
            </w:pPr>
          </w:p>
        </w:tc>
      </w:tr>
      <w:tr>
        <w:trPr>
          <w:trHeight w:val="131"/>
        </w:trPr>
        <w:tc>
          <w:tcPr>
            <w:tcW w:w="1540" w:type="dxa"/>
            <w:vAlign w:val="bottom"/>
            <w:shd w:val="clear" w:color="auto" w:fill="CAD3EC"/>
          </w:tcPr>
          <w:p>
            <w:pPr>
              <w:spacing w:after="0"/>
              <w:rPr>
                <w:sz w:val="11"/>
                <w:szCs w:val="11"/>
                <w:color w:val="auto"/>
              </w:rPr>
            </w:pPr>
          </w:p>
        </w:tc>
        <w:tc>
          <w:tcPr>
            <w:tcW w:w="220" w:type="dxa"/>
            <w:vAlign w:val="bottom"/>
            <w:tcBorders>
              <w:right w:val="single" w:sz="8" w:color="0067B3"/>
            </w:tcBorders>
          </w:tcPr>
          <w:p>
            <w:pPr>
              <w:spacing w:after="0"/>
              <w:rPr>
                <w:sz w:val="11"/>
                <w:szCs w:val="11"/>
                <w:color w:val="auto"/>
              </w:rPr>
            </w:pPr>
          </w:p>
        </w:tc>
        <w:tc>
          <w:tcPr>
            <w:tcW w:w="1660" w:type="dxa"/>
            <w:vAlign w:val="bottom"/>
            <w:tcBorders>
              <w:bottom w:val="single" w:sz="8" w:color="0067B3"/>
              <w:right w:val="single" w:sz="8" w:color="0067B3"/>
            </w:tcBorders>
          </w:tcPr>
          <w:p>
            <w:pPr>
              <w:spacing w:after="0"/>
              <w:rPr>
                <w:sz w:val="11"/>
                <w:szCs w:val="11"/>
                <w:color w:val="auto"/>
              </w:rPr>
            </w:pPr>
          </w:p>
        </w:tc>
        <w:tc>
          <w:tcPr>
            <w:tcW w:w="220" w:type="dxa"/>
            <w:vAlign w:val="bottom"/>
            <w:tcBorders>
              <w:right w:val="single" w:sz="8" w:color="0067B3"/>
            </w:tcBorders>
          </w:tcPr>
          <w:p>
            <w:pPr>
              <w:spacing w:after="0"/>
              <w:rPr>
                <w:sz w:val="11"/>
                <w:szCs w:val="11"/>
                <w:color w:val="auto"/>
              </w:rPr>
            </w:pPr>
          </w:p>
        </w:tc>
        <w:tc>
          <w:tcPr>
            <w:tcW w:w="1820" w:type="dxa"/>
            <w:vAlign w:val="bottom"/>
            <w:tcBorders>
              <w:bottom w:val="single" w:sz="8" w:color="0067B3"/>
              <w:right w:val="single" w:sz="8" w:color="0067B3"/>
            </w:tcBorders>
          </w:tcPr>
          <w:p>
            <w:pPr>
              <w:spacing w:after="0"/>
              <w:rPr>
                <w:sz w:val="11"/>
                <w:szCs w:val="11"/>
                <w:color w:val="auto"/>
              </w:rPr>
            </w:pPr>
          </w:p>
        </w:tc>
        <w:tc>
          <w:tcPr>
            <w:tcW w:w="220" w:type="dxa"/>
            <w:vAlign w:val="bottom"/>
            <w:tcBorders>
              <w:right w:val="single" w:sz="8" w:color="0067B3"/>
            </w:tcBorders>
          </w:tcPr>
          <w:p>
            <w:pPr>
              <w:spacing w:after="0"/>
              <w:rPr>
                <w:sz w:val="11"/>
                <w:szCs w:val="11"/>
                <w:color w:val="auto"/>
              </w:rPr>
            </w:pPr>
          </w:p>
        </w:tc>
        <w:tc>
          <w:tcPr>
            <w:tcW w:w="1700" w:type="dxa"/>
            <w:vAlign w:val="bottom"/>
            <w:tcBorders>
              <w:bottom w:val="single" w:sz="8" w:color="0067B3"/>
              <w:right w:val="single" w:sz="8" w:color="0067B3"/>
            </w:tcBorders>
          </w:tcPr>
          <w:p>
            <w:pPr>
              <w:spacing w:after="0"/>
              <w:rPr>
                <w:sz w:val="11"/>
                <w:szCs w:val="11"/>
                <w:color w:val="auto"/>
              </w:rPr>
            </w:pPr>
          </w:p>
        </w:tc>
        <w:tc>
          <w:tcPr>
            <w:tcW w:w="220" w:type="dxa"/>
            <w:vAlign w:val="bottom"/>
            <w:tcBorders>
              <w:right w:val="single" w:sz="8" w:color="0067B3"/>
            </w:tcBorders>
          </w:tcPr>
          <w:p>
            <w:pPr>
              <w:spacing w:after="0"/>
              <w:rPr>
                <w:sz w:val="11"/>
                <w:szCs w:val="11"/>
                <w:color w:val="auto"/>
              </w:rPr>
            </w:pPr>
          </w:p>
        </w:tc>
        <w:tc>
          <w:tcPr>
            <w:tcW w:w="1680" w:type="dxa"/>
            <w:vAlign w:val="bottom"/>
            <w:tcBorders>
              <w:bottom w:val="single" w:sz="8" w:color="0067B3"/>
              <w:right w:val="single" w:sz="8" w:color="0067B3"/>
            </w:tcBorders>
          </w:tcPr>
          <w:p>
            <w:pPr>
              <w:spacing w:after="0"/>
              <w:rPr>
                <w:sz w:val="11"/>
                <w:szCs w:val="11"/>
                <w:color w:val="auto"/>
              </w:rPr>
            </w:pPr>
          </w:p>
        </w:tc>
        <w:tc>
          <w:tcPr>
            <w:tcW w:w="200" w:type="dxa"/>
            <w:vAlign w:val="bottom"/>
          </w:tcPr>
          <w:p>
            <w:pPr>
              <w:spacing w:after="0"/>
              <w:rPr>
                <w:sz w:val="11"/>
                <w:szCs w:val="11"/>
                <w:color w:val="auto"/>
              </w:rPr>
            </w:pPr>
          </w:p>
        </w:tc>
        <w:tc>
          <w:tcPr>
            <w:tcW w:w="1760" w:type="dxa"/>
            <w:vAlign w:val="bottom"/>
            <w:shd w:val="clear" w:color="auto" w:fill="E6E7E8"/>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485140</wp:posOffset>
            </wp:positionH>
            <wp:positionV relativeFrom="paragraph">
              <wp:posOffset>214630</wp:posOffset>
            </wp:positionV>
            <wp:extent cx="6103620" cy="17970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6103620" cy="179705"/>
                    </a:xfrm>
                    <a:prstGeom prst="rect">
                      <a:avLst/>
                    </a:prstGeom>
                    <a:noFill/>
                  </pic:spPr>
                </pic:pic>
              </a:graphicData>
            </a:graphic>
          </wp:anchor>
        </w:drawing>
        <w:drawing>
          <wp:anchor simplePos="0" relativeHeight="251657728" behindDoc="1" locked="0" layoutInCell="0" allowOverlap="1">
            <wp:simplePos x="0" y="0"/>
            <wp:positionH relativeFrom="column">
              <wp:posOffset>433705</wp:posOffset>
            </wp:positionH>
            <wp:positionV relativeFrom="paragraph">
              <wp:posOffset>68580</wp:posOffset>
            </wp:positionV>
            <wp:extent cx="111125" cy="6858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111125" cy="68580"/>
                    </a:xfrm>
                    <a:prstGeom prst="rect">
                      <a:avLst/>
                    </a:prstGeom>
                    <a:noFill/>
                  </pic:spPr>
                </pic:pic>
              </a:graphicData>
            </a:graphic>
          </wp:anchor>
        </w:drawing>
        <w:drawing>
          <wp:anchor simplePos="0" relativeHeight="251657728" behindDoc="1" locked="0" layoutInCell="0" allowOverlap="1">
            <wp:simplePos x="0" y="0"/>
            <wp:positionH relativeFrom="column">
              <wp:posOffset>1573530</wp:posOffset>
            </wp:positionH>
            <wp:positionV relativeFrom="paragraph">
              <wp:posOffset>68580</wp:posOffset>
            </wp:positionV>
            <wp:extent cx="111125" cy="6858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111125" cy="68580"/>
                    </a:xfrm>
                    <a:prstGeom prst="rect">
                      <a:avLst/>
                    </a:prstGeom>
                    <a:noFill/>
                  </pic:spPr>
                </pic:pic>
              </a:graphicData>
            </a:graphic>
          </wp:anchor>
        </w:drawing>
        <w:drawing>
          <wp:anchor simplePos="0" relativeHeight="251657728" behindDoc="1" locked="0" layoutInCell="0" allowOverlap="1">
            <wp:simplePos x="0" y="0"/>
            <wp:positionH relativeFrom="column">
              <wp:posOffset>2816860</wp:posOffset>
            </wp:positionH>
            <wp:positionV relativeFrom="paragraph">
              <wp:posOffset>68580</wp:posOffset>
            </wp:positionV>
            <wp:extent cx="111125" cy="6858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111125" cy="68580"/>
                    </a:xfrm>
                    <a:prstGeom prst="rect">
                      <a:avLst/>
                    </a:prstGeom>
                    <a:noFill/>
                  </pic:spPr>
                </pic:pic>
              </a:graphicData>
            </a:graphic>
          </wp:anchor>
        </w:drawing>
        <w:drawing>
          <wp:anchor simplePos="0" relativeHeight="251657728" behindDoc="1" locked="0" layoutInCell="0" allowOverlap="1">
            <wp:simplePos x="0" y="0"/>
            <wp:positionH relativeFrom="column">
              <wp:posOffset>4076700</wp:posOffset>
            </wp:positionH>
            <wp:positionV relativeFrom="paragraph">
              <wp:posOffset>68580</wp:posOffset>
            </wp:positionV>
            <wp:extent cx="111125" cy="6858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111125" cy="68580"/>
                    </a:xfrm>
                    <a:prstGeom prst="rect">
                      <a:avLst/>
                    </a:prstGeom>
                    <a:noFill/>
                  </pic:spPr>
                </pic:pic>
              </a:graphicData>
            </a:graphic>
          </wp:anchor>
        </w:drawing>
        <w:drawing>
          <wp:anchor simplePos="0" relativeHeight="251657728" behindDoc="1" locked="0" layoutInCell="0" allowOverlap="1">
            <wp:simplePos x="0" y="0"/>
            <wp:positionH relativeFrom="column">
              <wp:posOffset>5285740</wp:posOffset>
            </wp:positionH>
            <wp:positionV relativeFrom="paragraph">
              <wp:posOffset>68580</wp:posOffset>
            </wp:positionV>
            <wp:extent cx="111125" cy="6858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111125" cy="68580"/>
                    </a:xfrm>
                    <a:prstGeom prst="rect">
                      <a:avLst/>
                    </a:prstGeom>
                    <a:noFill/>
                  </pic:spPr>
                </pic:pic>
              </a:graphicData>
            </a:graphic>
          </wp:anchor>
        </w:drawing>
        <w:drawing>
          <wp:anchor simplePos="0" relativeHeight="251657728" behindDoc="1" locked="0" layoutInCell="0" allowOverlap="1">
            <wp:simplePos x="0" y="0"/>
            <wp:positionH relativeFrom="column">
              <wp:posOffset>6528435</wp:posOffset>
            </wp:positionH>
            <wp:positionV relativeFrom="paragraph">
              <wp:posOffset>68580</wp:posOffset>
            </wp:positionV>
            <wp:extent cx="111760" cy="6858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111760" cy="685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both"/>
        <w:ind w:right="60"/>
        <w:spacing w:after="0" w:line="268" w:lineRule="auto"/>
        <w:rPr>
          <w:sz w:val="20"/>
          <w:szCs w:val="20"/>
          <w:color w:val="auto"/>
        </w:rPr>
      </w:pPr>
      <w:r>
        <w:rPr>
          <w:rFonts w:ascii="Arial" w:cs="Arial" w:eastAsia="Arial" w:hAnsi="Arial"/>
          <w:sz w:val="18"/>
          <w:szCs w:val="18"/>
          <w:color w:val="auto"/>
        </w:rPr>
        <w:t>Enterprise risk management is a company-wide initiative that involves ADI management, including our Chief Legal Officer, Chief Risk Officer, and our internal audit function, including our Managing Director, Internal Audit, working together to (1) identify, assess, prioritize, and monitor a broad range of risks and (2) formulate and execute plans to monitor and, to the extent possible, mitigate the effect of those risks.</w:t>
      </w:r>
    </w:p>
    <w:p>
      <w:pPr>
        <w:spacing w:after="0" w:line="160" w:lineRule="exact"/>
        <w:rPr>
          <w:sz w:val="20"/>
          <w:szCs w:val="20"/>
          <w:color w:val="auto"/>
        </w:rPr>
      </w:pPr>
    </w:p>
    <w:p>
      <w:pPr>
        <w:spacing w:after="0"/>
        <w:rPr>
          <w:sz w:val="20"/>
          <w:szCs w:val="20"/>
          <w:color w:val="auto"/>
        </w:rPr>
      </w:pPr>
      <w:r>
        <w:rPr>
          <w:rFonts w:ascii="Arial" w:cs="Arial" w:eastAsia="Arial" w:hAnsi="Arial"/>
          <w:sz w:val="27"/>
          <w:szCs w:val="27"/>
          <w:b w:val="1"/>
          <w:bCs w:val="1"/>
          <w:color w:val="0067B3"/>
        </w:rPr>
        <w:t>Cybersecurity Oversight and Risk Management</w:t>
      </w:r>
    </w:p>
    <w:p>
      <w:pPr>
        <w:spacing w:after="0" w:line="146"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color w:val="auto"/>
        </w:rPr>
        <w:t>We regularly perform risk assessments relating to cybersecurity and technology. Our enterprise security program has been developed based on industry standards, including those published by the International Organization for Standardization (ISO) and the National Institute of Standards and Technology.</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Highlights of the program include:</w:t>
      </w:r>
    </w:p>
    <w:p>
      <w:pPr>
        <w:spacing w:after="0" w:line="117" w:lineRule="exact"/>
        <w:rPr>
          <w:sz w:val="20"/>
          <w:szCs w:val="20"/>
          <w:color w:val="auto"/>
        </w:rPr>
      </w:pPr>
    </w:p>
    <w:p>
      <w:pPr>
        <w:ind w:left="160" w:hanging="152"/>
        <w:spacing w:after="0"/>
        <w:tabs>
          <w:tab w:leader="none" w:pos="160" w:val="left"/>
        </w:tabs>
        <w:numPr>
          <w:ilvl w:val="0"/>
          <w:numId w:val="50"/>
        </w:numPr>
        <w:rPr>
          <w:rFonts w:ascii="Arial" w:cs="Arial" w:eastAsia="Arial" w:hAnsi="Arial"/>
          <w:sz w:val="13"/>
          <w:szCs w:val="13"/>
          <w:color w:val="0067B3"/>
        </w:rPr>
      </w:pPr>
      <w:r>
        <w:rPr>
          <w:rFonts w:ascii="Arial" w:cs="Arial" w:eastAsia="Arial" w:hAnsi="Arial"/>
          <w:sz w:val="18"/>
          <w:szCs w:val="18"/>
          <w:color w:val="auto"/>
        </w:rPr>
        <w:t>A comprehensive set of enterprise security policies and procedures that guide our protection strategy.</w:t>
      </w:r>
    </w:p>
    <w:p>
      <w:pPr>
        <w:spacing w:after="0" w:line="76" w:lineRule="exact"/>
        <w:rPr>
          <w:rFonts w:ascii="Arial" w:cs="Arial" w:eastAsia="Arial" w:hAnsi="Arial"/>
          <w:sz w:val="13"/>
          <w:szCs w:val="13"/>
          <w:color w:val="0067B3"/>
        </w:rPr>
      </w:pPr>
    </w:p>
    <w:p>
      <w:pPr>
        <w:ind w:left="200" w:right="180" w:hanging="192"/>
        <w:spacing w:after="0" w:line="262" w:lineRule="auto"/>
        <w:tabs>
          <w:tab w:leader="none" w:pos="157" w:val="left"/>
        </w:tabs>
        <w:numPr>
          <w:ilvl w:val="0"/>
          <w:numId w:val="50"/>
        </w:numPr>
        <w:rPr>
          <w:rFonts w:ascii="Arial" w:cs="Arial" w:eastAsia="Arial" w:hAnsi="Arial"/>
          <w:sz w:val="13"/>
          <w:szCs w:val="13"/>
          <w:color w:val="0067B3"/>
        </w:rPr>
      </w:pPr>
      <w:r>
        <w:rPr>
          <w:rFonts w:ascii="Arial" w:cs="Arial" w:eastAsia="Arial" w:hAnsi="Arial"/>
          <w:sz w:val="18"/>
          <w:szCs w:val="18"/>
          <w:color w:val="auto"/>
        </w:rPr>
        <w:t>Protecting against threats through use of the following measures: identifying critical assets and high-risk threats; implementing cybersecurity detection, controls, and remediation practices; implementing a third-party risk management program to evaluate our critical partners’ cyber posture; maintaining a comprehensive set of cybersecurity policies and procedures and cybersecurity incident insurance coverage; and evaluating our program effectiveness by performing internal and external assessments.</w:t>
      </w:r>
    </w:p>
    <w:p>
      <w:pPr>
        <w:spacing w:after="0" w:line="68" w:lineRule="exact"/>
        <w:rPr>
          <w:sz w:val="20"/>
          <w:szCs w:val="20"/>
          <w:color w:val="auto"/>
        </w:rPr>
      </w:pPr>
    </w:p>
    <w:p>
      <w:pPr>
        <w:spacing w:after="0"/>
        <w:rPr>
          <w:sz w:val="20"/>
          <w:szCs w:val="20"/>
          <w:color w:val="auto"/>
        </w:rPr>
      </w:pPr>
      <w:r>
        <w:rPr>
          <w:rFonts w:ascii="Arial" w:cs="Arial" w:eastAsia="Arial" w:hAnsi="Arial"/>
          <w:sz w:val="18"/>
          <w:szCs w:val="18"/>
          <w:color w:val="auto"/>
        </w:rPr>
        <w:t>Risks identified by our enterprise security program are analyzed to determine the potential impact on us and the likelihood of occurrence.</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Such risks are regularly monitored to ensure that the circumstances and severity of such risks have not changed.</w:t>
      </w:r>
    </w:p>
    <w:p>
      <w:pPr>
        <w:spacing w:after="0" w:line="99"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We conduct regular workforce training to instruct employees to identify cybersecurity concerns and take the appropriate action. We install and regularly update antivirus software on all company-managed systems and workstations to detect and prevent malicious code from impacting our systems. In addition, we have a product security team focused on integrating risk and security best practices into our product development life cycle. Periodically, we are assessed by an independent information systems expert to determine both the adequacy of, and compliance with, controls and standards.</w:t>
      </w:r>
    </w:p>
    <w:p>
      <w:pPr>
        <w:spacing w:after="0" w:line="71" w:lineRule="exact"/>
        <w:rPr>
          <w:sz w:val="20"/>
          <w:szCs w:val="20"/>
          <w:color w:val="auto"/>
        </w:rPr>
      </w:pPr>
    </w:p>
    <w:p>
      <w:pPr>
        <w:ind w:right="320"/>
        <w:spacing w:after="0" w:line="262" w:lineRule="auto"/>
        <w:rPr>
          <w:sz w:val="20"/>
          <w:szCs w:val="20"/>
          <w:color w:val="auto"/>
        </w:rPr>
      </w:pPr>
      <w:r>
        <w:rPr>
          <w:rFonts w:ascii="Arial" w:cs="Arial" w:eastAsia="Arial" w:hAnsi="Arial"/>
          <w:sz w:val="18"/>
          <w:szCs w:val="18"/>
          <w:color w:val="auto"/>
        </w:rPr>
        <w:t>We also have a management-led cross-functional steering committee chaired by our Chief Information Security Officer (Cybersecurity Steering Committee) that is charged with overseeing security governance, coordination and monitoring of cyber risks, potential cyber incidents, and key mitigation initiatives. Any relevant findings of this committee are shared in quarterly reports to the Audit Committee and annual reports to the Board of Directors.</w:t>
      </w:r>
    </w:p>
    <w:p>
      <w:pPr>
        <w:spacing w:after="0" w:line="68"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Two of our director nominees have cybersecurity expertise to assist the Board of Directors in its oversight of ADI’s information security program. In addition, the Audit Committee oversees our cybersecurity and information security programs, practices, and risk mitigation efforts. In its oversight role, the Audit Committee receives quarterly updates from our Chief Information Officer and Chief Information Security Officer covering key information technology (IT) projects, enterprise cybersecurity programs, and data protection risks, and mitigation related to such risks. In addition, our Managing Director, Internal Audit reports to the Audit Committee regularly on the performance of our cybersecurity and information security program from an internal audit perspective. Further, our Chief Information Officer and Chief Information Security Officer update the full Board of Directors annually on information security matters and risk, including cybersecurity.</w:t>
      </w:r>
    </w:p>
    <w:p>
      <w:pPr>
        <w:sectPr>
          <w:pgSz w:w="11900" w:h="16838" w:orient="portrait"/>
          <w:cols w:equalWidth="0" w:num="1">
            <w:col w:w="11240"/>
          </w:cols>
          <w:pgMar w:left="320" w:top="1174" w:right="339" w:bottom="1440" w:gutter="0" w:footer="0" w:header="0"/>
        </w:sectPr>
      </w:pPr>
    </w:p>
    <w:p>
      <w:pPr>
        <w:spacing w:after="0" w:line="200" w:lineRule="exact"/>
        <w:rPr>
          <w:sz w:val="20"/>
          <w:szCs w:val="20"/>
          <w:color w:val="auto"/>
        </w:rPr>
      </w:pPr>
    </w:p>
    <w:p>
      <w:pPr>
        <w:spacing w:after="0" w:line="248" w:lineRule="exact"/>
        <w:rPr>
          <w:sz w:val="20"/>
          <w:szCs w:val="20"/>
          <w:color w:val="auto"/>
        </w:rPr>
      </w:pPr>
    </w:p>
    <w:p>
      <w:pPr>
        <w:ind w:left="8980"/>
        <w:spacing w:after="0"/>
        <w:tabs>
          <w:tab w:leader="none" w:pos="10980" w:val="left"/>
        </w:tabs>
        <w:rPr>
          <w:sz w:val="20"/>
          <w:szCs w:val="20"/>
          <w:color w:val="auto"/>
        </w:rPr>
      </w:pPr>
      <w:r>
        <w:rPr>
          <w:rFonts w:ascii="Arial" w:cs="Arial" w:eastAsia="Arial" w:hAnsi="Arial"/>
          <w:sz w:val="16"/>
          <w:szCs w:val="16"/>
          <w:color w:val="0067B3"/>
        </w:rPr>
        <w:t>2026 Proxy Statement</w:t>
      </w:r>
      <w:r>
        <w:rPr>
          <w:sz w:val="20"/>
          <w:szCs w:val="20"/>
          <w:color w:val="auto"/>
        </w:rPr>
        <w:tab/>
      </w:r>
      <w:r>
        <w:rPr>
          <w:rFonts w:ascii="Arial" w:cs="Arial" w:eastAsia="Arial" w:hAnsi="Arial"/>
          <w:sz w:val="19"/>
          <w:szCs w:val="19"/>
          <w:b w:val="1"/>
          <w:bCs w:val="1"/>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223520</wp:posOffset>
            </wp:positionV>
            <wp:extent cx="7157720" cy="4254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4" w:right="339" w:bottom="1440" w:gutter="0" w:footer="0" w:header="0"/>
          <w:type w:val="continuous"/>
        </w:sectPr>
      </w:pPr>
    </w:p>
    <w:bookmarkStart w:id="37" w:name="page38"/>
    <w:bookmarkEnd w:id="37"/>
    <w:p>
      <w:pPr>
        <w:spacing w:after="0"/>
        <w:rPr>
          <w:sz w:val="20"/>
          <w:szCs w:val="20"/>
          <w:color w:val="auto"/>
        </w:rPr>
      </w:pPr>
      <w:r>
        <w:rPr>
          <w:rFonts w:ascii="Arial" w:cs="Arial" w:eastAsia="Arial" w:hAnsi="Arial"/>
          <w:sz w:val="27"/>
          <w:szCs w:val="27"/>
          <w:b w:val="1"/>
          <w:bCs w:val="1"/>
          <w:color w:val="0067B3"/>
        </w:rPr>
        <w:t>Oversight of Artificial Intelligence Matters</w:t>
      </w:r>
    </w:p>
    <w:p>
      <w:pPr>
        <w:spacing w:after="0" w:line="146"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We incorporate AI capabilities across our technologies, business operations, products, and services to enhance performance and drive smarter, more efficient solutions. The Board of Directors receives regular updates on our AI strategy and risks related to AI are reviewed through our enterprise risk assessment and risk management program, which is primarily overseen by the Audit Committee. In addition, our Responsible AI Office supports AI oversight across our organization. We are committed to the responsible use of technology for the betterment of humanity and the planet, and our Responsible AI @ ADI statement sets forth the guiding principles that we employ to facilitate the responsible use of AI in our products, during our product development efforts, and in our business operations. We also have an overarching AI policy for our employees that includes guidance to drive compliance with ethical AI principles and regulatory requirements, including generative AI tools and responsible AI usage.</w:t>
      </w:r>
    </w:p>
    <w:p>
      <w:pPr>
        <w:spacing w:after="0" w:line="174" w:lineRule="exact"/>
        <w:rPr>
          <w:sz w:val="20"/>
          <w:szCs w:val="20"/>
          <w:color w:val="auto"/>
        </w:rPr>
      </w:pPr>
    </w:p>
    <w:p>
      <w:pPr>
        <w:spacing w:after="0"/>
        <w:rPr>
          <w:sz w:val="20"/>
          <w:szCs w:val="20"/>
          <w:color w:val="auto"/>
        </w:rPr>
      </w:pPr>
      <w:r>
        <w:rPr>
          <w:rFonts w:ascii="Arial" w:cs="Arial" w:eastAsia="Arial" w:hAnsi="Arial"/>
          <w:sz w:val="27"/>
          <w:szCs w:val="27"/>
          <w:b w:val="1"/>
          <w:bCs w:val="1"/>
          <w:color w:val="0067B3"/>
        </w:rPr>
        <w:t>ESG Oversight</w:t>
      </w:r>
    </w:p>
    <w:p>
      <w:pPr>
        <w:spacing w:after="0" w:line="146" w:lineRule="exact"/>
        <w:rPr>
          <w:sz w:val="20"/>
          <w:szCs w:val="20"/>
          <w:color w:val="auto"/>
        </w:rPr>
      </w:pPr>
    </w:p>
    <w:p>
      <w:pPr>
        <w:ind w:right="200"/>
        <w:spacing w:after="0" w:line="257" w:lineRule="auto"/>
        <w:rPr>
          <w:sz w:val="20"/>
          <w:szCs w:val="20"/>
          <w:color w:val="auto"/>
        </w:rPr>
      </w:pPr>
      <w:r>
        <w:rPr>
          <w:rFonts w:ascii="Arial" w:cs="Arial" w:eastAsia="Arial" w:hAnsi="Arial"/>
          <w:sz w:val="18"/>
          <w:szCs w:val="18"/>
          <w:color w:val="auto"/>
        </w:rPr>
        <w:t>Our ESG program is led by our CEO, Leadership Team, and roles exclusively devoted to ESG matters. The Nominating and Corporate Governance Committee oversees ADI’s ESG programs, practices, and reporting, including issues of significance relating to climate, sustainability, and social and governance activities. The Nominating and Corporate Governance Committee reviews and discusses with management our sustainability initiatives and goals, and evaluates our progress towards achieving those objectives. The Nominating and Corporate Governance Committee receives quarterly updates on our progress against stated targets, as well as updates on topics such as stakeholder value, risks and opportunities, regulatory preparedness, ESG ratings, and key ESG focus areas.</w:t>
      </w:r>
    </w:p>
    <w:p>
      <w:pPr>
        <w:spacing w:after="0" w:line="74"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Management reports quarterly to the Nominating and Corporate Governance Committee on ESG topics, providing updates on key metrics and progress. These ESG reports also include educational components to keep our Board of Directors abreast of the quickly changing ESG regulatory environment, as well as evolving practices, risk oversight, mitigation strategies, and other relevant ESG topics. Our ESG executive council is led by the central ESG team and is composed of in-house subject matter experts in areas including human resources, procurement, environment, health, and safety, legal, risk, and compliance and ethics. This council meets regularly and provides program updates. These highlight advancements, regulatory updates, and risks, and provide the foundation for updates to our Leadership Team and Nominating and Corporate Governance Committee.</w:t>
      </w:r>
    </w:p>
    <w:p>
      <w:pPr>
        <w:spacing w:after="0" w:line="172" w:lineRule="exact"/>
        <w:rPr>
          <w:sz w:val="20"/>
          <w:szCs w:val="20"/>
          <w:color w:val="auto"/>
        </w:rPr>
      </w:pPr>
    </w:p>
    <w:p>
      <w:pPr>
        <w:spacing w:after="0"/>
        <w:rPr>
          <w:sz w:val="20"/>
          <w:szCs w:val="20"/>
          <w:color w:val="auto"/>
        </w:rPr>
      </w:pPr>
      <w:r>
        <w:rPr>
          <w:rFonts w:ascii="Arial" w:cs="Arial" w:eastAsia="Arial" w:hAnsi="Arial"/>
          <w:sz w:val="27"/>
          <w:szCs w:val="27"/>
          <w:b w:val="1"/>
          <w:bCs w:val="1"/>
          <w:color w:val="0067B3"/>
        </w:rPr>
        <w:t>Human Capital Management Oversight</w:t>
      </w:r>
    </w:p>
    <w:p>
      <w:pPr>
        <w:spacing w:after="0" w:line="132" w:lineRule="exact"/>
        <w:rPr>
          <w:sz w:val="20"/>
          <w:szCs w:val="20"/>
          <w:color w:val="auto"/>
        </w:rPr>
      </w:pPr>
    </w:p>
    <w:p>
      <w:pPr>
        <w:ind w:right="20"/>
        <w:spacing w:after="0" w:line="278" w:lineRule="auto"/>
        <w:rPr>
          <w:sz w:val="20"/>
          <w:szCs w:val="20"/>
          <w:color w:val="auto"/>
        </w:rPr>
      </w:pPr>
      <w:r>
        <w:rPr>
          <w:rFonts w:ascii="Arial" w:cs="Arial" w:eastAsia="Arial" w:hAnsi="Arial"/>
          <w:sz w:val="17"/>
          <w:szCs w:val="17"/>
          <w:color w:val="auto"/>
        </w:rPr>
        <w:t>Our Compensation and Talent Committee is responsible for oversight for ADI’s enterprise-level strategies and programs relating to human capital management. ADI’s approach to human capital management is wide-reaching and encompasses many facets of our business, including those with respect to diversity, equity and inclusion, talent recruitment and development, retention, employee engagement, pay equity practices, workplace health and safety, and cultural initiatives. Our Chief People Officer provides regular updates to our Compensation and Talent Committee and the Board of Directors regarding human capital initiatives, risks, and mitigation efforts related to identified risks.</w:t>
      </w:r>
    </w:p>
    <w:p>
      <w:pPr>
        <w:spacing w:after="0" w:line="153" w:lineRule="exact"/>
        <w:rPr>
          <w:sz w:val="20"/>
          <w:szCs w:val="20"/>
          <w:color w:val="auto"/>
        </w:rPr>
      </w:pPr>
    </w:p>
    <w:p>
      <w:pPr>
        <w:spacing w:after="0"/>
        <w:rPr>
          <w:sz w:val="20"/>
          <w:szCs w:val="20"/>
          <w:color w:val="auto"/>
        </w:rPr>
      </w:pPr>
      <w:r>
        <w:rPr>
          <w:rFonts w:ascii="Arial" w:cs="Arial" w:eastAsia="Arial" w:hAnsi="Arial"/>
          <w:sz w:val="27"/>
          <w:szCs w:val="27"/>
          <w:b w:val="1"/>
          <w:bCs w:val="1"/>
          <w:color w:val="0067B3"/>
        </w:rPr>
        <w:t>Succession Planning</w:t>
      </w:r>
    </w:p>
    <w:p>
      <w:pPr>
        <w:spacing w:after="0" w:line="146" w:lineRule="exact"/>
        <w:rPr>
          <w:sz w:val="20"/>
          <w:szCs w:val="20"/>
          <w:color w:val="auto"/>
        </w:rPr>
      </w:pPr>
    </w:p>
    <w:p>
      <w:pPr>
        <w:ind w:right="200"/>
        <w:spacing w:after="0" w:line="268" w:lineRule="auto"/>
        <w:rPr>
          <w:sz w:val="20"/>
          <w:szCs w:val="20"/>
          <w:color w:val="auto"/>
        </w:rPr>
      </w:pPr>
      <w:r>
        <w:rPr>
          <w:rFonts w:ascii="Arial" w:cs="Arial" w:eastAsia="Arial" w:hAnsi="Arial"/>
          <w:sz w:val="18"/>
          <w:szCs w:val="18"/>
          <w:color w:val="auto"/>
        </w:rPr>
        <w:t>As reflected in our Corporate Governance Guidelines, one of our Board of Directors’ primary responsibilities includes reviewing Leadership Team succession plans. The Compensation and Talent Committee is responsible for evaluating potential successors to the CEO with the Board of Directors’ assistance and, based on recommendations from the CEO, other members of the Leadership Team.</w:t>
      </w:r>
    </w:p>
    <w:p>
      <w:pPr>
        <w:spacing w:after="0" w:line="63"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Succession planning is discussed regularly in Board of Directors and Compensation and Talent Committee executive sessions. On an annual basis, management prepares an analysis regarding skills, competencies, and readiness of potential succession candidates across Leadership Team positions. This analysis is presented to the Board of Directors, and the Board of Directors then engages in robust discussions regarding the skills, competencies, and readiness levels of succession candidates. The discussion also includes a review of contingency plans in the event the CEO is unable to serve for any reason (including death or disability).</w:t>
      </w:r>
    </w:p>
    <w:p>
      <w:pPr>
        <w:spacing w:after="0" w:line="71" w:lineRule="exact"/>
        <w:rPr>
          <w:sz w:val="20"/>
          <w:szCs w:val="20"/>
          <w:color w:val="auto"/>
        </w:rPr>
      </w:pPr>
    </w:p>
    <w:p>
      <w:pPr>
        <w:ind w:right="560"/>
        <w:spacing w:after="0" w:line="291" w:lineRule="auto"/>
        <w:rPr>
          <w:sz w:val="20"/>
          <w:szCs w:val="20"/>
          <w:color w:val="auto"/>
        </w:rPr>
      </w:pPr>
      <w:r>
        <w:rPr>
          <w:rFonts w:ascii="Arial" w:cs="Arial" w:eastAsia="Arial" w:hAnsi="Arial"/>
          <w:sz w:val="17"/>
          <w:szCs w:val="17"/>
          <w:color w:val="auto"/>
        </w:rPr>
        <w:t>The Compensation and Talent Committee periodically reviews our strategies and programs related to succession planning and talent development, which includes transitional leadership planning in the event of an unplanned vacancy for any Leadership Team role. The Compensation and Talent Committee is also updated regularly throughout the year on key talent indicators for the overall workforce.</w:t>
      </w:r>
    </w:p>
    <w:p>
      <w:pPr>
        <w:spacing w:after="0" w:line="200" w:lineRule="exact"/>
        <w:rPr>
          <w:sz w:val="20"/>
          <w:szCs w:val="20"/>
          <w:color w:val="auto"/>
        </w:rPr>
      </w:pPr>
    </w:p>
    <w:p>
      <w:pPr>
        <w:spacing w:after="0" w:line="266" w:lineRule="exact"/>
        <w:rPr>
          <w:sz w:val="20"/>
          <w:szCs w:val="20"/>
          <w:color w:val="auto"/>
        </w:rPr>
      </w:pPr>
    </w:p>
    <w:p>
      <w:pPr>
        <w:ind w:left="640" w:hanging="614"/>
        <w:spacing w:after="0"/>
        <w:tabs>
          <w:tab w:leader="none" w:pos="640" w:val="left"/>
        </w:tabs>
        <w:numPr>
          <w:ilvl w:val="0"/>
          <w:numId w:val="51"/>
        </w:numPr>
        <w:rPr>
          <w:rFonts w:ascii="Arial" w:cs="Arial" w:eastAsia="Arial" w:hAnsi="Arial"/>
          <w:sz w:val="20"/>
          <w:szCs w:val="20"/>
          <w:b w:val="1"/>
          <w:bCs w:val="1"/>
          <w:color w:val="auto"/>
        </w:rPr>
      </w:pPr>
      <w:r>
        <w:rPr>
          <w:rFonts w:ascii="Arial" w:cs="Arial" w:eastAsia="Arial" w:hAnsi="Arial"/>
          <w:sz w:val="16"/>
          <w:szCs w:val="16"/>
          <w:color w:val="6D6E71"/>
        </w:rPr>
        <w:t>Corporate Governance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186055</wp:posOffset>
            </wp:positionV>
            <wp:extent cx="7157720" cy="4254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71" w:right="359" w:bottom="1440" w:gutter="0" w:footer="0" w:header="0"/>
        </w:sectPr>
      </w:pPr>
    </w:p>
    <w:bookmarkStart w:id="38" w:name="page39"/>
    <w:bookmarkEnd w:id="38"/>
    <w:p>
      <w:pPr>
        <w:spacing w:after="0"/>
        <w:rPr>
          <w:sz w:val="20"/>
          <w:szCs w:val="20"/>
          <w:color w:val="auto"/>
        </w:rPr>
      </w:pPr>
      <w:r>
        <w:rPr>
          <w:rFonts w:ascii="Arial" w:cs="Arial" w:eastAsia="Arial" w:hAnsi="Arial"/>
          <w:sz w:val="27"/>
          <w:szCs w:val="27"/>
          <w:b w:val="1"/>
          <w:bCs w:val="1"/>
          <w:color w:val="0067B3"/>
        </w:rPr>
        <w:t>Shareholder Engagement</w:t>
      </w:r>
    </w:p>
    <w:p>
      <w:pPr>
        <w:spacing w:after="0" w:line="146" w:lineRule="exact"/>
        <w:rPr>
          <w:sz w:val="20"/>
          <w:szCs w:val="20"/>
          <w:color w:val="auto"/>
        </w:rPr>
      </w:pPr>
    </w:p>
    <w:p>
      <w:pPr>
        <w:ind w:right="400"/>
        <w:spacing w:after="0" w:line="268" w:lineRule="auto"/>
        <w:rPr>
          <w:sz w:val="20"/>
          <w:szCs w:val="20"/>
          <w:color w:val="auto"/>
        </w:rPr>
      </w:pPr>
      <w:r>
        <w:rPr>
          <w:rFonts w:ascii="Arial" w:cs="Arial" w:eastAsia="Arial" w:hAnsi="Arial"/>
          <w:sz w:val="18"/>
          <w:szCs w:val="18"/>
          <w:color w:val="auto"/>
        </w:rPr>
        <w:t>We conduct extensive investor outreach throughout the year involving our independent directors, senior management, investor relations, legal, and human resources departments. This helps management and our Board of Directors understand and focus on the issues that matter most to our shareholders, so ADI can address them effectively.</w:t>
      </w:r>
    </w:p>
    <w:p>
      <w:pPr>
        <w:spacing w:after="0" w:line="63" w:lineRule="exact"/>
        <w:rPr>
          <w:sz w:val="20"/>
          <w:szCs w:val="20"/>
          <w:color w:val="auto"/>
        </w:rPr>
      </w:pPr>
    </w:p>
    <w:p>
      <w:pPr>
        <w:ind w:right="460"/>
        <w:spacing w:after="0" w:line="287" w:lineRule="auto"/>
        <w:rPr>
          <w:sz w:val="20"/>
          <w:szCs w:val="20"/>
          <w:color w:val="auto"/>
        </w:rPr>
      </w:pPr>
      <w:r>
        <w:rPr>
          <w:rFonts w:ascii="Arial" w:cs="Arial" w:eastAsia="Arial" w:hAnsi="Arial"/>
          <w:sz w:val="18"/>
          <w:szCs w:val="18"/>
          <w:color w:val="auto"/>
        </w:rPr>
        <w:t>Since our inception as a public company, we have maintained an active engagement program with our shareholders, meeting with them extensively throughout the year as part of our investor outreach efforts.</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b w:val="1"/>
          <w:bCs w:val="1"/>
          <w:color w:val="0067B3"/>
        </w:rPr>
        <w:t>How We Engage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64770</wp:posOffset>
            </wp:positionH>
            <wp:positionV relativeFrom="paragraph">
              <wp:posOffset>103505</wp:posOffset>
            </wp:positionV>
            <wp:extent cx="6995160" cy="198056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6995160" cy="1980565"/>
                    </a:xfrm>
                    <a:prstGeom prst="rect">
                      <a:avLst/>
                    </a:prstGeom>
                    <a:noFill/>
                  </pic:spPr>
                </pic:pic>
              </a:graphicData>
            </a:graphic>
          </wp:anchor>
        </w:drawing>
      </w:r>
    </w:p>
    <w:p>
      <w:pPr>
        <w:sectPr>
          <w:pgSz w:w="11900" w:h="16838" w:orient="portrait"/>
          <w:cols w:equalWidth="0" w:num="1">
            <w:col w:w="11240"/>
          </w:cols>
          <w:pgMar w:left="320" w:top="1271" w:right="339" w:bottom="1440" w:gutter="0" w:footer="0" w:header="0"/>
        </w:sectPr>
      </w:pPr>
    </w:p>
    <w:p>
      <w:pPr>
        <w:spacing w:after="0" w:line="200" w:lineRule="exact"/>
        <w:rPr>
          <w:sz w:val="20"/>
          <w:szCs w:val="20"/>
          <w:color w:val="auto"/>
        </w:rPr>
      </w:pPr>
    </w:p>
    <w:p>
      <w:pPr>
        <w:spacing w:after="0" w:line="390" w:lineRule="exact"/>
        <w:rPr>
          <w:sz w:val="20"/>
          <w:szCs w:val="20"/>
          <w:color w:val="auto"/>
        </w:rPr>
      </w:pPr>
    </w:p>
    <w:p>
      <w:pPr>
        <w:ind w:left="1040"/>
        <w:spacing w:after="0"/>
        <w:rPr>
          <w:sz w:val="20"/>
          <w:szCs w:val="20"/>
          <w:color w:val="auto"/>
        </w:rPr>
      </w:pPr>
      <w:r>
        <w:rPr>
          <w:rFonts w:ascii="Arial" w:cs="Arial" w:eastAsia="Arial" w:hAnsi="Arial"/>
          <w:sz w:val="18"/>
          <w:szCs w:val="18"/>
          <w:b w:val="1"/>
          <w:bCs w:val="1"/>
          <w:color w:val="auto"/>
        </w:rPr>
        <w:t>Summer</w:t>
      </w:r>
    </w:p>
    <w:p>
      <w:pPr>
        <w:spacing w:after="0" w:line="200" w:lineRule="exact"/>
        <w:rPr>
          <w:sz w:val="20"/>
          <w:szCs w:val="20"/>
          <w:color w:val="auto"/>
        </w:rPr>
      </w:pPr>
    </w:p>
    <w:p>
      <w:pPr>
        <w:spacing w:after="0" w:line="201" w:lineRule="exact"/>
        <w:rPr>
          <w:sz w:val="20"/>
          <w:szCs w:val="20"/>
          <w:color w:val="auto"/>
        </w:rPr>
      </w:pPr>
    </w:p>
    <w:p>
      <w:pPr>
        <w:ind w:left="600" w:right="140" w:hanging="196"/>
        <w:spacing w:after="0" w:line="257" w:lineRule="auto"/>
        <w:tabs>
          <w:tab w:leader="none" w:pos="557" w:val="left"/>
        </w:tabs>
        <w:numPr>
          <w:ilvl w:val="0"/>
          <w:numId w:val="52"/>
        </w:numPr>
        <w:rPr>
          <w:rFonts w:ascii="Arial" w:cs="Arial" w:eastAsia="Arial" w:hAnsi="Arial"/>
          <w:sz w:val="13"/>
          <w:szCs w:val="13"/>
          <w:color w:val="0067B3"/>
        </w:rPr>
      </w:pPr>
      <w:r>
        <w:rPr>
          <w:rFonts w:ascii="Arial" w:cs="Arial" w:eastAsia="Arial" w:hAnsi="Arial"/>
          <w:sz w:val="18"/>
          <w:szCs w:val="18"/>
          <w:color w:val="auto"/>
        </w:rPr>
        <w:t>Evaluate proxy season outcomes and trends, corporate governance best practices, and</w:t>
      </w:r>
    </w:p>
    <w:p>
      <w:pPr>
        <w:spacing w:after="0" w:line="1" w:lineRule="exact"/>
        <w:rPr>
          <w:rFonts w:ascii="Arial" w:cs="Arial" w:eastAsia="Arial" w:hAnsi="Arial"/>
          <w:sz w:val="13"/>
          <w:szCs w:val="13"/>
          <w:color w:val="0067B3"/>
        </w:rPr>
      </w:pPr>
    </w:p>
    <w:p>
      <w:pPr>
        <w:ind w:left="600"/>
        <w:spacing w:after="0"/>
        <w:rPr>
          <w:rFonts w:ascii="Arial" w:cs="Arial" w:eastAsia="Arial" w:hAnsi="Arial"/>
          <w:sz w:val="13"/>
          <w:szCs w:val="13"/>
          <w:color w:val="0067B3"/>
        </w:rPr>
      </w:pPr>
      <w:r>
        <w:rPr>
          <w:rFonts w:ascii="Arial" w:cs="Arial" w:eastAsia="Arial" w:hAnsi="Arial"/>
          <w:sz w:val="18"/>
          <w:szCs w:val="18"/>
          <w:color w:val="auto"/>
        </w:rPr>
        <w:t>regulatory developments</w:t>
      </w:r>
    </w:p>
    <w:p>
      <w:pPr>
        <w:spacing w:after="0" w:line="58" w:lineRule="exact"/>
        <w:rPr>
          <w:rFonts w:ascii="Arial" w:cs="Arial" w:eastAsia="Arial" w:hAnsi="Arial"/>
          <w:sz w:val="13"/>
          <w:szCs w:val="13"/>
          <w:color w:val="0067B3"/>
        </w:rPr>
      </w:pPr>
    </w:p>
    <w:p>
      <w:pPr>
        <w:ind w:left="600" w:hanging="196"/>
        <w:spacing w:after="0" w:line="262" w:lineRule="auto"/>
        <w:tabs>
          <w:tab w:leader="none" w:pos="557" w:val="left"/>
        </w:tabs>
        <w:numPr>
          <w:ilvl w:val="0"/>
          <w:numId w:val="52"/>
        </w:numPr>
        <w:rPr>
          <w:rFonts w:ascii="Arial" w:cs="Arial" w:eastAsia="Arial" w:hAnsi="Arial"/>
          <w:sz w:val="13"/>
          <w:szCs w:val="13"/>
          <w:color w:val="0067B3"/>
        </w:rPr>
      </w:pPr>
      <w:r>
        <w:rPr>
          <w:rFonts w:ascii="Arial" w:cs="Arial" w:eastAsia="Arial" w:hAnsi="Arial"/>
          <w:sz w:val="18"/>
          <w:szCs w:val="18"/>
          <w:color w:val="auto"/>
        </w:rPr>
        <w:t>Publish annual ESG report to inform stakeholders, including investors, about recent developments relating to ESG matters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70" w:lineRule="exact"/>
        <w:rPr>
          <w:sz w:val="20"/>
          <w:szCs w:val="20"/>
          <w:color w:val="auto"/>
        </w:rPr>
      </w:pPr>
    </w:p>
    <w:p>
      <w:pPr>
        <w:ind w:left="674"/>
        <w:spacing w:after="0"/>
        <w:rPr>
          <w:sz w:val="20"/>
          <w:szCs w:val="20"/>
          <w:color w:val="auto"/>
        </w:rPr>
      </w:pPr>
      <w:r>
        <w:rPr>
          <w:rFonts w:ascii="Arial" w:cs="Arial" w:eastAsia="Arial" w:hAnsi="Arial"/>
          <w:sz w:val="18"/>
          <w:szCs w:val="18"/>
          <w:b w:val="1"/>
          <w:bCs w:val="1"/>
          <w:color w:val="auto"/>
        </w:rPr>
        <w:t>Fall</w:t>
      </w:r>
    </w:p>
    <w:p>
      <w:pPr>
        <w:spacing w:after="0" w:line="200" w:lineRule="exact"/>
        <w:rPr>
          <w:sz w:val="20"/>
          <w:szCs w:val="20"/>
          <w:color w:val="auto"/>
        </w:rPr>
      </w:pPr>
    </w:p>
    <w:p>
      <w:pPr>
        <w:spacing w:after="0" w:line="201" w:lineRule="exact"/>
        <w:rPr>
          <w:sz w:val="20"/>
          <w:szCs w:val="20"/>
          <w:color w:val="auto"/>
        </w:rPr>
      </w:pPr>
    </w:p>
    <w:p>
      <w:pPr>
        <w:ind w:left="194" w:right="20" w:hanging="194"/>
        <w:spacing w:after="0" w:line="259" w:lineRule="auto"/>
        <w:tabs>
          <w:tab w:leader="none" w:pos="150" w:val="left"/>
        </w:tabs>
        <w:numPr>
          <w:ilvl w:val="0"/>
          <w:numId w:val="53"/>
        </w:numPr>
        <w:rPr>
          <w:rFonts w:ascii="Arial" w:cs="Arial" w:eastAsia="Arial" w:hAnsi="Arial"/>
          <w:sz w:val="13"/>
          <w:szCs w:val="13"/>
          <w:color w:val="0067B3"/>
        </w:rPr>
      </w:pPr>
      <w:r>
        <w:rPr>
          <w:rFonts w:ascii="Arial" w:cs="Arial" w:eastAsia="Arial" w:hAnsi="Arial"/>
          <w:sz w:val="18"/>
          <w:szCs w:val="18"/>
          <w:color w:val="auto"/>
        </w:rPr>
        <w:t>Conduct outreach with top investors to understand their priorities and solicit feedback on governance topics, including ESG and compensation</w:t>
      </w:r>
    </w:p>
    <w:p>
      <w:pPr>
        <w:spacing w:after="0" w:line="30" w:lineRule="exact"/>
        <w:rPr>
          <w:rFonts w:ascii="Arial" w:cs="Arial" w:eastAsia="Arial" w:hAnsi="Arial"/>
          <w:sz w:val="13"/>
          <w:szCs w:val="13"/>
          <w:color w:val="0067B3"/>
        </w:rPr>
      </w:pPr>
    </w:p>
    <w:p>
      <w:pPr>
        <w:ind w:left="194" w:hanging="194"/>
        <w:spacing w:after="0" w:line="287" w:lineRule="auto"/>
        <w:tabs>
          <w:tab w:leader="none" w:pos="150" w:val="left"/>
        </w:tabs>
        <w:numPr>
          <w:ilvl w:val="0"/>
          <w:numId w:val="53"/>
        </w:numPr>
        <w:rPr>
          <w:rFonts w:ascii="Arial" w:cs="Arial" w:eastAsia="Arial" w:hAnsi="Arial"/>
          <w:sz w:val="13"/>
          <w:szCs w:val="13"/>
          <w:color w:val="0067B3"/>
        </w:rPr>
      </w:pPr>
      <w:r>
        <w:rPr>
          <w:rFonts w:ascii="Arial" w:cs="Arial" w:eastAsia="Arial" w:hAnsi="Arial"/>
          <w:sz w:val="18"/>
          <w:szCs w:val="18"/>
          <w:color w:val="auto"/>
        </w:rPr>
        <w:t>Share investor feedback with our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-2499995</wp:posOffset>
            </wp:positionH>
            <wp:positionV relativeFrom="paragraph">
              <wp:posOffset>486410</wp:posOffset>
            </wp:positionV>
            <wp:extent cx="7132320" cy="365188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132320" cy="365188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70" w:lineRule="exact"/>
        <w:rPr>
          <w:sz w:val="20"/>
          <w:szCs w:val="20"/>
          <w:color w:val="auto"/>
        </w:rPr>
      </w:pPr>
    </w:p>
    <w:p>
      <w:pPr>
        <w:ind w:left="646"/>
        <w:spacing w:after="0"/>
        <w:tabs>
          <w:tab w:leader="none" w:pos="2565" w:val="left"/>
        </w:tabs>
        <w:rPr>
          <w:sz w:val="20"/>
          <w:szCs w:val="20"/>
          <w:color w:val="auto"/>
        </w:rPr>
      </w:pPr>
      <w:r>
        <w:rPr>
          <w:rFonts w:ascii="Arial" w:cs="Arial" w:eastAsia="Arial" w:hAnsi="Arial"/>
          <w:sz w:val="18"/>
          <w:szCs w:val="18"/>
          <w:b w:val="1"/>
          <w:bCs w:val="1"/>
          <w:color w:val="auto"/>
        </w:rPr>
        <w:t>Winter</w:t>
      </w:r>
      <w:r>
        <w:rPr>
          <w:sz w:val="20"/>
          <w:szCs w:val="20"/>
          <w:color w:val="auto"/>
        </w:rPr>
        <w:tab/>
      </w:r>
      <w:r>
        <w:rPr>
          <w:rFonts w:ascii="Arial" w:cs="Arial" w:eastAsia="Arial" w:hAnsi="Arial"/>
          <w:sz w:val="18"/>
          <w:szCs w:val="18"/>
          <w:b w:val="1"/>
          <w:bCs w:val="1"/>
          <w:color w:val="auto"/>
        </w:rPr>
        <w:t>Spring</w:t>
      </w:r>
    </w:p>
    <w:p>
      <w:pPr>
        <w:spacing w:after="0" w:line="200" w:lineRule="exact"/>
        <w:rPr>
          <w:sz w:val="20"/>
          <w:szCs w:val="20"/>
          <w:color w:val="auto"/>
        </w:rPr>
      </w:pPr>
    </w:p>
    <w:p>
      <w:pPr>
        <w:spacing w:after="0" w:line="201" w:lineRule="exact"/>
        <w:rPr>
          <w:sz w:val="20"/>
          <w:szCs w:val="20"/>
          <w:color w:val="auto"/>
        </w:rPr>
      </w:pPr>
    </w:p>
    <w:p>
      <w:pPr>
        <w:ind w:left="186" w:right="1700" w:hanging="186"/>
        <w:spacing w:after="0" w:line="287" w:lineRule="auto"/>
        <w:tabs>
          <w:tab w:leader="none" w:pos="143" w:val="left"/>
        </w:tabs>
        <w:numPr>
          <w:ilvl w:val="0"/>
          <w:numId w:val="54"/>
        </w:numPr>
        <w:rPr>
          <w:rFonts w:ascii="Arial" w:cs="Arial" w:eastAsia="Arial" w:hAnsi="Arial"/>
          <w:sz w:val="13"/>
          <w:szCs w:val="13"/>
          <w:color w:val="0067B3"/>
        </w:rPr>
      </w:pPr>
      <w:r>
        <w:rPr>
          <w:rFonts w:ascii="Arial" w:cs="Arial" w:eastAsia="Arial" w:hAnsi="Arial"/>
          <w:sz w:val="18"/>
          <w:szCs w:val="18"/>
          <w:color w:val="auto"/>
        </w:rPr>
        <w:t>Publish Annual Report and Proxy Statement</w:t>
      </w:r>
    </w:p>
    <w:p>
      <w:pPr>
        <w:spacing w:after="0" w:line="4" w:lineRule="exact"/>
        <w:rPr>
          <w:rFonts w:ascii="Arial" w:cs="Arial" w:eastAsia="Arial" w:hAnsi="Arial"/>
          <w:sz w:val="13"/>
          <w:szCs w:val="13"/>
          <w:color w:val="0067B3"/>
        </w:rPr>
      </w:pPr>
    </w:p>
    <w:p>
      <w:pPr>
        <w:jc w:val="both"/>
        <w:ind w:left="186" w:right="780" w:hanging="186"/>
        <w:spacing w:after="0" w:line="257" w:lineRule="auto"/>
        <w:tabs>
          <w:tab w:leader="none" w:pos="143" w:val="left"/>
        </w:tabs>
        <w:numPr>
          <w:ilvl w:val="0"/>
          <w:numId w:val="54"/>
        </w:numPr>
        <w:rPr>
          <w:rFonts w:ascii="Arial" w:cs="Arial" w:eastAsia="Arial" w:hAnsi="Arial"/>
          <w:sz w:val="13"/>
          <w:szCs w:val="13"/>
          <w:color w:val="0067B3"/>
        </w:rPr>
      </w:pPr>
      <w:r>
        <w:rPr>
          <w:rFonts w:ascii="Arial" w:cs="Arial" w:eastAsia="Arial" w:hAnsi="Arial"/>
          <w:sz w:val="18"/>
          <w:szCs w:val="18"/>
          <w:color w:val="auto"/>
        </w:rPr>
        <w:t>Conduct outreach with top investors to discuss items to be considered at the annual meeting, given matters to</w:t>
      </w:r>
    </w:p>
    <w:p>
      <w:pPr>
        <w:spacing w:after="0" w:line="1" w:lineRule="exact"/>
        <w:rPr>
          <w:rFonts w:ascii="Arial" w:cs="Arial" w:eastAsia="Arial" w:hAnsi="Arial"/>
          <w:sz w:val="13"/>
          <w:szCs w:val="13"/>
          <w:color w:val="0067B3"/>
        </w:rPr>
      </w:pPr>
    </w:p>
    <w:p>
      <w:pPr>
        <w:ind w:left="186"/>
        <w:spacing w:after="0"/>
        <w:rPr>
          <w:rFonts w:ascii="Arial" w:cs="Arial" w:eastAsia="Arial" w:hAnsi="Arial"/>
          <w:sz w:val="13"/>
          <w:szCs w:val="13"/>
          <w:color w:val="0067B3"/>
        </w:rPr>
      </w:pPr>
      <w:r>
        <w:rPr>
          <w:rFonts w:ascii="Arial" w:cs="Arial" w:eastAsia="Arial" w:hAnsi="Arial"/>
          <w:sz w:val="18"/>
          <w:szCs w:val="18"/>
          <w:color w:val="auto"/>
        </w:rPr>
        <w:t>be considered, if needed</w:t>
      </w:r>
    </w:p>
    <w:p>
      <w:pPr>
        <w:spacing w:after="0" w:line="72" w:lineRule="exact"/>
        <w:rPr>
          <w:rFonts w:ascii="Arial" w:cs="Arial" w:eastAsia="Arial" w:hAnsi="Arial"/>
          <w:sz w:val="13"/>
          <w:szCs w:val="13"/>
          <w:color w:val="0067B3"/>
        </w:rPr>
      </w:pPr>
    </w:p>
    <w:p>
      <w:pPr>
        <w:ind w:left="146" w:hanging="146"/>
        <w:spacing w:after="0"/>
        <w:tabs>
          <w:tab w:leader="none" w:pos="146" w:val="left"/>
        </w:tabs>
        <w:numPr>
          <w:ilvl w:val="0"/>
          <w:numId w:val="54"/>
        </w:numPr>
        <w:rPr>
          <w:rFonts w:ascii="Arial" w:cs="Arial" w:eastAsia="Arial" w:hAnsi="Arial"/>
          <w:sz w:val="13"/>
          <w:szCs w:val="13"/>
          <w:color w:val="0067B3"/>
        </w:rPr>
      </w:pPr>
      <w:r>
        <w:rPr>
          <w:rFonts w:ascii="Arial" w:cs="Arial" w:eastAsia="Arial" w:hAnsi="Arial"/>
          <w:sz w:val="18"/>
          <w:szCs w:val="18"/>
          <w:color w:val="auto"/>
        </w:rPr>
        <w:t>Annual Meeting</w:t>
      </w:r>
    </w:p>
    <w:p>
      <w:pPr>
        <w:spacing w:after="0" w:line="383" w:lineRule="exact"/>
        <w:rPr>
          <w:sz w:val="20"/>
          <w:szCs w:val="20"/>
          <w:color w:val="auto"/>
        </w:rPr>
      </w:pPr>
    </w:p>
    <w:p>
      <w:pPr>
        <w:sectPr>
          <w:pgSz w:w="11900" w:h="16838" w:orient="portrait"/>
          <w:cols w:equalWidth="0" w:num="3">
            <w:col w:w="3440" w:space="506"/>
            <w:col w:w="2774" w:space="534"/>
            <w:col w:w="3986"/>
          </w:cols>
          <w:pgMar w:left="320" w:top="1271"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left="1320"/>
        <w:spacing w:after="0" w:line="262" w:lineRule="auto"/>
        <w:rPr>
          <w:sz w:val="20"/>
          <w:szCs w:val="20"/>
          <w:color w:val="auto"/>
        </w:rPr>
      </w:pPr>
      <w:r>
        <w:rPr>
          <w:rFonts w:ascii="Arial" w:cs="Arial" w:eastAsia="Arial" w:hAnsi="Arial"/>
          <w:sz w:val="18"/>
          <w:szCs w:val="18"/>
          <w:color w:val="auto"/>
        </w:rPr>
        <w:t>During fiscal year 2025, as part of our annual outreach program, we reached out to shareholders that collectively represented approximately 45% of our total shares outstanding and proxy advisory firms with an invitation to have discussions with their corporate governance teams.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1320" w:right="220"/>
        <w:spacing w:after="0" w:line="318" w:lineRule="auto"/>
        <w:rPr>
          <w:sz w:val="20"/>
          <w:szCs w:val="20"/>
          <w:color w:val="auto"/>
        </w:rPr>
      </w:pPr>
      <w:r>
        <w:rPr>
          <w:rFonts w:ascii="Arial" w:cs="Arial" w:eastAsia="Arial" w:hAnsi="Arial"/>
          <w:sz w:val="17"/>
          <w:szCs w:val="17"/>
          <w:color w:val="auto"/>
        </w:rPr>
        <w:t>Shareholders representing approximately 25% of our total shares outstanding and proxy advisory firms accepted our engagement invitation.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1320" w:right="200"/>
        <w:spacing w:after="0" w:line="287" w:lineRule="auto"/>
        <w:rPr>
          <w:sz w:val="20"/>
          <w:szCs w:val="20"/>
          <w:color w:val="auto"/>
        </w:rPr>
      </w:pPr>
      <w:r>
        <w:rPr>
          <w:rFonts w:ascii="Arial" w:cs="Arial" w:eastAsia="Arial" w:hAnsi="Arial"/>
          <w:sz w:val="18"/>
          <w:szCs w:val="18"/>
          <w:color w:val="auto"/>
        </w:rPr>
        <w:t>Our Lead Independent Director participated in meetings with shareholders representing approximately 21% of our total shares outstanding.</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100" w:right="60"/>
        <w:spacing w:after="0" w:line="287" w:lineRule="auto"/>
        <w:rPr>
          <w:sz w:val="20"/>
          <w:szCs w:val="20"/>
          <w:color w:val="auto"/>
        </w:rPr>
      </w:pPr>
      <w:r>
        <w:rPr>
          <w:rFonts w:ascii="Arial" w:cs="Arial" w:eastAsia="Arial" w:hAnsi="Arial"/>
          <w:sz w:val="18"/>
          <w:szCs w:val="18"/>
          <w:color w:val="auto"/>
        </w:rPr>
        <w:t>These meetings included members of our legal, ESG, compensation, and investor relations organizations.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0067B3"/>
        </w:rPr>
        <w:t>What We Discussed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Topics covered in these</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meetings included:</w:t>
      </w:r>
    </w:p>
    <w:p>
      <w:pPr>
        <w:spacing w:after="0" w:line="99" w:lineRule="exact"/>
        <w:rPr>
          <w:sz w:val="20"/>
          <w:szCs w:val="20"/>
          <w:color w:val="auto"/>
        </w:rPr>
      </w:pPr>
    </w:p>
    <w:p>
      <w:pPr>
        <w:ind w:left="200" w:right="440" w:hanging="194"/>
        <w:spacing w:after="0" w:line="262" w:lineRule="auto"/>
        <w:tabs>
          <w:tab w:leader="none" w:pos="157" w:val="left"/>
        </w:tabs>
        <w:numPr>
          <w:ilvl w:val="0"/>
          <w:numId w:val="55"/>
        </w:numPr>
        <w:rPr>
          <w:rFonts w:ascii="Arial" w:cs="Arial" w:eastAsia="Arial" w:hAnsi="Arial"/>
          <w:sz w:val="13"/>
          <w:szCs w:val="13"/>
          <w:color w:val="0067B3"/>
        </w:rPr>
      </w:pPr>
      <w:r>
        <w:rPr>
          <w:rFonts w:ascii="Arial" w:cs="Arial" w:eastAsia="Arial" w:hAnsi="Arial"/>
          <w:sz w:val="18"/>
          <w:szCs w:val="18"/>
          <w:color w:val="auto"/>
        </w:rPr>
        <w:t>Executive compensation, including our short-term variable cash incentive program and design of our equity awards</w:t>
      </w:r>
    </w:p>
    <w:p>
      <w:pPr>
        <w:spacing w:after="0" w:line="41" w:lineRule="exact"/>
        <w:rPr>
          <w:rFonts w:ascii="Arial" w:cs="Arial" w:eastAsia="Arial" w:hAnsi="Arial"/>
          <w:sz w:val="13"/>
          <w:szCs w:val="13"/>
          <w:color w:val="0067B3"/>
        </w:rPr>
      </w:pPr>
    </w:p>
    <w:p>
      <w:pPr>
        <w:ind w:left="200" w:right="380" w:hanging="194"/>
        <w:spacing w:after="0" w:line="291" w:lineRule="auto"/>
        <w:tabs>
          <w:tab w:leader="none" w:pos="157" w:val="left"/>
        </w:tabs>
        <w:numPr>
          <w:ilvl w:val="0"/>
          <w:numId w:val="55"/>
        </w:numPr>
        <w:rPr>
          <w:rFonts w:ascii="Arial" w:cs="Arial" w:eastAsia="Arial" w:hAnsi="Arial"/>
          <w:sz w:val="12"/>
          <w:szCs w:val="12"/>
          <w:color w:val="0067B3"/>
        </w:rPr>
      </w:pPr>
      <w:r>
        <w:rPr>
          <w:rFonts w:ascii="Arial" w:cs="Arial" w:eastAsia="Arial" w:hAnsi="Arial"/>
          <w:sz w:val="17"/>
          <w:szCs w:val="17"/>
          <w:color w:val="auto"/>
        </w:rPr>
        <w:t>Corporate governance matters, including special meeting rights, Board structure, and refreshment</w:t>
      </w:r>
    </w:p>
    <w:p>
      <w:pPr>
        <w:spacing w:after="0" w:line="4" w:lineRule="exact"/>
        <w:rPr>
          <w:rFonts w:ascii="Arial" w:cs="Arial" w:eastAsia="Arial" w:hAnsi="Arial"/>
          <w:sz w:val="12"/>
          <w:szCs w:val="12"/>
          <w:color w:val="0067B3"/>
        </w:rPr>
      </w:pPr>
    </w:p>
    <w:p>
      <w:pPr>
        <w:ind w:left="200" w:right="180" w:hanging="194"/>
        <w:spacing w:after="0" w:line="259" w:lineRule="auto"/>
        <w:tabs>
          <w:tab w:leader="none" w:pos="157" w:val="left"/>
        </w:tabs>
        <w:numPr>
          <w:ilvl w:val="0"/>
          <w:numId w:val="55"/>
        </w:numPr>
        <w:rPr>
          <w:rFonts w:ascii="Arial" w:cs="Arial" w:eastAsia="Arial" w:hAnsi="Arial"/>
          <w:sz w:val="13"/>
          <w:szCs w:val="13"/>
          <w:color w:val="0067B3"/>
        </w:rPr>
      </w:pPr>
      <w:r>
        <w:rPr>
          <w:rFonts w:ascii="Arial" w:cs="Arial" w:eastAsia="Arial" w:hAnsi="Arial"/>
          <w:sz w:val="18"/>
          <w:szCs w:val="18"/>
          <w:color w:val="auto"/>
        </w:rPr>
        <w:t>ESG topics, including resiliency, climate, value chain management, human rights, risk management, sustainability programs, and human capital management</w:t>
      </w:r>
    </w:p>
    <w:p>
      <w:pPr>
        <w:spacing w:after="0" w:line="1846" w:lineRule="exact"/>
        <w:rPr>
          <w:sz w:val="20"/>
          <w:szCs w:val="20"/>
          <w:color w:val="auto"/>
        </w:rPr>
      </w:pPr>
    </w:p>
    <w:p>
      <w:pPr>
        <w:sectPr>
          <w:pgSz w:w="11900" w:h="16838" w:orient="portrait"/>
          <w:cols w:equalWidth="0" w:num="2">
            <w:col w:w="7420" w:space="600"/>
            <w:col w:w="3220"/>
          </w:cols>
          <w:pgMar w:left="320" w:top="1271" w:right="339" w:bottom="1440" w:gutter="0" w:footer="0" w:header="0"/>
          <w:type w:val="continuous"/>
        </w:sectPr>
      </w:pPr>
    </w:p>
    <w:p>
      <w:pPr>
        <w:spacing w:after="0" w:line="200" w:lineRule="exact"/>
        <w:rPr>
          <w:sz w:val="20"/>
          <w:szCs w:val="20"/>
          <w:color w:val="auto"/>
        </w:rPr>
      </w:pPr>
    </w:p>
    <w:p>
      <w:pPr>
        <w:spacing w:after="0" w:line="315" w:lineRule="exact"/>
        <w:rPr>
          <w:sz w:val="20"/>
          <w:szCs w:val="20"/>
          <w:color w:val="auto"/>
        </w:rPr>
      </w:pPr>
    </w:p>
    <w:tbl>
      <w:tblPr>
        <w:tblLayout w:type="fixed"/>
        <w:tblInd w:w="0" w:type="dxa"/>
        <w:tblCellMar>
          <w:top w:w="0" w:type="dxa"/>
          <w:left w:w="0" w:type="dxa"/>
          <w:bottom w:w="0" w:type="dxa"/>
          <w:right w:w="0" w:type="dxa"/>
        </w:tblCellMar>
      </w:tblPr>
      <w:tr>
        <w:trPr>
          <w:trHeight w:val="278"/>
        </w:trPr>
        <w:tc>
          <w:tcPr>
            <w:tcW w:w="10800" w:type="dxa"/>
            <w:vAlign w:val="bottom"/>
          </w:tcPr>
          <w:p>
            <w:pPr>
              <w:ind w:left="8980"/>
              <w:spacing w:after="0"/>
              <w:rPr>
                <w:sz w:val="20"/>
                <w:szCs w:val="20"/>
                <w:color w:val="auto"/>
              </w:rPr>
            </w:pPr>
            <w:r>
              <w:rPr>
                <w:rFonts w:ascii="Arial" w:cs="Arial" w:eastAsia="Arial" w:hAnsi="Arial"/>
                <w:sz w:val="16"/>
                <w:szCs w:val="16"/>
                <w:color w:val="0067B3"/>
              </w:rPr>
              <w:t>2026 Proxy Statement</w:t>
            </w:r>
          </w:p>
        </w:tc>
        <w:tc>
          <w:tcPr>
            <w:tcW w:w="440" w:type="dxa"/>
            <w:vAlign w:val="bottom"/>
          </w:tcPr>
          <w:p>
            <w:pPr>
              <w:jc w:val="right"/>
              <w:spacing w:after="0"/>
              <w:rPr>
                <w:sz w:val="20"/>
                <w:szCs w:val="20"/>
                <w:color w:val="auto"/>
              </w:rPr>
            </w:pPr>
            <w:r>
              <w:rPr>
                <w:rFonts w:ascii="Arial" w:cs="Arial" w:eastAsia="Arial" w:hAnsi="Arial"/>
                <w:sz w:val="20"/>
                <w:szCs w:val="20"/>
                <w:b w:val="1"/>
                <w:bCs w:val="1"/>
                <w:color w:val="auto"/>
              </w:rPr>
              <w:t>31</w:t>
            </w:r>
          </w:p>
        </w:tc>
      </w:tr>
      <w:tr>
        <w:trPr>
          <w:trHeight w:val="333"/>
        </w:trPr>
        <w:tc>
          <w:tcPr>
            <w:tcW w:w="1080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71" w:right="339" w:bottom="1440" w:gutter="0" w:footer="0" w:header="0"/>
          <w:type w:val="continuous"/>
        </w:sectPr>
      </w:pPr>
    </w:p>
    <w:bookmarkStart w:id="39" w:name="page40"/>
    <w:bookmarkEnd w:id="39"/>
    <w:p>
      <w:pPr>
        <w:ind w:right="460"/>
        <w:spacing w:after="0" w:line="259" w:lineRule="auto"/>
        <w:rPr>
          <w:sz w:val="20"/>
          <w:szCs w:val="20"/>
          <w:color w:val="auto"/>
        </w:rPr>
      </w:pPr>
      <w:r>
        <w:rPr>
          <w:rFonts w:ascii="Arial" w:cs="Arial" w:eastAsia="Arial" w:hAnsi="Arial"/>
          <w:sz w:val="18"/>
          <w:szCs w:val="18"/>
          <w:color w:val="auto"/>
        </w:rPr>
        <w:t>We reviewed the key takeaways from these meetings with our Board of Directors, with the goal of continuing to evolve our executive compensation and corporate governance practices to best meet the needs of ADI and our shareholders. While some of the feedback received has led to enhancements to our practices and disclosure, we also received positive feedback regarding certain practices that reconfirmed that our programs continue to be effective from our shareholders’ perspective. Examples of feedback that we received from shareholders during fiscal year 2025 include:</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255"/>
        </w:trPr>
        <w:tc>
          <w:tcPr>
            <w:tcW w:w="2660" w:type="dxa"/>
            <w:vAlign w:val="bottom"/>
            <w:tcBorders>
              <w:bottom w:val="single" w:sz="8" w:color="0067B3"/>
            </w:tcBorders>
          </w:tcPr>
          <w:p>
            <w:pPr>
              <w:ind w:left="20"/>
              <w:spacing w:after="0"/>
              <w:rPr>
                <w:sz w:val="20"/>
                <w:szCs w:val="20"/>
                <w:color w:val="auto"/>
              </w:rPr>
            </w:pPr>
            <w:r>
              <w:rPr>
                <w:rFonts w:ascii="Arial" w:cs="Arial" w:eastAsia="Arial" w:hAnsi="Arial"/>
                <w:sz w:val="18"/>
                <w:szCs w:val="18"/>
                <w:b w:val="1"/>
                <w:bCs w:val="1"/>
                <w:color w:val="0067B3"/>
              </w:rPr>
              <w:t>What We Heard</w:t>
            </w:r>
          </w:p>
        </w:tc>
        <w:tc>
          <w:tcPr>
            <w:tcW w:w="2360" w:type="dxa"/>
            <w:vAlign w:val="bottom"/>
            <w:tcBorders>
              <w:bottom w:val="single" w:sz="8" w:color="0067B3"/>
            </w:tcBorders>
          </w:tcPr>
          <w:p>
            <w:pPr>
              <w:spacing w:after="0"/>
              <w:rPr>
                <w:sz w:val="22"/>
                <w:szCs w:val="22"/>
                <w:color w:val="auto"/>
              </w:rPr>
            </w:pPr>
          </w:p>
        </w:tc>
        <w:tc>
          <w:tcPr>
            <w:tcW w:w="6220" w:type="dxa"/>
            <w:vAlign w:val="bottom"/>
            <w:tcBorders>
              <w:bottom w:val="single" w:sz="8" w:color="0067B3"/>
            </w:tcBorders>
          </w:tcPr>
          <w:p>
            <w:pPr>
              <w:ind w:left="1520"/>
              <w:spacing w:after="0"/>
              <w:rPr>
                <w:sz w:val="20"/>
                <w:szCs w:val="20"/>
                <w:color w:val="auto"/>
              </w:rPr>
            </w:pPr>
            <w:r>
              <w:rPr>
                <w:rFonts w:ascii="Arial" w:cs="Arial" w:eastAsia="Arial" w:hAnsi="Arial"/>
                <w:sz w:val="18"/>
                <w:szCs w:val="18"/>
                <w:b w:val="1"/>
                <w:bCs w:val="1"/>
                <w:color w:val="0067B3"/>
              </w:rPr>
              <w:t>What We Did</w:t>
            </w:r>
          </w:p>
        </w:tc>
      </w:tr>
      <w:tr>
        <w:trPr>
          <w:trHeight w:val="236"/>
        </w:trPr>
        <w:tc>
          <w:tcPr>
            <w:tcW w:w="2660" w:type="dxa"/>
            <w:vAlign w:val="bottom"/>
          </w:tcPr>
          <w:p>
            <w:pPr>
              <w:ind w:left="20"/>
              <w:spacing w:after="0"/>
              <w:rPr>
                <w:sz w:val="20"/>
                <w:szCs w:val="20"/>
                <w:color w:val="auto"/>
              </w:rPr>
            </w:pPr>
            <w:r>
              <w:rPr>
                <w:rFonts w:ascii="Arial" w:cs="Arial" w:eastAsia="Arial" w:hAnsi="Arial"/>
                <w:sz w:val="16"/>
                <w:szCs w:val="16"/>
                <w:b w:val="1"/>
                <w:bCs w:val="1"/>
                <w:color w:val="auto"/>
              </w:rPr>
              <w:t>Topic</w:t>
            </w:r>
          </w:p>
        </w:tc>
        <w:tc>
          <w:tcPr>
            <w:tcW w:w="2360" w:type="dxa"/>
            <w:vAlign w:val="bottom"/>
          </w:tcPr>
          <w:p>
            <w:pPr>
              <w:ind w:left="100"/>
              <w:spacing w:after="0"/>
              <w:rPr>
                <w:sz w:val="20"/>
                <w:szCs w:val="20"/>
                <w:color w:val="auto"/>
              </w:rPr>
            </w:pPr>
            <w:r>
              <w:rPr>
                <w:rFonts w:ascii="Arial" w:cs="Arial" w:eastAsia="Arial" w:hAnsi="Arial"/>
                <w:sz w:val="16"/>
                <w:szCs w:val="16"/>
                <w:b w:val="1"/>
                <w:bCs w:val="1"/>
                <w:color w:val="auto"/>
              </w:rPr>
              <w:t>Feedback</w:t>
            </w:r>
          </w:p>
        </w:tc>
        <w:tc>
          <w:tcPr>
            <w:tcW w:w="6220" w:type="dxa"/>
            <w:vAlign w:val="bottom"/>
          </w:tcPr>
          <w:p>
            <w:pPr>
              <w:ind w:left="1560"/>
              <w:spacing w:after="0"/>
              <w:rPr>
                <w:sz w:val="20"/>
                <w:szCs w:val="20"/>
                <w:color w:val="auto"/>
              </w:rPr>
            </w:pPr>
            <w:r>
              <w:rPr>
                <w:rFonts w:ascii="Arial" w:cs="Arial" w:eastAsia="Arial" w:hAnsi="Arial"/>
                <w:sz w:val="16"/>
                <w:szCs w:val="16"/>
                <w:b w:val="1"/>
                <w:bCs w:val="1"/>
                <w:color w:val="auto"/>
              </w:rPr>
              <w:t>Action</w:t>
            </w:r>
          </w:p>
        </w:tc>
      </w:tr>
      <w:tr>
        <w:trPr>
          <w:trHeight w:val="34"/>
        </w:trPr>
        <w:tc>
          <w:tcPr>
            <w:tcW w:w="2660" w:type="dxa"/>
            <w:vAlign w:val="bottom"/>
            <w:tcBorders>
              <w:bottom w:val="single" w:sz="8" w:color="6D6E71"/>
            </w:tcBorders>
          </w:tcPr>
          <w:p>
            <w:pPr>
              <w:spacing w:after="0"/>
              <w:rPr>
                <w:sz w:val="3"/>
                <w:szCs w:val="3"/>
                <w:color w:val="auto"/>
              </w:rPr>
            </w:pPr>
          </w:p>
        </w:tc>
        <w:tc>
          <w:tcPr>
            <w:tcW w:w="2360" w:type="dxa"/>
            <w:vAlign w:val="bottom"/>
            <w:tcBorders>
              <w:bottom w:val="single" w:sz="8" w:color="6D6E71"/>
            </w:tcBorders>
          </w:tcPr>
          <w:p>
            <w:pPr>
              <w:spacing w:after="0"/>
              <w:rPr>
                <w:sz w:val="3"/>
                <w:szCs w:val="3"/>
                <w:color w:val="auto"/>
              </w:rPr>
            </w:pPr>
          </w:p>
        </w:tc>
        <w:tc>
          <w:tcPr>
            <w:tcW w:w="6220" w:type="dxa"/>
            <w:vAlign w:val="bottom"/>
            <w:tcBorders>
              <w:bottom w:val="single" w:sz="8" w:color="6D6E71"/>
            </w:tcBorders>
          </w:tcPr>
          <w:p>
            <w:pPr>
              <w:spacing w:after="0"/>
              <w:rPr>
                <w:sz w:val="3"/>
                <w:szCs w:val="3"/>
                <w:color w:val="auto"/>
              </w:rPr>
            </w:pPr>
          </w:p>
        </w:tc>
      </w:tr>
      <w:tr>
        <w:trPr>
          <w:trHeight w:val="248"/>
        </w:trPr>
        <w:tc>
          <w:tcPr>
            <w:tcW w:w="2660" w:type="dxa"/>
            <w:vAlign w:val="bottom"/>
          </w:tcPr>
          <w:p>
            <w:pPr>
              <w:ind w:left="20"/>
              <w:spacing w:after="0"/>
              <w:rPr>
                <w:sz w:val="20"/>
                <w:szCs w:val="20"/>
                <w:color w:val="auto"/>
              </w:rPr>
            </w:pPr>
            <w:r>
              <w:rPr>
                <w:rFonts w:ascii="Arial" w:cs="Arial" w:eastAsia="Arial" w:hAnsi="Arial"/>
                <w:sz w:val="18"/>
                <w:szCs w:val="18"/>
                <w:b w:val="1"/>
                <w:bCs w:val="1"/>
                <w:color w:val="auto"/>
              </w:rPr>
              <w:t>EXECUTIVE COMPENSATION</w:t>
            </w:r>
          </w:p>
        </w:tc>
        <w:tc>
          <w:tcPr>
            <w:tcW w:w="2360" w:type="dxa"/>
            <w:vAlign w:val="bottom"/>
          </w:tcPr>
          <w:p>
            <w:pPr>
              <w:spacing w:after="0"/>
              <w:rPr>
                <w:sz w:val="21"/>
                <w:szCs w:val="21"/>
                <w:color w:val="auto"/>
              </w:rPr>
            </w:pPr>
          </w:p>
        </w:tc>
        <w:tc>
          <w:tcPr>
            <w:tcW w:w="6220" w:type="dxa"/>
            <w:vAlign w:val="bottom"/>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-349885</wp:posOffset>
            </wp:positionV>
            <wp:extent cx="7132320" cy="704659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132320" cy="7046595"/>
                    </a:xfrm>
                    <a:prstGeom prst="rect">
                      <a:avLst/>
                    </a:prstGeom>
                    <a:noFill/>
                  </pic:spPr>
                </pic:pic>
              </a:graphicData>
            </a:graphic>
          </wp:anchor>
        </w:drawing>
      </w:r>
    </w:p>
    <w:p>
      <w:pPr>
        <w:sectPr>
          <w:pgSz w:w="11900" w:h="16838" w:orient="portrait"/>
          <w:cols w:equalWidth="0" w:num="1">
            <w:col w:w="11240"/>
          </w:cols>
          <w:pgMar w:left="320" w:top="1174" w:right="339" w:bottom="894" w:gutter="0" w:footer="0" w:header="0"/>
        </w:sectPr>
      </w:pPr>
    </w:p>
    <w:p>
      <w:pPr>
        <w:spacing w:after="0" w:line="158" w:lineRule="exact"/>
        <w:rPr>
          <w:sz w:val="20"/>
          <w:szCs w:val="20"/>
          <w:color w:val="auto"/>
        </w:rPr>
      </w:pPr>
    </w:p>
    <w:tbl>
      <w:tblPr>
        <w:tblLayout w:type="fixed"/>
        <w:tblInd w:w="20" w:type="dxa"/>
        <w:tblCellMar>
          <w:top w:w="0" w:type="dxa"/>
          <w:left w:w="0" w:type="dxa"/>
          <w:bottom w:w="0" w:type="dxa"/>
          <w:right w:w="0" w:type="dxa"/>
        </w:tblCellMar>
      </w:tblPr>
      <w:tr>
        <w:trPr>
          <w:trHeight w:val="216"/>
        </w:trPr>
        <w:tc>
          <w:tcPr>
            <w:tcW w:w="2540" w:type="dxa"/>
            <w:vAlign w:val="bottom"/>
          </w:tcPr>
          <w:p>
            <w:pPr>
              <w:spacing w:after="0"/>
              <w:rPr>
                <w:sz w:val="20"/>
                <w:szCs w:val="20"/>
                <w:color w:val="auto"/>
              </w:rPr>
            </w:pPr>
            <w:r>
              <w:rPr>
                <w:rFonts w:ascii="Arial" w:cs="Arial" w:eastAsia="Arial" w:hAnsi="Arial"/>
                <w:sz w:val="18"/>
                <w:szCs w:val="18"/>
                <w:i w:val="1"/>
                <w:iCs w:val="1"/>
                <w:color w:val="auto"/>
              </w:rPr>
              <w:t>Design of Program Generally</w:t>
            </w:r>
          </w:p>
        </w:tc>
        <w:tc>
          <w:tcPr>
            <w:tcW w:w="3620" w:type="dxa"/>
            <w:vAlign w:val="bottom"/>
          </w:tcPr>
          <w:p>
            <w:pPr>
              <w:ind w:left="200"/>
              <w:spacing w:after="0"/>
              <w:rPr>
                <w:sz w:val="20"/>
                <w:szCs w:val="20"/>
                <w:color w:val="auto"/>
              </w:rPr>
            </w:pPr>
            <w:r>
              <w:rPr>
                <w:rFonts w:ascii="Arial" w:cs="Arial" w:eastAsia="Arial" w:hAnsi="Arial"/>
                <w:sz w:val="13"/>
                <w:szCs w:val="13"/>
                <w:color w:val="0067B3"/>
              </w:rPr>
              <w:t xml:space="preserve">u </w:t>
            </w:r>
            <w:r>
              <w:rPr>
                <w:rFonts w:ascii="Arial" w:cs="Arial" w:eastAsia="Arial" w:hAnsi="Arial"/>
                <w:sz w:val="17"/>
                <w:szCs w:val="17"/>
                <w:color w:val="000000"/>
              </w:rPr>
              <w:t>Shareholders were generally supportive</w:t>
            </w:r>
          </w:p>
        </w:tc>
      </w:tr>
      <w:tr>
        <w:trPr>
          <w:trHeight w:val="216"/>
        </w:trPr>
        <w:tc>
          <w:tcPr>
            <w:tcW w:w="2540" w:type="dxa"/>
            <w:vAlign w:val="bottom"/>
          </w:tcPr>
          <w:p>
            <w:pPr>
              <w:spacing w:after="0"/>
              <w:rPr>
                <w:sz w:val="18"/>
                <w:szCs w:val="18"/>
                <w:color w:val="auto"/>
              </w:rPr>
            </w:pPr>
          </w:p>
        </w:tc>
        <w:tc>
          <w:tcPr>
            <w:tcW w:w="3620" w:type="dxa"/>
            <w:vAlign w:val="bottom"/>
          </w:tcPr>
          <w:p>
            <w:pPr>
              <w:ind w:left="400"/>
              <w:spacing w:after="0"/>
              <w:rPr>
                <w:sz w:val="20"/>
                <w:szCs w:val="20"/>
                <w:color w:val="auto"/>
              </w:rPr>
            </w:pPr>
            <w:r>
              <w:rPr>
                <w:rFonts w:ascii="Arial" w:cs="Arial" w:eastAsia="Arial" w:hAnsi="Arial"/>
                <w:sz w:val="18"/>
                <w:szCs w:val="18"/>
                <w:color w:val="auto"/>
              </w:rPr>
              <w:t>of the overall design and framework of</w:t>
            </w:r>
          </w:p>
        </w:tc>
      </w:tr>
      <w:tr>
        <w:trPr>
          <w:trHeight w:val="216"/>
        </w:trPr>
        <w:tc>
          <w:tcPr>
            <w:tcW w:w="2540" w:type="dxa"/>
            <w:vAlign w:val="bottom"/>
          </w:tcPr>
          <w:p>
            <w:pPr>
              <w:spacing w:after="0"/>
              <w:rPr>
                <w:sz w:val="18"/>
                <w:szCs w:val="18"/>
                <w:color w:val="auto"/>
              </w:rPr>
            </w:pPr>
          </w:p>
        </w:tc>
        <w:tc>
          <w:tcPr>
            <w:tcW w:w="3620" w:type="dxa"/>
            <w:vAlign w:val="bottom"/>
          </w:tcPr>
          <w:p>
            <w:pPr>
              <w:ind w:left="400"/>
              <w:spacing w:after="0"/>
              <w:rPr>
                <w:sz w:val="20"/>
                <w:szCs w:val="20"/>
                <w:color w:val="auto"/>
              </w:rPr>
            </w:pPr>
            <w:r>
              <w:rPr>
                <w:rFonts w:ascii="Arial" w:cs="Arial" w:eastAsia="Arial" w:hAnsi="Arial"/>
                <w:sz w:val="18"/>
                <w:szCs w:val="18"/>
                <w:color w:val="auto"/>
              </w:rPr>
              <w:t>our executive compensation programs,</w:t>
            </w:r>
          </w:p>
        </w:tc>
      </w:tr>
      <w:tr>
        <w:trPr>
          <w:trHeight w:val="216"/>
        </w:trPr>
        <w:tc>
          <w:tcPr>
            <w:tcW w:w="2540" w:type="dxa"/>
            <w:vAlign w:val="bottom"/>
          </w:tcPr>
          <w:p>
            <w:pPr>
              <w:spacing w:after="0"/>
              <w:rPr>
                <w:sz w:val="18"/>
                <w:szCs w:val="18"/>
                <w:color w:val="auto"/>
              </w:rPr>
            </w:pPr>
          </w:p>
        </w:tc>
        <w:tc>
          <w:tcPr>
            <w:tcW w:w="3620" w:type="dxa"/>
            <w:vAlign w:val="bottom"/>
          </w:tcPr>
          <w:p>
            <w:pPr>
              <w:ind w:left="400"/>
              <w:spacing w:after="0"/>
              <w:rPr>
                <w:sz w:val="20"/>
                <w:szCs w:val="20"/>
                <w:color w:val="auto"/>
              </w:rPr>
            </w:pPr>
            <w:r>
              <w:rPr>
                <w:rFonts w:ascii="Arial" w:cs="Arial" w:eastAsia="Arial" w:hAnsi="Arial"/>
                <w:sz w:val="18"/>
                <w:szCs w:val="18"/>
                <w:color w:val="auto"/>
              </w:rPr>
              <w:t>including recent changes to our</w:t>
            </w:r>
          </w:p>
        </w:tc>
      </w:tr>
      <w:tr>
        <w:trPr>
          <w:trHeight w:val="216"/>
        </w:trPr>
        <w:tc>
          <w:tcPr>
            <w:tcW w:w="2540" w:type="dxa"/>
            <w:vAlign w:val="bottom"/>
          </w:tcPr>
          <w:p>
            <w:pPr>
              <w:spacing w:after="0"/>
              <w:rPr>
                <w:sz w:val="18"/>
                <w:szCs w:val="18"/>
                <w:color w:val="auto"/>
              </w:rPr>
            </w:pPr>
          </w:p>
        </w:tc>
        <w:tc>
          <w:tcPr>
            <w:tcW w:w="3620" w:type="dxa"/>
            <w:vAlign w:val="bottom"/>
          </w:tcPr>
          <w:p>
            <w:pPr>
              <w:ind w:left="400"/>
              <w:spacing w:after="0"/>
              <w:rPr>
                <w:sz w:val="20"/>
                <w:szCs w:val="20"/>
                <w:color w:val="auto"/>
              </w:rPr>
            </w:pPr>
            <w:r>
              <w:rPr>
                <w:rFonts w:ascii="Arial" w:cs="Arial" w:eastAsia="Arial" w:hAnsi="Arial"/>
                <w:sz w:val="18"/>
                <w:szCs w:val="18"/>
                <w:color w:val="auto"/>
              </w:rPr>
              <w:t>executive short-term cash incentive</w:t>
            </w:r>
          </w:p>
        </w:tc>
      </w:tr>
      <w:tr>
        <w:trPr>
          <w:trHeight w:val="216"/>
        </w:trPr>
        <w:tc>
          <w:tcPr>
            <w:tcW w:w="2540" w:type="dxa"/>
            <w:vAlign w:val="bottom"/>
          </w:tcPr>
          <w:p>
            <w:pPr>
              <w:spacing w:after="0"/>
              <w:rPr>
                <w:sz w:val="18"/>
                <w:szCs w:val="18"/>
                <w:color w:val="auto"/>
              </w:rPr>
            </w:pPr>
          </w:p>
        </w:tc>
        <w:tc>
          <w:tcPr>
            <w:tcW w:w="3620" w:type="dxa"/>
            <w:vAlign w:val="bottom"/>
          </w:tcPr>
          <w:p>
            <w:pPr>
              <w:ind w:left="400"/>
              <w:spacing w:after="0"/>
              <w:rPr>
                <w:sz w:val="20"/>
                <w:szCs w:val="20"/>
                <w:color w:val="auto"/>
              </w:rPr>
            </w:pPr>
            <w:r>
              <w:rPr>
                <w:rFonts w:ascii="Arial" w:cs="Arial" w:eastAsia="Arial" w:hAnsi="Arial"/>
                <w:sz w:val="18"/>
                <w:szCs w:val="18"/>
                <w:color w:val="auto"/>
                <w:w w:val="99"/>
              </w:rPr>
              <w:t>program and the design of our long-term</w:t>
            </w:r>
          </w:p>
        </w:tc>
      </w:tr>
      <w:tr>
        <w:trPr>
          <w:trHeight w:val="239"/>
        </w:trPr>
        <w:tc>
          <w:tcPr>
            <w:tcW w:w="2540" w:type="dxa"/>
            <w:vAlign w:val="bottom"/>
          </w:tcPr>
          <w:p>
            <w:pPr>
              <w:spacing w:after="0"/>
              <w:rPr>
                <w:sz w:val="20"/>
                <w:szCs w:val="20"/>
                <w:color w:val="auto"/>
              </w:rPr>
            </w:pPr>
          </w:p>
        </w:tc>
        <w:tc>
          <w:tcPr>
            <w:tcW w:w="3620" w:type="dxa"/>
            <w:vAlign w:val="bottom"/>
          </w:tcPr>
          <w:p>
            <w:pPr>
              <w:ind w:left="400"/>
              <w:spacing w:after="0"/>
              <w:rPr>
                <w:sz w:val="20"/>
                <w:szCs w:val="20"/>
                <w:color w:val="auto"/>
              </w:rPr>
            </w:pPr>
            <w:r>
              <w:rPr>
                <w:rFonts w:ascii="Arial" w:cs="Arial" w:eastAsia="Arial" w:hAnsi="Arial"/>
                <w:sz w:val="18"/>
                <w:szCs w:val="18"/>
                <w:color w:val="auto"/>
              </w:rPr>
              <w:t>equity incentives.</w:t>
            </w:r>
          </w:p>
        </w:tc>
      </w:tr>
    </w:tbl>
    <w:p>
      <w:pPr>
        <w:spacing w:after="0" w:line="20" w:lineRule="exact"/>
        <w:rPr>
          <w:sz w:val="20"/>
          <w:szCs w:val="20"/>
          <w:color w:val="auto"/>
        </w:rPr>
      </w:pPr>
      <w:r>
        <w:rPr>
          <w:sz w:val="20"/>
          <w:szCs w:val="20"/>
          <w:color w:val="auto"/>
        </w:rPr>
        <w:br w:type="column"/>
      </w:r>
    </w:p>
    <w:p>
      <w:pPr>
        <w:spacing w:after="0" w:line="138" w:lineRule="exact"/>
        <w:rPr>
          <w:sz w:val="20"/>
          <w:szCs w:val="20"/>
          <w:color w:val="auto"/>
        </w:rPr>
      </w:pPr>
    </w:p>
    <w:p>
      <w:pPr>
        <w:ind w:left="186" w:right="220" w:hanging="186"/>
        <w:spacing w:after="0" w:line="259" w:lineRule="auto"/>
        <w:tabs>
          <w:tab w:leader="none" w:pos="143" w:val="left"/>
        </w:tabs>
        <w:numPr>
          <w:ilvl w:val="0"/>
          <w:numId w:val="56"/>
        </w:numPr>
        <w:rPr>
          <w:rFonts w:ascii="Arial" w:cs="Arial" w:eastAsia="Arial" w:hAnsi="Arial"/>
          <w:sz w:val="13"/>
          <w:szCs w:val="13"/>
          <w:color w:val="0067B3"/>
        </w:rPr>
      </w:pPr>
      <w:r>
        <w:rPr>
          <w:rFonts w:ascii="Arial" w:cs="Arial" w:eastAsia="Arial" w:hAnsi="Arial"/>
          <w:sz w:val="18"/>
          <w:szCs w:val="18"/>
          <w:color w:val="auto"/>
        </w:rPr>
        <w:t>Did not make significant changes to overall design and framework of our executive compensation programs based on the feedback we received and given changes we made to our compensation programs in 2024.</w:t>
      </w:r>
    </w:p>
    <w:p>
      <w:pPr>
        <w:spacing w:after="0" w:line="613" w:lineRule="exact"/>
        <w:rPr>
          <w:sz w:val="20"/>
          <w:szCs w:val="20"/>
          <w:color w:val="auto"/>
        </w:rPr>
      </w:pPr>
    </w:p>
    <w:p>
      <w:pPr>
        <w:sectPr>
          <w:pgSz w:w="11900" w:h="16838" w:orient="portrait"/>
          <w:cols w:equalWidth="0" w:num="2">
            <w:col w:w="6180" w:space="334"/>
            <w:col w:w="4726"/>
          </w:cols>
          <w:pgMar w:left="320" w:top="1174" w:right="339" w:bottom="894" w:gutter="0" w:footer="0" w:header="0"/>
          <w:type w:val="continuous"/>
        </w:sectPr>
      </w:pPr>
    </w:p>
    <w:p>
      <w:pPr>
        <w:ind w:left="20"/>
        <w:spacing w:after="0" w:line="267" w:lineRule="auto"/>
        <w:rPr>
          <w:sz w:val="20"/>
          <w:szCs w:val="20"/>
          <w:color w:val="auto"/>
        </w:rPr>
      </w:pPr>
      <w:r>
        <w:rPr>
          <w:rFonts w:ascii="Arial" w:cs="Arial" w:eastAsia="Arial" w:hAnsi="Arial"/>
          <w:sz w:val="18"/>
          <w:szCs w:val="18"/>
          <w:i w:val="1"/>
          <w:iCs w:val="1"/>
          <w:color w:val="auto"/>
        </w:rPr>
        <w:t>Amended and Restated Analog Devices, Inc. 2020 Equity Incentive Plan</w:t>
      </w:r>
    </w:p>
    <w:p>
      <w:pPr>
        <w:spacing w:after="0" w:line="20" w:lineRule="exact"/>
        <w:rPr>
          <w:sz w:val="20"/>
          <w:szCs w:val="20"/>
          <w:color w:val="auto"/>
        </w:rPr>
      </w:pPr>
      <w:r>
        <w:rPr>
          <w:sz w:val="20"/>
          <w:szCs w:val="20"/>
          <w:color w:val="auto"/>
        </w:rPr>
        <w:br w:type="column"/>
      </w:r>
    </w:p>
    <w:p>
      <w:pPr>
        <w:spacing w:after="0" w:line="59" w:lineRule="exact"/>
        <w:rPr>
          <w:sz w:val="20"/>
          <w:szCs w:val="20"/>
          <w:color w:val="auto"/>
        </w:rPr>
      </w:pPr>
    </w:p>
    <w:p>
      <w:pPr>
        <w:ind w:left="194" w:hanging="194"/>
        <w:spacing w:after="0" w:line="259" w:lineRule="auto"/>
        <w:tabs>
          <w:tab w:leader="none" w:pos="150" w:val="left"/>
        </w:tabs>
        <w:numPr>
          <w:ilvl w:val="0"/>
          <w:numId w:val="57"/>
        </w:numPr>
        <w:rPr>
          <w:rFonts w:ascii="Arial" w:cs="Arial" w:eastAsia="Arial" w:hAnsi="Arial"/>
          <w:sz w:val="13"/>
          <w:szCs w:val="13"/>
          <w:color w:val="0067B3"/>
        </w:rPr>
      </w:pPr>
      <w:r>
        <w:rPr>
          <w:rFonts w:ascii="Arial" w:cs="Arial" w:eastAsia="Arial" w:hAnsi="Arial"/>
          <w:sz w:val="18"/>
          <w:szCs w:val="18"/>
          <w:color w:val="auto"/>
        </w:rPr>
        <w:t>We discussed our planned proposal to amend the Analog Devices, Inc. 2020 Equity Incentive Plan, and shareholders were supportive of our periodic request to increase shares under the plan.</w:t>
      </w:r>
    </w:p>
    <w:p>
      <w:pPr>
        <w:spacing w:after="0" w:line="20" w:lineRule="exact"/>
        <w:rPr>
          <w:sz w:val="20"/>
          <w:szCs w:val="20"/>
          <w:color w:val="auto"/>
        </w:rPr>
      </w:pPr>
      <w:r>
        <w:rPr>
          <w:sz w:val="20"/>
          <w:szCs w:val="20"/>
          <w:color w:val="auto"/>
        </w:rPr>
        <w:br w:type="column"/>
      </w:r>
    </w:p>
    <w:p>
      <w:pPr>
        <w:spacing w:after="0" w:line="59" w:lineRule="exact"/>
        <w:rPr>
          <w:sz w:val="20"/>
          <w:szCs w:val="20"/>
          <w:color w:val="auto"/>
        </w:rPr>
      </w:pPr>
    </w:p>
    <w:p>
      <w:pPr>
        <w:jc w:val="both"/>
        <w:ind w:left="186" w:right="240" w:hanging="186"/>
        <w:spacing w:after="0" w:line="268" w:lineRule="auto"/>
        <w:tabs>
          <w:tab w:leader="none" w:pos="143" w:val="left"/>
        </w:tabs>
        <w:numPr>
          <w:ilvl w:val="0"/>
          <w:numId w:val="58"/>
        </w:numPr>
        <w:rPr>
          <w:rFonts w:ascii="Arial" w:cs="Arial" w:eastAsia="Arial" w:hAnsi="Arial"/>
          <w:sz w:val="13"/>
          <w:szCs w:val="13"/>
          <w:color w:val="0067B3"/>
        </w:rPr>
      </w:pPr>
      <w:r>
        <w:rPr>
          <w:rFonts w:ascii="Arial" w:cs="Arial" w:eastAsia="Arial" w:hAnsi="Arial"/>
          <w:sz w:val="18"/>
          <w:szCs w:val="18"/>
          <w:color w:val="auto"/>
        </w:rPr>
        <w:t>Our Board of Directors recommends that shareholders vote FOR the approval of the Amended and Restated Analog Devices, Inc. 2020 Equity Incentive Plan.</w:t>
      </w:r>
    </w:p>
    <w:p>
      <w:pPr>
        <w:spacing w:after="0" w:line="616" w:lineRule="exact"/>
        <w:rPr>
          <w:sz w:val="20"/>
          <w:szCs w:val="20"/>
          <w:color w:val="auto"/>
        </w:rPr>
      </w:pPr>
    </w:p>
    <w:p>
      <w:pPr>
        <w:sectPr>
          <w:pgSz w:w="11900" w:h="16838" w:orient="portrait"/>
          <w:cols w:equalWidth="0" w:num="3">
            <w:col w:w="2520" w:space="246"/>
            <w:col w:w="3374" w:space="374"/>
            <w:col w:w="4726"/>
          </w:cols>
          <w:pgMar w:left="320" w:top="1174" w:right="339" w:bottom="894" w:gutter="0" w:footer="0" w:header="0"/>
          <w:type w:val="continuous"/>
        </w:sectPr>
      </w:pPr>
    </w:p>
    <w:p>
      <w:pPr>
        <w:ind w:left="20"/>
        <w:spacing w:after="0"/>
        <w:rPr>
          <w:sz w:val="20"/>
          <w:szCs w:val="20"/>
          <w:color w:val="auto"/>
        </w:rPr>
      </w:pPr>
      <w:r>
        <w:rPr>
          <w:rFonts w:ascii="Arial" w:cs="Arial" w:eastAsia="Arial" w:hAnsi="Arial"/>
          <w:sz w:val="18"/>
          <w:szCs w:val="18"/>
          <w:b w:val="1"/>
          <w:bCs w:val="1"/>
          <w:color w:val="auto"/>
        </w:rPr>
        <w:t>CORPORATE GOVERNANCE</w:t>
      </w:r>
    </w:p>
    <w:p>
      <w:pPr>
        <w:spacing w:after="0" w:line="227" w:lineRule="exact"/>
        <w:rPr>
          <w:sz w:val="20"/>
          <w:szCs w:val="20"/>
          <w:color w:val="auto"/>
        </w:rPr>
      </w:pPr>
    </w:p>
    <w:p>
      <w:pPr>
        <w:ind w:left="20"/>
        <w:spacing w:after="0"/>
        <w:rPr>
          <w:sz w:val="20"/>
          <w:szCs w:val="20"/>
          <w:color w:val="auto"/>
        </w:rPr>
      </w:pPr>
      <w:r>
        <w:rPr>
          <w:rFonts w:ascii="Arial" w:cs="Arial" w:eastAsia="Arial" w:hAnsi="Arial"/>
          <w:sz w:val="18"/>
          <w:szCs w:val="18"/>
          <w:i w:val="1"/>
          <w:iCs w:val="1"/>
          <w:color w:val="auto"/>
        </w:rPr>
        <w:t>Combined CEO and Chair Role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20"/>
        <w:spacing w:after="0"/>
        <w:rPr>
          <w:sz w:val="20"/>
          <w:szCs w:val="20"/>
          <w:color w:val="auto"/>
        </w:rPr>
      </w:pPr>
      <w:r>
        <w:rPr>
          <w:rFonts w:ascii="Arial" w:cs="Arial" w:eastAsia="Arial" w:hAnsi="Arial"/>
          <w:sz w:val="17"/>
          <w:szCs w:val="17"/>
          <w:i w:val="1"/>
          <w:iCs w:val="1"/>
          <w:color w:val="auto"/>
        </w:rPr>
        <w:t>Board Refreshment and Tenure</w:t>
      </w:r>
    </w:p>
    <w:p>
      <w:pPr>
        <w:spacing w:after="0" w:line="20" w:lineRule="exact"/>
        <w:rPr>
          <w:sz w:val="20"/>
          <w:szCs w:val="20"/>
          <w:color w:val="auto"/>
        </w:rPr>
      </w:pPr>
      <w:r>
        <w:rPr>
          <w:sz w:val="20"/>
          <w:szCs w:val="20"/>
          <w:color w:val="auto"/>
        </w:rPr>
        <w:br w:type="column"/>
      </w:r>
    </w:p>
    <w:p>
      <w:pPr>
        <w:spacing w:after="0" w:line="385" w:lineRule="exact"/>
        <w:rPr>
          <w:sz w:val="20"/>
          <w:szCs w:val="20"/>
          <w:color w:val="auto"/>
        </w:rPr>
      </w:pPr>
    </w:p>
    <w:p>
      <w:pPr>
        <w:ind w:left="194" w:hanging="194"/>
        <w:spacing w:after="0" w:line="271" w:lineRule="auto"/>
        <w:tabs>
          <w:tab w:leader="none" w:pos="150" w:val="left"/>
        </w:tabs>
        <w:numPr>
          <w:ilvl w:val="0"/>
          <w:numId w:val="59"/>
        </w:numPr>
        <w:rPr>
          <w:rFonts w:ascii="Arial" w:cs="Arial" w:eastAsia="Arial" w:hAnsi="Arial"/>
          <w:sz w:val="13"/>
          <w:szCs w:val="13"/>
          <w:color w:val="0067B3"/>
        </w:rPr>
      </w:pPr>
      <w:r>
        <w:rPr>
          <w:rFonts w:ascii="Arial" w:cs="Arial" w:eastAsia="Arial" w:hAnsi="Arial"/>
          <w:sz w:val="18"/>
          <w:szCs w:val="18"/>
          <w:color w:val="auto"/>
        </w:rPr>
        <w:t>Shareholders asked about our combined Chair and CEO role.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194" w:right="400" w:hanging="194"/>
        <w:spacing w:after="0" w:line="268" w:lineRule="auto"/>
        <w:tabs>
          <w:tab w:leader="none" w:pos="150" w:val="left"/>
        </w:tabs>
        <w:numPr>
          <w:ilvl w:val="0"/>
          <w:numId w:val="60"/>
        </w:numPr>
        <w:rPr>
          <w:rFonts w:ascii="Arial" w:cs="Arial" w:eastAsia="Arial" w:hAnsi="Arial"/>
          <w:sz w:val="13"/>
          <w:szCs w:val="13"/>
          <w:color w:val="0067B3"/>
        </w:rPr>
      </w:pPr>
      <w:r>
        <w:rPr>
          <w:rFonts w:ascii="Arial" w:cs="Arial" w:eastAsia="Arial" w:hAnsi="Arial"/>
          <w:sz w:val="18"/>
          <w:szCs w:val="18"/>
          <w:color w:val="auto"/>
        </w:rPr>
        <w:t>Shareholders were interested in our Board of Directors’ refreshment practices and skills.</w:t>
      </w:r>
    </w:p>
    <w:p>
      <w:pPr>
        <w:spacing w:after="0" w:line="20" w:lineRule="exact"/>
        <w:rPr>
          <w:sz w:val="20"/>
          <w:szCs w:val="20"/>
          <w:color w:val="auto"/>
        </w:rPr>
      </w:pPr>
      <w:r>
        <w:rPr>
          <w:sz w:val="20"/>
          <w:szCs w:val="20"/>
          <w:color w:val="auto"/>
        </w:rPr>
        <w:br w:type="column"/>
      </w:r>
    </w:p>
    <w:p>
      <w:pPr>
        <w:spacing w:after="0" w:line="304" w:lineRule="exact"/>
        <w:rPr>
          <w:sz w:val="20"/>
          <w:szCs w:val="20"/>
          <w:color w:val="auto"/>
        </w:rPr>
      </w:pPr>
    </w:p>
    <w:p>
      <w:pPr>
        <w:spacing w:after="0"/>
        <w:rPr>
          <w:sz w:val="20"/>
          <w:szCs w:val="20"/>
          <w:color w:val="auto"/>
        </w:rPr>
      </w:pPr>
      <w:r>
        <w:rPr>
          <w:rFonts w:ascii="Arial" w:cs="Arial" w:eastAsia="Arial" w:hAnsi="Arial"/>
          <w:sz w:val="13"/>
          <w:szCs w:val="13"/>
          <w:color w:val="0067B3"/>
        </w:rPr>
        <w:t xml:space="preserve">u </w:t>
      </w:r>
      <w:r>
        <w:rPr>
          <w:rFonts w:ascii="Arial" w:cs="Arial" w:eastAsia="Arial" w:hAnsi="Arial"/>
          <w:sz w:val="17"/>
          <w:szCs w:val="17"/>
          <w:color w:val="000000"/>
        </w:rPr>
        <w:t>Our Board of Directors believes the combined CEO</w:t>
      </w:r>
    </w:p>
    <w:p>
      <w:pPr>
        <w:spacing w:after="0" w:line="39" w:lineRule="exact"/>
        <w:rPr>
          <w:sz w:val="20"/>
          <w:szCs w:val="20"/>
          <w:color w:val="auto"/>
        </w:rPr>
      </w:pPr>
    </w:p>
    <w:p>
      <w:pPr>
        <w:ind w:left="180"/>
        <w:spacing w:after="0"/>
        <w:rPr>
          <w:sz w:val="20"/>
          <w:szCs w:val="20"/>
          <w:color w:val="auto"/>
        </w:rPr>
      </w:pPr>
      <w:r>
        <w:rPr>
          <w:rFonts w:ascii="Arial" w:cs="Arial" w:eastAsia="Arial" w:hAnsi="Arial"/>
          <w:sz w:val="18"/>
          <w:szCs w:val="18"/>
          <w:color w:val="auto"/>
        </w:rPr>
        <w:t>and Chair role continues to currently be the</w:t>
      </w:r>
    </w:p>
    <w:p>
      <w:pPr>
        <w:spacing w:after="0" w:line="9" w:lineRule="exact"/>
        <w:rPr>
          <w:sz w:val="20"/>
          <w:szCs w:val="20"/>
          <w:color w:val="auto"/>
        </w:rPr>
      </w:pPr>
    </w:p>
    <w:p>
      <w:pPr>
        <w:ind w:left="180"/>
        <w:spacing w:after="0"/>
        <w:rPr>
          <w:sz w:val="20"/>
          <w:szCs w:val="20"/>
          <w:color w:val="auto"/>
        </w:rPr>
      </w:pPr>
      <w:r>
        <w:rPr>
          <w:rFonts w:ascii="Arial" w:cs="Arial" w:eastAsia="Arial" w:hAnsi="Arial"/>
          <w:sz w:val="18"/>
          <w:szCs w:val="18"/>
          <w:color w:val="auto"/>
        </w:rPr>
        <w:t>appropriate leadership structure given our strategic</w:t>
      </w:r>
    </w:p>
    <w:p>
      <w:pPr>
        <w:spacing w:after="0" w:line="9" w:lineRule="exact"/>
        <w:rPr>
          <w:sz w:val="20"/>
          <w:szCs w:val="20"/>
          <w:color w:val="auto"/>
        </w:rPr>
      </w:pPr>
    </w:p>
    <w:p>
      <w:pPr>
        <w:ind w:left="180"/>
        <w:spacing w:after="0"/>
        <w:rPr>
          <w:sz w:val="20"/>
          <w:szCs w:val="20"/>
          <w:color w:val="auto"/>
        </w:rPr>
      </w:pPr>
      <w:r>
        <w:rPr>
          <w:rFonts w:ascii="Arial" w:cs="Arial" w:eastAsia="Arial" w:hAnsi="Arial"/>
          <w:sz w:val="18"/>
          <w:szCs w:val="18"/>
          <w:color w:val="auto"/>
        </w:rPr>
        <w:t>objectives. Our Lead Independent Director serves as a</w:t>
      </w:r>
    </w:p>
    <w:p>
      <w:pPr>
        <w:spacing w:after="0" w:line="9" w:lineRule="exact"/>
        <w:rPr>
          <w:sz w:val="20"/>
          <w:szCs w:val="20"/>
          <w:color w:val="auto"/>
        </w:rPr>
      </w:pPr>
    </w:p>
    <w:p>
      <w:pPr>
        <w:ind w:left="180"/>
        <w:spacing w:after="0"/>
        <w:rPr>
          <w:sz w:val="20"/>
          <w:szCs w:val="20"/>
          <w:color w:val="auto"/>
        </w:rPr>
      </w:pPr>
      <w:r>
        <w:rPr>
          <w:rFonts w:ascii="Arial" w:cs="Arial" w:eastAsia="Arial" w:hAnsi="Arial"/>
          <w:sz w:val="18"/>
          <w:szCs w:val="18"/>
          <w:color w:val="auto"/>
        </w:rPr>
        <w:t>strong and effective independent partner to our CEO</w:t>
      </w:r>
    </w:p>
    <w:p>
      <w:pPr>
        <w:spacing w:after="0" w:line="9" w:lineRule="exact"/>
        <w:rPr>
          <w:sz w:val="20"/>
          <w:szCs w:val="20"/>
          <w:color w:val="auto"/>
        </w:rPr>
      </w:pPr>
    </w:p>
    <w:p>
      <w:pPr>
        <w:ind w:left="180"/>
        <w:spacing w:after="0"/>
        <w:rPr>
          <w:sz w:val="20"/>
          <w:szCs w:val="20"/>
          <w:color w:val="auto"/>
        </w:rPr>
      </w:pPr>
      <w:r>
        <w:rPr>
          <w:rFonts w:ascii="Arial" w:cs="Arial" w:eastAsia="Arial" w:hAnsi="Arial"/>
          <w:sz w:val="18"/>
          <w:szCs w:val="18"/>
          <w:color w:val="auto"/>
        </w:rPr>
        <w:t>and Chair, working closely with our CEO and Chair to</w:t>
      </w:r>
    </w:p>
    <w:p>
      <w:pPr>
        <w:spacing w:after="0" w:line="9" w:lineRule="exact"/>
        <w:rPr>
          <w:sz w:val="20"/>
          <w:szCs w:val="20"/>
          <w:color w:val="auto"/>
        </w:rPr>
      </w:pPr>
    </w:p>
    <w:p>
      <w:pPr>
        <w:ind w:left="180"/>
        <w:spacing w:after="0"/>
        <w:rPr>
          <w:sz w:val="20"/>
          <w:szCs w:val="20"/>
          <w:color w:val="auto"/>
        </w:rPr>
      </w:pPr>
      <w:r>
        <w:rPr>
          <w:rFonts w:ascii="Arial" w:cs="Arial" w:eastAsia="Arial" w:hAnsi="Arial"/>
          <w:sz w:val="18"/>
          <w:szCs w:val="18"/>
          <w:color w:val="auto"/>
        </w:rPr>
        <w:t>set and approve the Board of Directors’ meeting</w:t>
      </w:r>
    </w:p>
    <w:p>
      <w:pPr>
        <w:spacing w:after="0" w:line="9" w:lineRule="exact"/>
        <w:rPr>
          <w:sz w:val="20"/>
          <w:szCs w:val="20"/>
          <w:color w:val="auto"/>
        </w:rPr>
      </w:pPr>
    </w:p>
    <w:p>
      <w:pPr>
        <w:ind w:left="180"/>
        <w:spacing w:after="0"/>
        <w:rPr>
          <w:sz w:val="20"/>
          <w:szCs w:val="20"/>
          <w:color w:val="auto"/>
        </w:rPr>
      </w:pPr>
      <w:r>
        <w:rPr>
          <w:rFonts w:ascii="Arial" w:cs="Arial" w:eastAsia="Arial" w:hAnsi="Arial"/>
          <w:sz w:val="18"/>
          <w:szCs w:val="18"/>
          <w:color w:val="auto"/>
        </w:rPr>
        <w:t>schedule and agenda, leads executive sessions of the</w:t>
      </w:r>
    </w:p>
    <w:p>
      <w:pPr>
        <w:spacing w:after="0" w:line="9" w:lineRule="exact"/>
        <w:rPr>
          <w:sz w:val="20"/>
          <w:szCs w:val="20"/>
          <w:color w:val="auto"/>
        </w:rPr>
      </w:pPr>
    </w:p>
    <w:p>
      <w:pPr>
        <w:ind w:left="180"/>
        <w:spacing w:after="0"/>
        <w:rPr>
          <w:sz w:val="20"/>
          <w:szCs w:val="20"/>
          <w:color w:val="auto"/>
        </w:rPr>
      </w:pPr>
      <w:r>
        <w:rPr>
          <w:rFonts w:ascii="Arial" w:cs="Arial" w:eastAsia="Arial" w:hAnsi="Arial"/>
          <w:sz w:val="17"/>
          <w:szCs w:val="17"/>
          <w:color w:val="auto"/>
        </w:rPr>
        <w:t>independent directors, and serves as the focal point for</w:t>
      </w:r>
    </w:p>
    <w:p>
      <w:pPr>
        <w:spacing w:after="0" w:line="21" w:lineRule="exact"/>
        <w:rPr>
          <w:sz w:val="20"/>
          <w:szCs w:val="20"/>
          <w:color w:val="auto"/>
        </w:rPr>
      </w:pPr>
    </w:p>
    <w:p>
      <w:pPr>
        <w:ind w:left="180"/>
        <w:spacing w:after="0"/>
        <w:rPr>
          <w:sz w:val="20"/>
          <w:szCs w:val="20"/>
          <w:color w:val="auto"/>
        </w:rPr>
      </w:pPr>
      <w:r>
        <w:rPr>
          <w:rFonts w:ascii="Arial" w:cs="Arial" w:eastAsia="Arial" w:hAnsi="Arial"/>
          <w:sz w:val="18"/>
          <w:szCs w:val="18"/>
          <w:color w:val="auto"/>
        </w:rPr>
        <w:t>shareholder communications with the independent</w:t>
      </w:r>
    </w:p>
    <w:p>
      <w:pPr>
        <w:spacing w:after="0" w:line="9" w:lineRule="exact"/>
        <w:rPr>
          <w:sz w:val="20"/>
          <w:szCs w:val="20"/>
          <w:color w:val="auto"/>
        </w:rPr>
      </w:pPr>
    </w:p>
    <w:p>
      <w:pPr>
        <w:ind w:left="180"/>
        <w:spacing w:after="0"/>
        <w:rPr>
          <w:sz w:val="20"/>
          <w:szCs w:val="20"/>
          <w:color w:val="auto"/>
        </w:rPr>
      </w:pPr>
      <w:r>
        <w:rPr>
          <w:rFonts w:ascii="Arial" w:cs="Arial" w:eastAsia="Arial" w:hAnsi="Arial"/>
          <w:sz w:val="18"/>
          <w:szCs w:val="18"/>
          <w:color w:val="auto"/>
        </w:rPr>
        <w:t>directors, among other responsibilities.</w:t>
      </w:r>
    </w:p>
    <w:p>
      <w:pPr>
        <w:spacing w:after="0" w:line="221" w:lineRule="exact"/>
        <w:rPr>
          <w:sz w:val="20"/>
          <w:szCs w:val="20"/>
          <w:color w:val="auto"/>
        </w:rPr>
      </w:pPr>
    </w:p>
    <w:p>
      <w:pPr>
        <w:spacing w:after="0"/>
        <w:rPr>
          <w:sz w:val="20"/>
          <w:szCs w:val="20"/>
          <w:color w:val="auto"/>
        </w:rPr>
      </w:pPr>
      <w:r>
        <w:rPr>
          <w:rFonts w:ascii="Arial" w:cs="Arial" w:eastAsia="Arial" w:hAnsi="Arial"/>
          <w:sz w:val="13"/>
          <w:szCs w:val="13"/>
          <w:color w:val="0067B3"/>
        </w:rPr>
        <w:t xml:space="preserve">u </w:t>
      </w:r>
      <w:r>
        <w:rPr>
          <w:rFonts w:ascii="Arial" w:cs="Arial" w:eastAsia="Arial" w:hAnsi="Arial"/>
          <w:sz w:val="17"/>
          <w:szCs w:val="17"/>
          <w:color w:val="000000"/>
        </w:rPr>
        <w:t>Our Board of Directors continues its focus on</w:t>
      </w:r>
    </w:p>
    <w:p>
      <w:pPr>
        <w:spacing w:after="0" w:line="39" w:lineRule="exact"/>
        <w:rPr>
          <w:sz w:val="20"/>
          <w:szCs w:val="20"/>
          <w:color w:val="auto"/>
        </w:rPr>
      </w:pPr>
    </w:p>
    <w:p>
      <w:pPr>
        <w:ind w:left="180"/>
        <w:spacing w:after="0"/>
        <w:rPr>
          <w:sz w:val="20"/>
          <w:szCs w:val="20"/>
          <w:color w:val="auto"/>
        </w:rPr>
      </w:pPr>
      <w:r>
        <w:rPr>
          <w:rFonts w:ascii="Arial" w:cs="Arial" w:eastAsia="Arial" w:hAnsi="Arial"/>
          <w:sz w:val="18"/>
          <w:szCs w:val="18"/>
          <w:color w:val="auto"/>
        </w:rPr>
        <w:t>refreshment practices to align with our strategic visions</w:t>
      </w:r>
    </w:p>
    <w:p>
      <w:pPr>
        <w:spacing w:after="0" w:line="9" w:lineRule="exact"/>
        <w:rPr>
          <w:sz w:val="20"/>
          <w:szCs w:val="20"/>
          <w:color w:val="auto"/>
        </w:rPr>
      </w:pPr>
    </w:p>
    <w:p>
      <w:pPr>
        <w:ind w:left="180"/>
        <w:spacing w:after="0"/>
        <w:rPr>
          <w:sz w:val="20"/>
          <w:szCs w:val="20"/>
          <w:color w:val="auto"/>
        </w:rPr>
      </w:pPr>
      <w:r>
        <w:rPr>
          <w:rFonts w:ascii="Arial" w:cs="Arial" w:eastAsia="Arial" w:hAnsi="Arial"/>
          <w:sz w:val="18"/>
          <w:szCs w:val="18"/>
          <w:color w:val="auto"/>
        </w:rPr>
        <w:t>and objectives, adding Dr. Matsuoka as a director in</w:t>
      </w:r>
    </w:p>
    <w:p>
      <w:pPr>
        <w:spacing w:after="0" w:line="9" w:lineRule="exact"/>
        <w:rPr>
          <w:sz w:val="20"/>
          <w:szCs w:val="20"/>
          <w:color w:val="auto"/>
        </w:rPr>
      </w:pPr>
    </w:p>
    <w:p>
      <w:pPr>
        <w:ind w:left="180"/>
        <w:spacing w:after="0"/>
        <w:rPr>
          <w:sz w:val="20"/>
          <w:szCs w:val="20"/>
          <w:color w:val="auto"/>
        </w:rPr>
      </w:pPr>
      <w:r>
        <w:rPr>
          <w:rFonts w:ascii="Arial" w:cs="Arial" w:eastAsia="Arial" w:hAnsi="Arial"/>
          <w:sz w:val="18"/>
          <w:szCs w:val="18"/>
          <w:color w:val="auto"/>
        </w:rPr>
        <w:t>January 2026.</w:t>
      </w:r>
    </w:p>
    <w:p>
      <w:pPr>
        <w:spacing w:after="0" w:line="200" w:lineRule="exact"/>
        <w:rPr>
          <w:sz w:val="20"/>
          <w:szCs w:val="20"/>
          <w:color w:val="auto"/>
        </w:rPr>
      </w:pPr>
    </w:p>
    <w:p>
      <w:pPr>
        <w:sectPr>
          <w:pgSz w:w="11900" w:h="16838" w:orient="portrait"/>
          <w:cols w:equalWidth="0" w:num="3">
            <w:col w:w="2540" w:space="226"/>
            <w:col w:w="3394" w:space="360"/>
            <w:col w:w="4720"/>
          </w:cols>
          <w:pgMar w:left="320" w:top="1174" w:right="339" w:bottom="894" w:gutter="0" w:footer="0" w:header="0"/>
          <w:type w:val="continuous"/>
        </w:sectPr>
      </w:pPr>
    </w:p>
    <w:p>
      <w:pPr>
        <w:spacing w:after="0" w:line="9" w:lineRule="exact"/>
        <w:rPr>
          <w:sz w:val="20"/>
          <w:szCs w:val="20"/>
          <w:color w:val="auto"/>
        </w:rPr>
      </w:pPr>
    </w:p>
    <w:tbl>
      <w:tblPr>
        <w:tblLayout w:type="fixed"/>
        <w:tblInd w:w="20" w:type="dxa"/>
        <w:tblCellMar>
          <w:top w:w="0" w:type="dxa"/>
          <w:left w:w="0" w:type="dxa"/>
          <w:bottom w:w="0" w:type="dxa"/>
          <w:right w:w="0" w:type="dxa"/>
        </w:tblCellMar>
      </w:tblPr>
      <w:tr>
        <w:trPr>
          <w:trHeight w:val="237"/>
        </w:trPr>
        <w:tc>
          <w:tcPr>
            <w:tcW w:w="2300" w:type="dxa"/>
            <w:vAlign w:val="bottom"/>
          </w:tcPr>
          <w:p>
            <w:pPr>
              <w:spacing w:after="0"/>
              <w:rPr>
                <w:sz w:val="20"/>
                <w:szCs w:val="20"/>
                <w:color w:val="auto"/>
              </w:rPr>
            </w:pPr>
            <w:r>
              <w:rPr>
                <w:rFonts w:ascii="Arial" w:cs="Arial" w:eastAsia="Arial" w:hAnsi="Arial"/>
                <w:sz w:val="18"/>
                <w:szCs w:val="18"/>
                <w:i w:val="1"/>
                <w:iCs w:val="1"/>
                <w:color w:val="auto"/>
              </w:rPr>
              <w:t>Special Meeting Rights</w:t>
            </w:r>
          </w:p>
        </w:tc>
        <w:tc>
          <w:tcPr>
            <w:tcW w:w="560" w:type="dxa"/>
            <w:vAlign w:val="bottom"/>
            <w:vMerge w:val="restart"/>
          </w:tcPr>
          <w:p>
            <w:pPr>
              <w:ind w:left="440"/>
              <w:spacing w:after="0"/>
              <w:rPr>
                <w:sz w:val="20"/>
                <w:szCs w:val="20"/>
                <w:color w:val="auto"/>
              </w:rPr>
            </w:pPr>
            <w:r>
              <w:rPr>
                <w:rFonts w:ascii="Arial" w:cs="Arial" w:eastAsia="Arial" w:hAnsi="Arial"/>
                <w:sz w:val="13"/>
                <w:szCs w:val="13"/>
                <w:color w:val="0067B3"/>
              </w:rPr>
              <w:t>u</w:t>
            </w:r>
          </w:p>
        </w:tc>
        <w:tc>
          <w:tcPr>
            <w:tcW w:w="3200" w:type="dxa"/>
            <w:vAlign w:val="bottom"/>
            <w:vMerge w:val="restart"/>
          </w:tcPr>
          <w:p>
            <w:pPr>
              <w:ind w:left="40"/>
              <w:spacing w:after="0"/>
              <w:rPr>
                <w:sz w:val="20"/>
                <w:szCs w:val="20"/>
                <w:color w:val="auto"/>
              </w:rPr>
            </w:pPr>
            <w:r>
              <w:rPr>
                <w:rFonts w:ascii="Arial" w:cs="Arial" w:eastAsia="Arial" w:hAnsi="Arial"/>
                <w:sz w:val="18"/>
                <w:szCs w:val="18"/>
                <w:color w:val="auto"/>
                <w:w w:val="99"/>
              </w:rPr>
              <w:t>Shareholders expressed support for the</w:t>
            </w:r>
          </w:p>
        </w:tc>
        <w:tc>
          <w:tcPr>
            <w:tcW w:w="0" w:type="dxa"/>
            <w:vAlign w:val="bottom"/>
          </w:tcPr>
          <w:p>
            <w:pPr>
              <w:spacing w:after="0"/>
              <w:rPr>
                <w:sz w:val="1"/>
                <w:szCs w:val="1"/>
                <w:color w:val="auto"/>
              </w:rPr>
            </w:pPr>
          </w:p>
        </w:tc>
      </w:tr>
      <w:tr>
        <w:trPr>
          <w:trHeight w:val="58"/>
        </w:trPr>
        <w:tc>
          <w:tcPr>
            <w:tcW w:w="2300" w:type="dxa"/>
            <w:vAlign w:val="bottom"/>
          </w:tcPr>
          <w:p>
            <w:pPr>
              <w:spacing w:after="0"/>
              <w:rPr>
                <w:sz w:val="5"/>
                <w:szCs w:val="5"/>
                <w:color w:val="auto"/>
              </w:rPr>
            </w:pPr>
          </w:p>
        </w:tc>
        <w:tc>
          <w:tcPr>
            <w:tcW w:w="560" w:type="dxa"/>
            <w:vAlign w:val="bottom"/>
            <w:vMerge w:val="continue"/>
          </w:tcPr>
          <w:p>
            <w:pPr>
              <w:spacing w:after="0"/>
              <w:rPr>
                <w:sz w:val="5"/>
                <w:szCs w:val="5"/>
                <w:color w:val="auto"/>
              </w:rPr>
            </w:pPr>
          </w:p>
        </w:tc>
        <w:tc>
          <w:tcPr>
            <w:tcW w:w="32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23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200" w:type="dxa"/>
            <w:vAlign w:val="bottom"/>
          </w:tcPr>
          <w:p>
            <w:pPr>
              <w:ind w:left="80"/>
              <w:spacing w:after="0"/>
              <w:rPr>
                <w:sz w:val="20"/>
                <w:szCs w:val="20"/>
                <w:color w:val="auto"/>
              </w:rPr>
            </w:pPr>
            <w:r>
              <w:rPr>
                <w:rFonts w:ascii="Arial" w:cs="Arial" w:eastAsia="Arial" w:hAnsi="Arial"/>
                <w:sz w:val="18"/>
                <w:szCs w:val="18"/>
                <w:color w:val="auto"/>
              </w:rPr>
              <w:t>Board of Directors’ decision to reduce</w:t>
            </w:r>
          </w:p>
        </w:tc>
        <w:tc>
          <w:tcPr>
            <w:tcW w:w="0" w:type="dxa"/>
            <w:vAlign w:val="bottom"/>
          </w:tcPr>
          <w:p>
            <w:pPr>
              <w:spacing w:after="0"/>
              <w:rPr>
                <w:sz w:val="1"/>
                <w:szCs w:val="1"/>
                <w:color w:val="auto"/>
              </w:rPr>
            </w:pPr>
          </w:p>
        </w:tc>
      </w:tr>
      <w:tr>
        <w:trPr>
          <w:trHeight w:val="216"/>
        </w:trPr>
        <w:tc>
          <w:tcPr>
            <w:tcW w:w="23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200" w:type="dxa"/>
            <w:vAlign w:val="bottom"/>
          </w:tcPr>
          <w:p>
            <w:pPr>
              <w:ind w:left="80"/>
              <w:spacing w:after="0"/>
              <w:rPr>
                <w:sz w:val="20"/>
                <w:szCs w:val="20"/>
                <w:color w:val="auto"/>
              </w:rPr>
            </w:pPr>
            <w:r>
              <w:rPr>
                <w:rFonts w:ascii="Arial" w:cs="Arial" w:eastAsia="Arial" w:hAnsi="Arial"/>
                <w:sz w:val="18"/>
                <w:szCs w:val="18"/>
                <w:color w:val="auto"/>
              </w:rPr>
              <w:t>the ownership threshold for</w:t>
            </w:r>
          </w:p>
        </w:tc>
        <w:tc>
          <w:tcPr>
            <w:tcW w:w="0" w:type="dxa"/>
            <w:vAlign w:val="bottom"/>
          </w:tcPr>
          <w:p>
            <w:pPr>
              <w:spacing w:after="0"/>
              <w:rPr>
                <w:sz w:val="1"/>
                <w:szCs w:val="1"/>
                <w:color w:val="auto"/>
              </w:rPr>
            </w:pPr>
          </w:p>
        </w:tc>
      </w:tr>
      <w:tr>
        <w:trPr>
          <w:trHeight w:val="216"/>
        </w:trPr>
        <w:tc>
          <w:tcPr>
            <w:tcW w:w="23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200" w:type="dxa"/>
            <w:vAlign w:val="bottom"/>
          </w:tcPr>
          <w:p>
            <w:pPr>
              <w:ind w:left="80"/>
              <w:spacing w:after="0"/>
              <w:rPr>
                <w:sz w:val="20"/>
                <w:szCs w:val="20"/>
                <w:color w:val="auto"/>
              </w:rPr>
            </w:pPr>
            <w:r>
              <w:rPr>
                <w:rFonts w:ascii="Arial" w:cs="Arial" w:eastAsia="Arial" w:hAnsi="Arial"/>
                <w:sz w:val="18"/>
                <w:szCs w:val="18"/>
                <w:color w:val="auto"/>
              </w:rPr>
              <w:t>shareholders to call a special meeting</w:t>
            </w:r>
          </w:p>
        </w:tc>
        <w:tc>
          <w:tcPr>
            <w:tcW w:w="0" w:type="dxa"/>
            <w:vAlign w:val="bottom"/>
          </w:tcPr>
          <w:p>
            <w:pPr>
              <w:spacing w:after="0"/>
              <w:rPr>
                <w:sz w:val="1"/>
                <w:szCs w:val="1"/>
                <w:color w:val="auto"/>
              </w:rPr>
            </w:pPr>
          </w:p>
        </w:tc>
      </w:tr>
      <w:tr>
        <w:trPr>
          <w:trHeight w:val="239"/>
        </w:trPr>
        <w:tc>
          <w:tcPr>
            <w:tcW w:w="23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200" w:type="dxa"/>
            <w:vAlign w:val="bottom"/>
          </w:tcPr>
          <w:p>
            <w:pPr>
              <w:ind w:left="80"/>
              <w:spacing w:after="0"/>
              <w:rPr>
                <w:sz w:val="20"/>
                <w:szCs w:val="20"/>
                <w:color w:val="auto"/>
              </w:rPr>
            </w:pPr>
            <w:r>
              <w:rPr>
                <w:rFonts w:ascii="Arial" w:cs="Arial" w:eastAsia="Arial" w:hAnsi="Arial"/>
                <w:sz w:val="18"/>
                <w:szCs w:val="18"/>
                <w:color w:val="auto"/>
              </w:rPr>
              <w:t>under our Bylaws to 25%.</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68" w:lineRule="exact"/>
        <w:rPr>
          <w:sz w:val="20"/>
          <w:szCs w:val="20"/>
          <w:color w:val="auto"/>
        </w:rPr>
      </w:pPr>
    </w:p>
    <w:p>
      <w:pPr>
        <w:spacing w:after="0"/>
        <w:rPr>
          <w:sz w:val="20"/>
          <w:szCs w:val="20"/>
          <w:color w:val="auto"/>
        </w:rPr>
      </w:pPr>
      <w:r>
        <w:rPr>
          <w:rFonts w:ascii="Arial" w:cs="Arial" w:eastAsia="Arial" w:hAnsi="Arial"/>
          <w:sz w:val="13"/>
          <w:szCs w:val="13"/>
          <w:color w:val="0067B3"/>
        </w:rPr>
        <w:t xml:space="preserve">u </w:t>
      </w:r>
      <w:r>
        <w:rPr>
          <w:rFonts w:ascii="Arial" w:cs="Arial" w:eastAsia="Arial" w:hAnsi="Arial"/>
          <w:sz w:val="17"/>
          <w:szCs w:val="17"/>
          <w:color w:val="000000"/>
        </w:rPr>
        <w:t>The Board of Directors continues to believe that a 25%</w:t>
      </w:r>
    </w:p>
    <w:p>
      <w:pPr>
        <w:spacing w:after="0" w:line="39" w:lineRule="exact"/>
        <w:rPr>
          <w:sz w:val="20"/>
          <w:szCs w:val="20"/>
          <w:color w:val="auto"/>
        </w:rPr>
      </w:pPr>
    </w:p>
    <w:p>
      <w:pPr>
        <w:ind w:left="180"/>
        <w:spacing w:after="0"/>
        <w:rPr>
          <w:sz w:val="20"/>
          <w:szCs w:val="20"/>
          <w:color w:val="auto"/>
        </w:rPr>
      </w:pPr>
      <w:r>
        <w:rPr>
          <w:rFonts w:ascii="Arial" w:cs="Arial" w:eastAsia="Arial" w:hAnsi="Arial"/>
          <w:sz w:val="18"/>
          <w:szCs w:val="18"/>
          <w:color w:val="auto"/>
        </w:rPr>
        <w:t>threshold with such shares having been held</w:t>
      </w:r>
    </w:p>
    <w:p>
      <w:pPr>
        <w:spacing w:after="0" w:line="9" w:lineRule="exact"/>
        <w:rPr>
          <w:sz w:val="20"/>
          <w:szCs w:val="20"/>
          <w:color w:val="auto"/>
        </w:rPr>
      </w:pPr>
    </w:p>
    <w:p>
      <w:pPr>
        <w:ind w:left="180"/>
        <w:spacing w:after="0"/>
        <w:rPr>
          <w:sz w:val="20"/>
          <w:szCs w:val="20"/>
          <w:color w:val="auto"/>
        </w:rPr>
      </w:pPr>
      <w:r>
        <w:rPr>
          <w:rFonts w:ascii="Arial" w:cs="Arial" w:eastAsia="Arial" w:hAnsi="Arial"/>
          <w:sz w:val="18"/>
          <w:szCs w:val="18"/>
          <w:color w:val="auto"/>
        </w:rPr>
        <w:t>continuously for at least one year provides</w:t>
      </w:r>
    </w:p>
    <w:p>
      <w:pPr>
        <w:spacing w:after="0" w:line="9" w:lineRule="exact"/>
        <w:rPr>
          <w:sz w:val="20"/>
          <w:szCs w:val="20"/>
          <w:color w:val="auto"/>
        </w:rPr>
      </w:pPr>
    </w:p>
    <w:p>
      <w:pPr>
        <w:ind w:left="180"/>
        <w:spacing w:after="0"/>
        <w:rPr>
          <w:sz w:val="20"/>
          <w:szCs w:val="20"/>
          <w:color w:val="auto"/>
        </w:rPr>
      </w:pPr>
      <w:r>
        <w:rPr>
          <w:rFonts w:ascii="Arial" w:cs="Arial" w:eastAsia="Arial" w:hAnsi="Arial"/>
          <w:sz w:val="18"/>
          <w:szCs w:val="18"/>
          <w:color w:val="auto"/>
        </w:rPr>
        <w:t>shareholders a meaningful right to call a special</w:t>
      </w:r>
    </w:p>
    <w:p>
      <w:pPr>
        <w:spacing w:after="0" w:line="9" w:lineRule="exact"/>
        <w:rPr>
          <w:sz w:val="20"/>
          <w:szCs w:val="20"/>
          <w:color w:val="auto"/>
        </w:rPr>
      </w:pPr>
    </w:p>
    <w:p>
      <w:pPr>
        <w:ind w:left="180"/>
        <w:spacing w:after="0"/>
        <w:rPr>
          <w:sz w:val="20"/>
          <w:szCs w:val="20"/>
          <w:color w:val="auto"/>
        </w:rPr>
      </w:pPr>
      <w:r>
        <w:rPr>
          <w:rFonts w:ascii="Arial" w:cs="Arial" w:eastAsia="Arial" w:hAnsi="Arial"/>
          <w:sz w:val="17"/>
          <w:szCs w:val="17"/>
          <w:color w:val="auto"/>
        </w:rPr>
        <w:t>meeting of shareholders, and does so in a manner that</w:t>
      </w:r>
    </w:p>
    <w:p>
      <w:pPr>
        <w:spacing w:after="0" w:line="21" w:lineRule="exact"/>
        <w:rPr>
          <w:sz w:val="20"/>
          <w:szCs w:val="20"/>
          <w:color w:val="auto"/>
        </w:rPr>
      </w:pPr>
    </w:p>
    <w:p>
      <w:pPr>
        <w:ind w:left="180"/>
        <w:spacing w:after="0"/>
        <w:rPr>
          <w:sz w:val="20"/>
          <w:szCs w:val="20"/>
          <w:color w:val="auto"/>
        </w:rPr>
      </w:pPr>
      <w:r>
        <w:rPr>
          <w:rFonts w:ascii="Arial" w:cs="Arial" w:eastAsia="Arial" w:hAnsi="Arial"/>
          <w:sz w:val="18"/>
          <w:szCs w:val="18"/>
          <w:color w:val="auto"/>
        </w:rPr>
        <w:t>balances responsiveness with appropriate safeguards.</w:t>
      </w:r>
    </w:p>
    <w:p>
      <w:pPr>
        <w:spacing w:after="0" w:line="200" w:lineRule="exact"/>
        <w:rPr>
          <w:sz w:val="20"/>
          <w:szCs w:val="20"/>
          <w:color w:val="auto"/>
        </w:rPr>
      </w:pPr>
    </w:p>
    <w:p>
      <w:pPr>
        <w:sectPr>
          <w:pgSz w:w="11900" w:h="16838" w:orient="portrait"/>
          <w:cols w:equalWidth="0" w:num="2">
            <w:col w:w="6080" w:space="440"/>
            <w:col w:w="4720"/>
          </w:cols>
          <w:pgMar w:left="320" w:top="1174" w:right="339" w:bottom="894" w:gutter="0" w:footer="0" w:header="0"/>
          <w:type w:val="continuous"/>
        </w:sectPr>
      </w:pPr>
    </w:p>
    <w:p>
      <w:pPr>
        <w:spacing w:after="0" w:line="21"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ESG MATTERS</w:t>
      </w:r>
    </w:p>
    <w:p>
      <w:pPr>
        <w:spacing w:after="0" w:line="119" w:lineRule="exact"/>
        <w:rPr>
          <w:sz w:val="20"/>
          <w:szCs w:val="20"/>
          <w:color w:val="auto"/>
        </w:rPr>
      </w:pPr>
    </w:p>
    <w:p>
      <w:pPr>
        <w:ind w:left="20"/>
        <w:spacing w:after="0"/>
        <w:rPr>
          <w:sz w:val="20"/>
          <w:szCs w:val="20"/>
          <w:color w:val="auto"/>
        </w:rPr>
      </w:pPr>
      <w:r>
        <w:rPr>
          <w:rFonts w:ascii="Arial" w:cs="Arial" w:eastAsia="Arial" w:hAnsi="Arial"/>
          <w:sz w:val="17"/>
          <w:szCs w:val="17"/>
          <w:i w:val="1"/>
          <w:iCs w:val="1"/>
          <w:color w:val="auto"/>
        </w:rPr>
        <w:t>ESG Report and Targets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6" w:lineRule="exact"/>
        <w:rPr>
          <w:sz w:val="20"/>
          <w:szCs w:val="20"/>
          <w:color w:val="auto"/>
        </w:rPr>
      </w:pPr>
    </w:p>
    <w:p>
      <w:pPr>
        <w:ind w:left="194" w:right="14" w:hanging="194"/>
        <w:spacing w:after="0" w:line="259" w:lineRule="auto"/>
        <w:tabs>
          <w:tab w:leader="none" w:pos="150" w:val="left"/>
        </w:tabs>
        <w:numPr>
          <w:ilvl w:val="0"/>
          <w:numId w:val="61"/>
        </w:numPr>
        <w:rPr>
          <w:rFonts w:ascii="Arial" w:cs="Arial" w:eastAsia="Arial" w:hAnsi="Arial"/>
          <w:sz w:val="13"/>
          <w:szCs w:val="13"/>
          <w:color w:val="0067B3"/>
        </w:rPr>
      </w:pPr>
      <w:r>
        <w:rPr>
          <w:rFonts w:ascii="Arial" w:cs="Arial" w:eastAsia="Arial" w:hAnsi="Arial"/>
          <w:sz w:val="18"/>
          <w:szCs w:val="18"/>
          <w:color w:val="auto"/>
        </w:rPr>
        <w:t>Shareholders commended our ESG transparency and comprehensive disclosure, including more inclusive metrics reporting, and programmatic details.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-1750695</wp:posOffset>
            </wp:positionH>
            <wp:positionV relativeFrom="paragraph">
              <wp:posOffset>83185</wp:posOffset>
            </wp:positionV>
            <wp:extent cx="7132320" cy="825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6" w:lineRule="exact"/>
        <w:rPr>
          <w:sz w:val="20"/>
          <w:szCs w:val="20"/>
          <w:color w:val="auto"/>
        </w:rPr>
      </w:pPr>
    </w:p>
    <w:p>
      <w:pPr>
        <w:ind w:left="186" w:right="400" w:hanging="186"/>
        <w:spacing w:after="0" w:line="268" w:lineRule="auto"/>
        <w:tabs>
          <w:tab w:leader="none" w:pos="143" w:val="left"/>
        </w:tabs>
        <w:numPr>
          <w:ilvl w:val="0"/>
          <w:numId w:val="62"/>
        </w:numPr>
        <w:rPr>
          <w:rFonts w:ascii="Arial" w:cs="Arial" w:eastAsia="Arial" w:hAnsi="Arial"/>
          <w:sz w:val="13"/>
          <w:szCs w:val="13"/>
          <w:color w:val="0067B3"/>
        </w:rPr>
      </w:pPr>
      <w:r>
        <w:rPr>
          <w:rFonts w:ascii="Arial" w:cs="Arial" w:eastAsia="Arial" w:hAnsi="Arial"/>
          <w:sz w:val="18"/>
          <w:szCs w:val="18"/>
          <w:color w:val="auto"/>
        </w:rPr>
        <w:t>Continued transparent disclosure in our 2024 ESG Report issued in June 2025, transitioning to a fiscal-year aligned report.</w:t>
      </w:r>
    </w:p>
    <w:p>
      <w:pPr>
        <w:spacing w:after="0" w:line="623" w:lineRule="exact"/>
        <w:rPr>
          <w:sz w:val="20"/>
          <w:szCs w:val="20"/>
          <w:color w:val="auto"/>
        </w:rPr>
      </w:pPr>
    </w:p>
    <w:p>
      <w:pPr>
        <w:sectPr>
          <w:pgSz w:w="11900" w:h="16838" w:orient="portrait"/>
          <w:cols w:equalWidth="0" w:num="3">
            <w:col w:w="2046" w:space="720"/>
            <w:col w:w="3028" w:space="720"/>
            <w:col w:w="4726"/>
          </w:cols>
          <w:pgMar w:left="320" w:top="1174" w:right="339" w:bottom="894" w:gutter="0" w:footer="0" w:header="0"/>
          <w:type w:val="continuous"/>
        </w:sectPr>
      </w:pPr>
    </w:p>
    <w:p>
      <w:pPr>
        <w:spacing w:after="0" w:line="236" w:lineRule="exact"/>
        <w:rPr>
          <w:sz w:val="20"/>
          <w:szCs w:val="20"/>
          <w:color w:val="auto"/>
        </w:rPr>
      </w:pPr>
    </w:p>
    <w:p>
      <w:pPr>
        <w:ind w:right="660"/>
        <w:spacing w:after="0" w:line="287" w:lineRule="auto"/>
        <w:rPr>
          <w:sz w:val="20"/>
          <w:szCs w:val="20"/>
          <w:color w:val="auto"/>
        </w:rPr>
      </w:pPr>
      <w:r>
        <w:rPr>
          <w:rFonts w:ascii="Arial" w:cs="Arial" w:eastAsia="Arial" w:hAnsi="Arial"/>
          <w:sz w:val="18"/>
          <w:szCs w:val="18"/>
          <w:color w:val="auto"/>
        </w:rPr>
        <w:t>We intend to continue our shareholder outreach efforts on an ongoing basis and look forward to continuing to engage with our valued shareholders.</w:t>
      </w:r>
    </w:p>
    <w:p>
      <w:pPr>
        <w:sectPr>
          <w:pgSz w:w="11900" w:h="16838" w:orient="portrait"/>
          <w:cols w:equalWidth="0" w:num="1">
            <w:col w:w="11240"/>
          </w:cols>
          <w:pgMar w:left="320" w:top="1174" w:right="339" w:bottom="894" w:gutter="0" w:footer="0" w:header="0"/>
          <w:type w:val="continuous"/>
        </w:sectPr>
      </w:pPr>
    </w:p>
    <w:p>
      <w:pPr>
        <w:spacing w:after="0" w:line="200" w:lineRule="exact"/>
        <w:rPr>
          <w:sz w:val="20"/>
          <w:szCs w:val="20"/>
          <w:color w:val="auto"/>
        </w:rPr>
      </w:pPr>
    </w:p>
    <w:p>
      <w:pPr>
        <w:spacing w:after="0" w:line="266" w:lineRule="exact"/>
        <w:rPr>
          <w:sz w:val="20"/>
          <w:szCs w:val="20"/>
          <w:color w:val="auto"/>
        </w:rPr>
      </w:pPr>
    </w:p>
    <w:p>
      <w:pPr>
        <w:ind w:left="640" w:hanging="614"/>
        <w:spacing w:after="0"/>
        <w:tabs>
          <w:tab w:leader="none" w:pos="640" w:val="left"/>
        </w:tabs>
        <w:numPr>
          <w:ilvl w:val="0"/>
          <w:numId w:val="63"/>
        </w:numPr>
        <w:rPr>
          <w:rFonts w:ascii="Arial" w:cs="Arial" w:eastAsia="Arial" w:hAnsi="Arial"/>
          <w:sz w:val="20"/>
          <w:szCs w:val="20"/>
          <w:b w:val="1"/>
          <w:bCs w:val="1"/>
          <w:color w:val="auto"/>
        </w:rPr>
      </w:pPr>
      <w:r>
        <w:rPr>
          <w:rFonts w:ascii="Arial" w:cs="Arial" w:eastAsia="Arial" w:hAnsi="Arial"/>
          <w:sz w:val="16"/>
          <w:szCs w:val="16"/>
          <w:color w:val="6D6E71"/>
        </w:rPr>
        <w:t>Corporate Governance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186055</wp:posOffset>
            </wp:positionV>
            <wp:extent cx="7157720" cy="4254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4" w:right="339" w:bottom="894" w:gutter="0" w:footer="0" w:header="0"/>
          <w:type w:val="continuous"/>
        </w:sectPr>
      </w:pPr>
    </w:p>
    <w:bookmarkStart w:id="40" w:name="page41"/>
    <w:bookmarkEnd w:id="40"/>
    <w:p>
      <w:pPr>
        <w:spacing w:after="0"/>
        <w:rPr>
          <w:sz w:val="20"/>
          <w:szCs w:val="20"/>
          <w:color w:val="auto"/>
        </w:rPr>
      </w:pPr>
      <w:r>
        <w:rPr>
          <w:rFonts w:ascii="Arial" w:cs="Arial" w:eastAsia="Arial" w:hAnsi="Arial"/>
          <w:sz w:val="32"/>
          <w:szCs w:val="32"/>
          <w:b w:val="1"/>
          <w:bCs w:val="1"/>
          <w:color w:val="auto"/>
        </w:rPr>
        <w:t>Communications from Shareholders and Other Interested Parties</w:t>
      </w:r>
    </w:p>
    <w:p>
      <w:pPr>
        <w:spacing w:after="0" w:line="156" w:lineRule="exact"/>
        <w:rPr>
          <w:sz w:val="20"/>
          <w:szCs w:val="20"/>
          <w:color w:val="auto"/>
        </w:rPr>
      </w:pPr>
    </w:p>
    <w:p>
      <w:pPr>
        <w:jc w:val="both"/>
        <w:ind w:right="460"/>
        <w:spacing w:after="0" w:line="259" w:lineRule="auto"/>
        <w:rPr>
          <w:sz w:val="20"/>
          <w:szCs w:val="20"/>
          <w:color w:val="auto"/>
        </w:rPr>
      </w:pPr>
      <w:r>
        <w:rPr>
          <w:rFonts w:ascii="Arial" w:cs="Arial" w:eastAsia="Arial" w:hAnsi="Arial"/>
          <w:sz w:val="18"/>
          <w:szCs w:val="18"/>
          <w:color w:val="auto"/>
        </w:rPr>
        <w:t>The Board of Directors will give appropriate attention to written communications on issues that are submitted by shareholders and other interested parties, and will respond if and as appropriate. Absent unusual circumstances or as contemplated by committee charters, the Chair of the Nominating and Corporate Governance Committee will, with the assistance of ADI’s internal legal counsel, (1) be primarily responsible for monitoring communications from shareholders and other interested parties and (2) provide copies or summaries of such communications to the other directors as he or she considers appropriate.</w:t>
      </w:r>
    </w:p>
    <w:p>
      <w:pPr>
        <w:spacing w:after="0" w:line="71" w:lineRule="exact"/>
        <w:rPr>
          <w:sz w:val="20"/>
          <w:szCs w:val="20"/>
          <w:color w:val="auto"/>
        </w:rPr>
      </w:pPr>
    </w:p>
    <w:p>
      <w:pPr>
        <w:ind w:right="60"/>
        <w:spacing w:after="0" w:line="262" w:lineRule="auto"/>
        <w:rPr>
          <w:sz w:val="20"/>
          <w:szCs w:val="20"/>
          <w:color w:val="auto"/>
        </w:rPr>
      </w:pPr>
      <w:r>
        <w:rPr>
          <w:rFonts w:ascii="Arial" w:cs="Arial" w:eastAsia="Arial" w:hAnsi="Arial"/>
          <w:sz w:val="18"/>
          <w:szCs w:val="18"/>
          <w:color w:val="auto"/>
        </w:rPr>
        <w:t>Communications will be forwarded to all directors if they relate to substantive matters and include suggestions or comments that the Chair of the Nominating and Corporate Governance Committee considers to be important for the directors to review. In general, communications relating to corporate governance and long-term corporate strategy are more likely to be forwarded than communications relating to personal grievances, commercial solicitations, and matters as to which ADI tends to receive repetitive or duplicative communications.</w:t>
      </w:r>
    </w:p>
    <w:p>
      <w:pPr>
        <w:spacing w:after="0" w:line="68" w:lineRule="exact"/>
        <w:rPr>
          <w:sz w:val="20"/>
          <w:szCs w:val="20"/>
          <w:color w:val="auto"/>
        </w:rPr>
      </w:pPr>
    </w:p>
    <w:p>
      <w:pPr>
        <w:ind w:right="520"/>
        <w:spacing w:after="0" w:line="268" w:lineRule="auto"/>
        <w:rPr>
          <w:sz w:val="20"/>
          <w:szCs w:val="20"/>
          <w:color w:val="auto"/>
        </w:rPr>
      </w:pPr>
      <w:r>
        <w:rPr>
          <w:rFonts w:ascii="Arial" w:cs="Arial" w:eastAsia="Arial" w:hAnsi="Arial"/>
          <w:sz w:val="18"/>
          <w:szCs w:val="18"/>
          <w:color w:val="auto"/>
        </w:rPr>
        <w:t>Shareholders and other interested parties who wish to send communications on any topic to our Board of Directors (including the Lead Independent Director or the independent directors as a group) should address such communications to Stephen M. Jennings, Lead Independent Director, c/o Corporate Secretary, Analog Devices, Inc., One Analog Way, Wilmington, Massachusetts 01887.</w:t>
      </w:r>
    </w:p>
    <w:p>
      <w:pPr>
        <w:spacing w:after="0" w:line="245" w:lineRule="exact"/>
        <w:rPr>
          <w:sz w:val="20"/>
          <w:szCs w:val="20"/>
          <w:color w:val="auto"/>
        </w:rPr>
      </w:pPr>
    </w:p>
    <w:p>
      <w:pPr>
        <w:spacing w:after="0"/>
        <w:rPr>
          <w:sz w:val="20"/>
          <w:szCs w:val="20"/>
          <w:color w:val="auto"/>
        </w:rPr>
      </w:pPr>
      <w:r>
        <w:rPr>
          <w:rFonts w:ascii="Arial" w:cs="Arial" w:eastAsia="Arial" w:hAnsi="Arial"/>
          <w:sz w:val="41"/>
          <w:szCs w:val="41"/>
          <w:b w:val="1"/>
          <w:bCs w:val="1"/>
          <w:color w:val="0067B3"/>
        </w:rPr>
        <w:t>Other Governance Matters</w:t>
      </w:r>
    </w:p>
    <w:p>
      <w:pPr>
        <w:spacing w:after="0" w:line="266" w:lineRule="exact"/>
        <w:rPr>
          <w:sz w:val="20"/>
          <w:szCs w:val="20"/>
          <w:color w:val="auto"/>
        </w:rPr>
      </w:pPr>
    </w:p>
    <w:p>
      <w:pPr>
        <w:spacing w:after="0"/>
        <w:rPr>
          <w:sz w:val="20"/>
          <w:szCs w:val="20"/>
          <w:color w:val="auto"/>
        </w:rPr>
      </w:pPr>
      <w:r>
        <w:rPr>
          <w:rFonts w:ascii="Arial" w:cs="Arial" w:eastAsia="Arial" w:hAnsi="Arial"/>
          <w:sz w:val="32"/>
          <w:szCs w:val="32"/>
          <w:b w:val="1"/>
          <w:bCs w:val="1"/>
          <w:color w:val="auto"/>
        </w:rPr>
        <w:t>Governance Documents</w:t>
      </w:r>
    </w:p>
    <w:p>
      <w:pPr>
        <w:spacing w:after="0" w:line="156" w:lineRule="exact"/>
        <w:rPr>
          <w:sz w:val="20"/>
          <w:szCs w:val="20"/>
          <w:color w:val="auto"/>
        </w:rPr>
      </w:pPr>
    </w:p>
    <w:p>
      <w:pPr>
        <w:ind w:right="600"/>
        <w:spacing w:after="0" w:line="287" w:lineRule="auto"/>
        <w:rPr>
          <w:sz w:val="20"/>
          <w:szCs w:val="20"/>
          <w:color w:val="auto"/>
        </w:rPr>
      </w:pPr>
      <w:r>
        <w:rPr>
          <w:rFonts w:ascii="Arial" w:cs="Arial" w:eastAsia="Arial" w:hAnsi="Arial"/>
          <w:sz w:val="18"/>
          <w:szCs w:val="18"/>
          <w:color w:val="auto"/>
        </w:rPr>
        <w:t xml:space="preserve">Visit our website at </w:t>
      </w:r>
      <w:r>
        <w:rPr>
          <w:rFonts w:ascii="Arial" w:cs="Arial" w:eastAsia="Arial" w:hAnsi="Arial"/>
          <w:sz w:val="18"/>
          <w:szCs w:val="18"/>
          <w:color w:val="0067B3"/>
        </w:rPr>
        <w:t>https://investor.analog.com/governance/governance-documents</w:t>
      </w:r>
      <w:r>
        <w:rPr>
          <w:rFonts w:ascii="Arial" w:cs="Arial" w:eastAsia="Arial" w:hAnsi="Arial"/>
          <w:sz w:val="18"/>
          <w:szCs w:val="18"/>
          <w:color w:val="auto"/>
        </w:rPr>
        <w:t xml:space="preserve"> to view our corporate governance documents and policies, including:</w:t>
      </w:r>
    </w:p>
    <w:p>
      <w:pPr>
        <w:spacing w:after="0" w:line="45" w:lineRule="exact"/>
        <w:rPr>
          <w:sz w:val="20"/>
          <w:szCs w:val="20"/>
          <w:color w:val="auto"/>
        </w:rPr>
      </w:pPr>
    </w:p>
    <w:p>
      <w:pPr>
        <w:ind w:left="160" w:hanging="152"/>
        <w:spacing w:after="0"/>
        <w:tabs>
          <w:tab w:leader="none" w:pos="160" w:val="left"/>
        </w:tabs>
        <w:numPr>
          <w:ilvl w:val="0"/>
          <w:numId w:val="64"/>
        </w:numPr>
        <w:rPr>
          <w:rFonts w:ascii="Arial" w:cs="Arial" w:eastAsia="Arial" w:hAnsi="Arial"/>
          <w:sz w:val="13"/>
          <w:szCs w:val="13"/>
          <w:color w:val="0067B3"/>
        </w:rPr>
      </w:pPr>
      <w:r>
        <w:rPr>
          <w:rFonts w:ascii="Arial" w:cs="Arial" w:eastAsia="Arial" w:hAnsi="Arial"/>
          <w:sz w:val="18"/>
          <w:szCs w:val="18"/>
          <w:color w:val="auto"/>
        </w:rPr>
        <w:t>Corporate Governance Guidelines</w:t>
      </w:r>
    </w:p>
    <w:p>
      <w:pPr>
        <w:spacing w:after="0" w:line="90" w:lineRule="exact"/>
        <w:rPr>
          <w:rFonts w:ascii="Arial" w:cs="Arial" w:eastAsia="Arial" w:hAnsi="Arial"/>
          <w:sz w:val="13"/>
          <w:szCs w:val="13"/>
          <w:color w:val="0067B3"/>
        </w:rPr>
      </w:pPr>
    </w:p>
    <w:p>
      <w:pPr>
        <w:ind w:left="160" w:hanging="152"/>
        <w:spacing w:after="0"/>
        <w:tabs>
          <w:tab w:leader="none" w:pos="160" w:val="left"/>
        </w:tabs>
        <w:numPr>
          <w:ilvl w:val="0"/>
          <w:numId w:val="64"/>
        </w:numPr>
        <w:rPr>
          <w:rFonts w:ascii="Arial" w:cs="Arial" w:eastAsia="Arial" w:hAnsi="Arial"/>
          <w:sz w:val="13"/>
          <w:szCs w:val="13"/>
          <w:color w:val="0067B3"/>
        </w:rPr>
      </w:pPr>
      <w:r>
        <w:rPr>
          <w:rFonts w:ascii="Arial" w:cs="Arial" w:eastAsia="Arial" w:hAnsi="Arial"/>
          <w:sz w:val="18"/>
          <w:szCs w:val="18"/>
          <w:color w:val="auto"/>
        </w:rPr>
        <w:t>Committee Charters</w:t>
      </w:r>
    </w:p>
    <w:p>
      <w:pPr>
        <w:spacing w:after="0" w:line="76" w:lineRule="exact"/>
        <w:rPr>
          <w:rFonts w:ascii="Arial" w:cs="Arial" w:eastAsia="Arial" w:hAnsi="Arial"/>
          <w:sz w:val="13"/>
          <w:szCs w:val="13"/>
          <w:color w:val="0067B3"/>
        </w:rPr>
      </w:pPr>
    </w:p>
    <w:p>
      <w:pPr>
        <w:ind w:left="160" w:hanging="152"/>
        <w:spacing w:after="0"/>
        <w:tabs>
          <w:tab w:leader="none" w:pos="160" w:val="left"/>
        </w:tabs>
        <w:numPr>
          <w:ilvl w:val="0"/>
          <w:numId w:val="64"/>
        </w:numPr>
        <w:rPr>
          <w:rFonts w:ascii="Arial" w:cs="Arial" w:eastAsia="Arial" w:hAnsi="Arial"/>
          <w:sz w:val="13"/>
          <w:szCs w:val="13"/>
          <w:color w:val="0067B3"/>
        </w:rPr>
      </w:pPr>
      <w:r>
        <w:rPr>
          <w:rFonts w:ascii="Arial" w:cs="Arial" w:eastAsia="Arial" w:hAnsi="Arial"/>
          <w:sz w:val="18"/>
          <w:szCs w:val="18"/>
          <w:color w:val="auto"/>
        </w:rPr>
        <w:t>Code of Business Conduct and Ethics</w:t>
      </w:r>
    </w:p>
    <w:p>
      <w:pPr>
        <w:spacing w:after="0" w:line="76" w:lineRule="exact"/>
        <w:rPr>
          <w:rFonts w:ascii="Arial" w:cs="Arial" w:eastAsia="Arial" w:hAnsi="Arial"/>
          <w:sz w:val="13"/>
          <w:szCs w:val="13"/>
          <w:color w:val="0067B3"/>
        </w:rPr>
      </w:pPr>
    </w:p>
    <w:p>
      <w:pPr>
        <w:ind w:left="160" w:hanging="152"/>
        <w:spacing w:after="0"/>
        <w:tabs>
          <w:tab w:leader="none" w:pos="160" w:val="left"/>
        </w:tabs>
        <w:numPr>
          <w:ilvl w:val="0"/>
          <w:numId w:val="64"/>
        </w:numPr>
        <w:rPr>
          <w:rFonts w:ascii="Arial" w:cs="Arial" w:eastAsia="Arial" w:hAnsi="Arial"/>
          <w:sz w:val="13"/>
          <w:szCs w:val="13"/>
          <w:color w:val="0067B3"/>
        </w:rPr>
      </w:pPr>
      <w:r>
        <w:rPr>
          <w:rFonts w:ascii="Arial" w:cs="Arial" w:eastAsia="Arial" w:hAnsi="Arial"/>
          <w:sz w:val="18"/>
          <w:szCs w:val="18"/>
          <w:color w:val="auto"/>
        </w:rPr>
        <w:t>Political Contributions and Expenditures</w:t>
      </w:r>
    </w:p>
    <w:p>
      <w:pPr>
        <w:spacing w:after="0" w:line="254" w:lineRule="exact"/>
        <w:rPr>
          <w:sz w:val="20"/>
          <w:szCs w:val="20"/>
          <w:color w:val="auto"/>
        </w:rPr>
      </w:pPr>
    </w:p>
    <w:p>
      <w:pPr>
        <w:spacing w:after="0"/>
        <w:rPr>
          <w:sz w:val="20"/>
          <w:szCs w:val="20"/>
          <w:color w:val="auto"/>
        </w:rPr>
      </w:pPr>
      <w:r>
        <w:rPr>
          <w:rFonts w:ascii="Arial" w:cs="Arial" w:eastAsia="Arial" w:hAnsi="Arial"/>
          <w:sz w:val="32"/>
          <w:szCs w:val="32"/>
          <w:b w:val="1"/>
          <w:bCs w:val="1"/>
          <w:color w:val="auto"/>
        </w:rPr>
        <w:t>Certain Relationships and Related Transactions</w:t>
      </w:r>
    </w:p>
    <w:p>
      <w:pPr>
        <w:spacing w:after="0" w:line="227" w:lineRule="exact"/>
        <w:rPr>
          <w:sz w:val="20"/>
          <w:szCs w:val="20"/>
          <w:color w:val="auto"/>
        </w:rPr>
      </w:pPr>
    </w:p>
    <w:p>
      <w:pPr>
        <w:spacing w:after="0"/>
        <w:rPr>
          <w:sz w:val="20"/>
          <w:szCs w:val="20"/>
          <w:color w:val="auto"/>
        </w:rPr>
      </w:pPr>
      <w:r>
        <w:rPr>
          <w:rFonts w:ascii="Arial" w:cs="Arial" w:eastAsia="Arial" w:hAnsi="Arial"/>
          <w:sz w:val="27"/>
          <w:szCs w:val="27"/>
          <w:b w:val="1"/>
          <w:bCs w:val="1"/>
          <w:color w:val="0067B3"/>
        </w:rPr>
        <w:t>Transactions with Related Persons</w:t>
      </w:r>
    </w:p>
    <w:p>
      <w:pPr>
        <w:spacing w:after="0" w:line="132" w:lineRule="exact"/>
        <w:rPr>
          <w:sz w:val="20"/>
          <w:szCs w:val="20"/>
          <w:color w:val="auto"/>
        </w:rPr>
      </w:pPr>
    </w:p>
    <w:p>
      <w:pPr>
        <w:ind w:right="20"/>
        <w:spacing w:after="0" w:line="287" w:lineRule="auto"/>
        <w:rPr>
          <w:sz w:val="20"/>
          <w:szCs w:val="20"/>
          <w:color w:val="auto"/>
        </w:rPr>
      </w:pPr>
      <w:r>
        <w:rPr>
          <w:rFonts w:ascii="Arial" w:cs="Arial" w:eastAsia="Arial" w:hAnsi="Arial"/>
          <w:sz w:val="18"/>
          <w:szCs w:val="18"/>
          <w:color w:val="auto"/>
        </w:rPr>
        <w:t>There were no related person transactions that would require disclosure under Item 404 of Regulation S-K under the Exchange Act since the beginning of fiscal year 2025 through the date of this Proxy Statement.</w:t>
      </w:r>
    </w:p>
    <w:p>
      <w:pPr>
        <w:spacing w:after="0" w:line="142" w:lineRule="exact"/>
        <w:rPr>
          <w:sz w:val="20"/>
          <w:szCs w:val="20"/>
          <w:color w:val="auto"/>
        </w:rPr>
      </w:pPr>
    </w:p>
    <w:p>
      <w:pPr>
        <w:spacing w:after="0"/>
        <w:rPr>
          <w:sz w:val="20"/>
          <w:szCs w:val="20"/>
          <w:color w:val="auto"/>
        </w:rPr>
      </w:pPr>
      <w:r>
        <w:rPr>
          <w:rFonts w:ascii="Arial" w:cs="Arial" w:eastAsia="Arial" w:hAnsi="Arial"/>
          <w:sz w:val="27"/>
          <w:szCs w:val="27"/>
          <w:b w:val="1"/>
          <w:bCs w:val="1"/>
          <w:color w:val="0067B3"/>
        </w:rPr>
        <w:t>Policies and Procedures for Related Person Transactions</w:t>
      </w:r>
    </w:p>
    <w:p>
      <w:pPr>
        <w:spacing w:after="0" w:line="146" w:lineRule="exact"/>
        <w:rPr>
          <w:sz w:val="20"/>
          <w:szCs w:val="20"/>
          <w:color w:val="auto"/>
        </w:rPr>
      </w:pPr>
    </w:p>
    <w:p>
      <w:pPr>
        <w:ind w:right="200"/>
        <w:spacing w:after="0" w:line="262" w:lineRule="auto"/>
        <w:rPr>
          <w:sz w:val="20"/>
          <w:szCs w:val="20"/>
          <w:color w:val="auto"/>
        </w:rPr>
      </w:pPr>
      <w:r>
        <w:rPr>
          <w:rFonts w:ascii="Arial" w:cs="Arial" w:eastAsia="Arial" w:hAnsi="Arial"/>
          <w:sz w:val="18"/>
          <w:szCs w:val="18"/>
          <w:color w:val="auto"/>
        </w:rPr>
        <w:t>Our Board of Directors has adopted written policies and procedures for the review of any transaction, arrangement, or relationship in which ADI or any of its subsidiaries is a participant, the amount involved exceeds or is expected to exceed $120,000, and one of our executive officers, directors, director nominees, 5% shareholders, or any of their immediate family members, each of whom we refer to as a related person, has a direct or indirect material interest.</w:t>
      </w:r>
    </w:p>
    <w:p>
      <w:pPr>
        <w:spacing w:after="0" w:line="68"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If a related person proposes to enter into such a transaction, arrangement, or relationship, which we refer to as a related person transaction, the related person must report the proposed related person transaction to our Chief Legal Officer. The policy calls for the proposed related person transaction to be reviewed and, if deemed appropriate, approved by the Audit Committee. Whenever practicable, the reporting, review, and approval will occur prior to entry into the transaction. If our Chief Legal Officer determines that advance review and approval is not practicable, or if we become aware of the existence of a related person transaction that has not been previously approved under the policy, the Audit Committee will review the related person transaction at the next meeting of the Audit Committee and will consider all options with respect to the related person transaction, including ratification, amendment, or termination. The policy also permits the Chair of the Audit Committee to review and, if deemed appropriate, approve proposed related person transactions that arise between committee meetings, subject to ratification by the Audit Committee at its next meeting. Any related person transactions that are ongoing in nature will be reviewed annually.</w:t>
      </w:r>
    </w:p>
    <w:p>
      <w:pPr>
        <w:sectPr>
          <w:pgSz w:w="11900" w:h="16838" w:orient="portrait"/>
          <w:cols w:equalWidth="0" w:num="1">
            <w:col w:w="11220"/>
          </w:cols>
          <w:pgMar w:left="320" w:top="1311" w:right="359" w:bottom="1440" w:gutter="0" w:footer="0" w:header="0"/>
        </w:sectPr>
      </w:pPr>
    </w:p>
    <w:p>
      <w:pPr>
        <w:spacing w:after="0" w:line="200" w:lineRule="exact"/>
        <w:rPr>
          <w:sz w:val="20"/>
          <w:szCs w:val="20"/>
          <w:color w:val="auto"/>
        </w:rPr>
      </w:pPr>
    </w:p>
    <w:p>
      <w:pPr>
        <w:spacing w:after="0" w:line="251" w:lineRule="exact"/>
        <w:rPr>
          <w:sz w:val="20"/>
          <w:szCs w:val="20"/>
          <w:color w:val="auto"/>
        </w:rPr>
      </w:pPr>
    </w:p>
    <w:p>
      <w:pPr>
        <w:ind w:left="8980"/>
        <w:spacing w:after="0"/>
        <w:tabs>
          <w:tab w:leader="none" w:pos="10980" w:val="left"/>
        </w:tabs>
        <w:rPr>
          <w:sz w:val="20"/>
          <w:szCs w:val="20"/>
          <w:color w:val="auto"/>
        </w:rPr>
      </w:pPr>
      <w:r>
        <w:rPr>
          <w:rFonts w:ascii="Arial" w:cs="Arial" w:eastAsia="Arial" w:hAnsi="Arial"/>
          <w:sz w:val="16"/>
          <w:szCs w:val="16"/>
          <w:color w:val="0067B3"/>
        </w:rPr>
        <w:t>2026 Proxy Statement</w:t>
      </w:r>
      <w:r>
        <w:rPr>
          <w:sz w:val="20"/>
          <w:szCs w:val="20"/>
          <w:color w:val="auto"/>
        </w:rPr>
        <w:tab/>
      </w:r>
      <w:r>
        <w:rPr>
          <w:rFonts w:ascii="Arial" w:cs="Arial" w:eastAsia="Arial" w:hAnsi="Arial"/>
          <w:sz w:val="19"/>
          <w:szCs w:val="19"/>
          <w:b w:val="1"/>
          <w:bCs w:val="1"/>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223520</wp:posOffset>
            </wp:positionV>
            <wp:extent cx="7157720" cy="4254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11" w:right="359" w:bottom="1440" w:gutter="0" w:footer="0" w:header="0"/>
          <w:type w:val="continuous"/>
        </w:sectPr>
      </w:pPr>
    </w:p>
    <w:bookmarkStart w:id="41" w:name="page42"/>
    <w:bookmarkEnd w:id="41"/>
    <w:p>
      <w:pPr>
        <w:ind w:right="140"/>
        <w:spacing w:after="0" w:line="268" w:lineRule="auto"/>
        <w:rPr>
          <w:sz w:val="20"/>
          <w:szCs w:val="20"/>
          <w:color w:val="auto"/>
        </w:rPr>
      </w:pPr>
      <w:r>
        <w:rPr>
          <w:rFonts w:ascii="Arial" w:cs="Arial" w:eastAsia="Arial" w:hAnsi="Arial"/>
          <w:sz w:val="18"/>
          <w:szCs w:val="18"/>
          <w:color w:val="auto"/>
        </w:rPr>
        <w:t>A related person transaction reviewed under the policy will be considered approved or ratified if it is authorized by the Audit Committee after full disclosure of the related person’s interest in the transaction. As appropriate for the circumstances, the Audit Committee will review and consider:</w:t>
      </w:r>
    </w:p>
    <w:p>
      <w:pPr>
        <w:spacing w:after="0" w:line="63" w:lineRule="exact"/>
        <w:rPr>
          <w:sz w:val="20"/>
          <w:szCs w:val="20"/>
          <w:color w:val="auto"/>
        </w:rPr>
      </w:pPr>
    </w:p>
    <w:p>
      <w:pPr>
        <w:ind w:left="160" w:hanging="152"/>
        <w:spacing w:after="0"/>
        <w:tabs>
          <w:tab w:leader="none" w:pos="160" w:val="left"/>
        </w:tabs>
        <w:numPr>
          <w:ilvl w:val="0"/>
          <w:numId w:val="65"/>
        </w:numPr>
        <w:rPr>
          <w:rFonts w:ascii="Arial" w:cs="Arial" w:eastAsia="Arial" w:hAnsi="Arial"/>
          <w:sz w:val="13"/>
          <w:szCs w:val="13"/>
          <w:color w:val="0067B3"/>
        </w:rPr>
      </w:pPr>
      <w:r>
        <w:rPr>
          <w:rFonts w:ascii="Arial" w:cs="Arial" w:eastAsia="Arial" w:hAnsi="Arial"/>
          <w:sz w:val="18"/>
          <w:szCs w:val="18"/>
          <w:color w:val="auto"/>
        </w:rPr>
        <w:t>The related person’s interest in the related person transaction;</w:t>
      </w:r>
    </w:p>
    <w:p>
      <w:pPr>
        <w:spacing w:after="0" w:line="90" w:lineRule="exact"/>
        <w:rPr>
          <w:rFonts w:ascii="Arial" w:cs="Arial" w:eastAsia="Arial" w:hAnsi="Arial"/>
          <w:sz w:val="13"/>
          <w:szCs w:val="13"/>
          <w:color w:val="0067B3"/>
        </w:rPr>
      </w:pPr>
    </w:p>
    <w:p>
      <w:pPr>
        <w:ind w:left="160" w:hanging="152"/>
        <w:spacing w:after="0"/>
        <w:tabs>
          <w:tab w:leader="none" w:pos="160" w:val="left"/>
        </w:tabs>
        <w:numPr>
          <w:ilvl w:val="0"/>
          <w:numId w:val="65"/>
        </w:numPr>
        <w:rPr>
          <w:rFonts w:ascii="Arial" w:cs="Arial" w:eastAsia="Arial" w:hAnsi="Arial"/>
          <w:sz w:val="13"/>
          <w:szCs w:val="13"/>
          <w:color w:val="0067B3"/>
        </w:rPr>
      </w:pPr>
      <w:r>
        <w:rPr>
          <w:rFonts w:ascii="Arial" w:cs="Arial" w:eastAsia="Arial" w:hAnsi="Arial"/>
          <w:sz w:val="18"/>
          <w:szCs w:val="18"/>
          <w:color w:val="auto"/>
        </w:rPr>
        <w:t>The approximate dollar value of the amount involved in the related person transaction;</w:t>
      </w:r>
    </w:p>
    <w:p>
      <w:pPr>
        <w:spacing w:after="0" w:line="76" w:lineRule="exact"/>
        <w:rPr>
          <w:rFonts w:ascii="Arial" w:cs="Arial" w:eastAsia="Arial" w:hAnsi="Arial"/>
          <w:sz w:val="13"/>
          <w:szCs w:val="13"/>
          <w:color w:val="0067B3"/>
        </w:rPr>
      </w:pPr>
    </w:p>
    <w:p>
      <w:pPr>
        <w:ind w:left="200" w:right="180" w:hanging="192"/>
        <w:spacing w:after="0" w:line="287" w:lineRule="auto"/>
        <w:tabs>
          <w:tab w:leader="none" w:pos="157" w:val="left"/>
        </w:tabs>
        <w:numPr>
          <w:ilvl w:val="0"/>
          <w:numId w:val="65"/>
        </w:numPr>
        <w:rPr>
          <w:rFonts w:ascii="Arial" w:cs="Arial" w:eastAsia="Arial" w:hAnsi="Arial"/>
          <w:sz w:val="13"/>
          <w:szCs w:val="13"/>
          <w:color w:val="0067B3"/>
        </w:rPr>
      </w:pPr>
      <w:r>
        <w:rPr>
          <w:rFonts w:ascii="Arial" w:cs="Arial" w:eastAsia="Arial" w:hAnsi="Arial"/>
          <w:sz w:val="18"/>
          <w:szCs w:val="18"/>
          <w:color w:val="auto"/>
        </w:rPr>
        <w:t>The approximate dollar value of the amount of the related person’s interest in the transaction without regard to the amount of any profit or loss;</w:t>
      </w:r>
    </w:p>
    <w:p>
      <w:pPr>
        <w:spacing w:after="0" w:line="4" w:lineRule="exact"/>
        <w:rPr>
          <w:rFonts w:ascii="Arial" w:cs="Arial" w:eastAsia="Arial" w:hAnsi="Arial"/>
          <w:sz w:val="13"/>
          <w:szCs w:val="13"/>
          <w:color w:val="0067B3"/>
        </w:rPr>
      </w:pPr>
    </w:p>
    <w:p>
      <w:pPr>
        <w:ind w:left="160" w:hanging="152"/>
        <w:spacing w:after="0"/>
        <w:tabs>
          <w:tab w:leader="none" w:pos="160" w:val="left"/>
        </w:tabs>
        <w:numPr>
          <w:ilvl w:val="0"/>
          <w:numId w:val="65"/>
        </w:numPr>
        <w:rPr>
          <w:rFonts w:ascii="Arial" w:cs="Arial" w:eastAsia="Arial" w:hAnsi="Arial"/>
          <w:sz w:val="13"/>
          <w:szCs w:val="13"/>
          <w:color w:val="0067B3"/>
        </w:rPr>
      </w:pPr>
      <w:r>
        <w:rPr>
          <w:rFonts w:ascii="Arial" w:cs="Arial" w:eastAsia="Arial" w:hAnsi="Arial"/>
          <w:sz w:val="18"/>
          <w:szCs w:val="18"/>
          <w:color w:val="auto"/>
        </w:rPr>
        <w:t>Whether the transaction was undertaken in the ordinary course of our business;</w:t>
      </w:r>
    </w:p>
    <w:p>
      <w:pPr>
        <w:spacing w:after="0" w:line="90" w:lineRule="exact"/>
        <w:rPr>
          <w:rFonts w:ascii="Arial" w:cs="Arial" w:eastAsia="Arial" w:hAnsi="Arial"/>
          <w:sz w:val="13"/>
          <w:szCs w:val="13"/>
          <w:color w:val="0067B3"/>
        </w:rPr>
      </w:pPr>
    </w:p>
    <w:p>
      <w:pPr>
        <w:ind w:left="160" w:hanging="152"/>
        <w:spacing w:after="0"/>
        <w:tabs>
          <w:tab w:leader="none" w:pos="160" w:val="left"/>
        </w:tabs>
        <w:numPr>
          <w:ilvl w:val="0"/>
          <w:numId w:val="65"/>
        </w:numPr>
        <w:rPr>
          <w:rFonts w:ascii="Arial" w:cs="Arial" w:eastAsia="Arial" w:hAnsi="Arial"/>
          <w:sz w:val="13"/>
          <w:szCs w:val="13"/>
          <w:color w:val="0067B3"/>
        </w:rPr>
      </w:pPr>
      <w:r>
        <w:rPr>
          <w:rFonts w:ascii="Arial" w:cs="Arial" w:eastAsia="Arial" w:hAnsi="Arial"/>
          <w:sz w:val="18"/>
          <w:szCs w:val="18"/>
          <w:color w:val="auto"/>
        </w:rPr>
        <w:t>Whether the terms of the transaction are no less favorable to us than the terms that could have been reached with an unrelated third party;</w:t>
      </w:r>
    </w:p>
    <w:p>
      <w:pPr>
        <w:spacing w:after="0" w:line="76" w:lineRule="exact"/>
        <w:rPr>
          <w:rFonts w:ascii="Arial" w:cs="Arial" w:eastAsia="Arial" w:hAnsi="Arial"/>
          <w:sz w:val="13"/>
          <w:szCs w:val="13"/>
          <w:color w:val="0067B3"/>
        </w:rPr>
      </w:pPr>
    </w:p>
    <w:p>
      <w:pPr>
        <w:ind w:left="160" w:hanging="152"/>
        <w:spacing w:after="0"/>
        <w:tabs>
          <w:tab w:leader="none" w:pos="160" w:val="left"/>
        </w:tabs>
        <w:numPr>
          <w:ilvl w:val="0"/>
          <w:numId w:val="65"/>
        </w:numPr>
        <w:rPr>
          <w:rFonts w:ascii="Arial" w:cs="Arial" w:eastAsia="Arial" w:hAnsi="Arial"/>
          <w:sz w:val="13"/>
          <w:szCs w:val="13"/>
          <w:color w:val="0067B3"/>
        </w:rPr>
      </w:pPr>
      <w:r>
        <w:rPr>
          <w:rFonts w:ascii="Arial" w:cs="Arial" w:eastAsia="Arial" w:hAnsi="Arial"/>
          <w:sz w:val="18"/>
          <w:szCs w:val="18"/>
          <w:color w:val="auto"/>
        </w:rPr>
        <w:t>The purpose of, and the potential benefits to us of, the transaction;</w:t>
      </w:r>
    </w:p>
    <w:p>
      <w:pPr>
        <w:spacing w:after="0" w:line="76" w:lineRule="exact"/>
        <w:rPr>
          <w:rFonts w:ascii="Arial" w:cs="Arial" w:eastAsia="Arial" w:hAnsi="Arial"/>
          <w:sz w:val="13"/>
          <w:szCs w:val="13"/>
          <w:color w:val="0067B3"/>
        </w:rPr>
      </w:pPr>
    </w:p>
    <w:p>
      <w:pPr>
        <w:ind w:left="160" w:hanging="152"/>
        <w:spacing w:after="0"/>
        <w:tabs>
          <w:tab w:leader="none" w:pos="160" w:val="left"/>
        </w:tabs>
        <w:numPr>
          <w:ilvl w:val="0"/>
          <w:numId w:val="65"/>
        </w:numPr>
        <w:rPr>
          <w:rFonts w:ascii="Arial" w:cs="Arial" w:eastAsia="Arial" w:hAnsi="Arial"/>
          <w:sz w:val="13"/>
          <w:szCs w:val="13"/>
          <w:color w:val="0067B3"/>
        </w:rPr>
      </w:pPr>
      <w:r>
        <w:rPr>
          <w:rFonts w:ascii="Arial" w:cs="Arial" w:eastAsia="Arial" w:hAnsi="Arial"/>
          <w:sz w:val="18"/>
          <w:szCs w:val="18"/>
          <w:color w:val="auto"/>
        </w:rPr>
        <w:t>The impact on a non-employee director’s independence, if applicable; and</w:t>
      </w:r>
    </w:p>
    <w:p>
      <w:pPr>
        <w:spacing w:after="0" w:line="90" w:lineRule="exact"/>
        <w:rPr>
          <w:rFonts w:ascii="Arial" w:cs="Arial" w:eastAsia="Arial" w:hAnsi="Arial"/>
          <w:sz w:val="13"/>
          <w:szCs w:val="13"/>
          <w:color w:val="0067B3"/>
        </w:rPr>
      </w:pPr>
    </w:p>
    <w:p>
      <w:pPr>
        <w:ind w:left="200" w:right="200" w:hanging="192"/>
        <w:spacing w:after="0" w:line="287" w:lineRule="auto"/>
        <w:tabs>
          <w:tab w:leader="none" w:pos="157" w:val="left"/>
        </w:tabs>
        <w:numPr>
          <w:ilvl w:val="0"/>
          <w:numId w:val="65"/>
        </w:numPr>
        <w:rPr>
          <w:rFonts w:ascii="Arial" w:cs="Arial" w:eastAsia="Arial" w:hAnsi="Arial"/>
          <w:sz w:val="13"/>
          <w:szCs w:val="13"/>
          <w:color w:val="0067B3"/>
        </w:rPr>
      </w:pPr>
      <w:r>
        <w:rPr>
          <w:rFonts w:ascii="Arial" w:cs="Arial" w:eastAsia="Arial" w:hAnsi="Arial"/>
          <w:sz w:val="18"/>
          <w:szCs w:val="18"/>
          <w:color w:val="auto"/>
        </w:rPr>
        <w:t>Any other information regarding the related person transaction or the related person in the context of the proposed transaction that would be material to investors in light of the circumstances of the particular transaction.</w:t>
      </w:r>
    </w:p>
    <w:p>
      <w:pPr>
        <w:spacing w:after="0" w:line="45"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The Audit Committee may approve or ratify the related person transaction only if the Audit Committee determines that, under all of the circumstances, the transaction is in ADI’s best interests. The Audit Committee may, in its sole discretion, impose any conditions on ADI or the related person in connection with the approval of the related person transaction.</w:t>
      </w:r>
    </w:p>
    <w:p>
      <w:pPr>
        <w:spacing w:after="0" w:line="63" w:lineRule="exact"/>
        <w:rPr>
          <w:sz w:val="20"/>
          <w:szCs w:val="20"/>
          <w:color w:val="auto"/>
        </w:rPr>
      </w:pPr>
    </w:p>
    <w:p>
      <w:pPr>
        <w:ind w:right="220"/>
        <w:spacing w:after="0" w:line="268" w:lineRule="auto"/>
        <w:rPr>
          <w:sz w:val="20"/>
          <w:szCs w:val="20"/>
          <w:color w:val="auto"/>
        </w:rPr>
      </w:pPr>
      <w:r>
        <w:rPr>
          <w:rFonts w:ascii="Arial" w:cs="Arial" w:eastAsia="Arial" w:hAnsi="Arial"/>
          <w:sz w:val="18"/>
          <w:szCs w:val="18"/>
          <w:color w:val="auto"/>
        </w:rPr>
        <w:t>In addition to the transactions that are excluded by the instructions to the SEC’s related person transaction disclosure rule, our Board of Directors has determined that the following transactions do not create a material direct or indirect interest on behalf of related persons and, therefore, are not related person transactions for purposes of the policy:</w:t>
      </w:r>
    </w:p>
    <w:p>
      <w:pPr>
        <w:spacing w:after="0" w:line="63" w:lineRule="exact"/>
        <w:rPr>
          <w:sz w:val="20"/>
          <w:szCs w:val="20"/>
          <w:color w:val="auto"/>
        </w:rPr>
      </w:pPr>
    </w:p>
    <w:p>
      <w:pPr>
        <w:ind w:left="200" w:hanging="192"/>
        <w:spacing w:after="0" w:line="257" w:lineRule="auto"/>
        <w:tabs>
          <w:tab w:leader="none" w:pos="157" w:val="left"/>
        </w:tabs>
        <w:numPr>
          <w:ilvl w:val="0"/>
          <w:numId w:val="66"/>
        </w:numPr>
        <w:rPr>
          <w:rFonts w:ascii="Arial" w:cs="Arial" w:eastAsia="Arial" w:hAnsi="Arial"/>
          <w:sz w:val="13"/>
          <w:szCs w:val="13"/>
          <w:color w:val="0067B3"/>
        </w:rPr>
      </w:pPr>
      <w:r>
        <w:rPr>
          <w:rFonts w:ascii="Arial" w:cs="Arial" w:eastAsia="Arial" w:hAnsi="Arial"/>
          <w:sz w:val="18"/>
          <w:szCs w:val="18"/>
          <w:color w:val="auto"/>
        </w:rPr>
        <w:t>Interests arising solely from the related person’s position as an executive officer of another entity (whether or not the person is also a director of that entity), that is a participant in a transaction, where (a) the related person and all other related persons own in the aggregate less than a 10% equity interest in the entity, (b) the related person and his or her immediate family members are not involved in the negotiation of the terms of the transaction and do not receive any special benefits as a result of the transaction, and (c) the amount involved in the transaction equals less than the greater of $200,000 or 5% of the annual gross revenues of the company receiving payment under the transaction; or</w:t>
      </w:r>
    </w:p>
    <w:p>
      <w:pPr>
        <w:spacing w:after="0" w:line="33" w:lineRule="exact"/>
        <w:rPr>
          <w:rFonts w:ascii="Arial" w:cs="Arial" w:eastAsia="Arial" w:hAnsi="Arial"/>
          <w:sz w:val="13"/>
          <w:szCs w:val="13"/>
          <w:color w:val="0067B3"/>
        </w:rPr>
      </w:pPr>
    </w:p>
    <w:p>
      <w:pPr>
        <w:ind w:left="160" w:hanging="152"/>
        <w:spacing w:after="0"/>
        <w:tabs>
          <w:tab w:leader="none" w:pos="160" w:val="left"/>
        </w:tabs>
        <w:numPr>
          <w:ilvl w:val="0"/>
          <w:numId w:val="66"/>
        </w:numPr>
        <w:rPr>
          <w:rFonts w:ascii="Arial" w:cs="Arial" w:eastAsia="Arial" w:hAnsi="Arial"/>
          <w:sz w:val="13"/>
          <w:szCs w:val="13"/>
          <w:color w:val="0067B3"/>
        </w:rPr>
      </w:pPr>
      <w:r>
        <w:rPr>
          <w:rFonts w:ascii="Arial" w:cs="Arial" w:eastAsia="Arial" w:hAnsi="Arial"/>
          <w:sz w:val="18"/>
          <w:szCs w:val="18"/>
          <w:color w:val="auto"/>
        </w:rPr>
        <w:t>Any transactions that are specifically contemplated by provisions of ADI’s charter or bylaws.</w:t>
      </w:r>
    </w:p>
    <w:p>
      <w:pPr>
        <w:spacing w:after="0" w:line="200" w:lineRule="exact"/>
        <w:rPr>
          <w:sz w:val="20"/>
          <w:szCs w:val="20"/>
          <w:color w:val="auto"/>
        </w:rPr>
      </w:pPr>
    </w:p>
    <w:p>
      <w:pPr>
        <w:spacing w:after="0" w:line="298" w:lineRule="exact"/>
        <w:rPr>
          <w:sz w:val="20"/>
          <w:szCs w:val="20"/>
          <w:color w:val="auto"/>
        </w:rPr>
      </w:pPr>
    </w:p>
    <w:p>
      <w:pPr>
        <w:ind w:left="640" w:hanging="614"/>
        <w:spacing w:after="0"/>
        <w:tabs>
          <w:tab w:leader="none" w:pos="640" w:val="left"/>
        </w:tabs>
        <w:numPr>
          <w:ilvl w:val="0"/>
          <w:numId w:val="67"/>
        </w:numPr>
        <w:rPr>
          <w:rFonts w:ascii="Arial" w:cs="Arial" w:eastAsia="Arial" w:hAnsi="Arial"/>
          <w:sz w:val="20"/>
          <w:szCs w:val="20"/>
          <w:b w:val="1"/>
          <w:bCs w:val="1"/>
          <w:color w:val="auto"/>
        </w:rPr>
      </w:pPr>
      <w:r>
        <w:rPr>
          <w:rFonts w:ascii="Arial" w:cs="Arial" w:eastAsia="Arial" w:hAnsi="Arial"/>
          <w:sz w:val="16"/>
          <w:szCs w:val="16"/>
          <w:color w:val="6D6E71"/>
        </w:rPr>
        <w:t>Corporate Governance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194310</wp:posOffset>
            </wp:positionV>
            <wp:extent cx="7157720" cy="4254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4" w:right="339" w:bottom="1440" w:gutter="0" w:footer="0" w:header="0"/>
        </w:sectPr>
      </w:pPr>
    </w:p>
    <w:bookmarkStart w:id="42" w:name="page43"/>
    <w:bookmarkEnd w:id="42"/>
    <w:p>
      <w:pPr>
        <w:spacing w:after="0"/>
        <w:rPr>
          <w:sz w:val="20"/>
          <w:szCs w:val="20"/>
          <w:color w:val="auto"/>
        </w:rPr>
      </w:pPr>
      <w:r>
        <w:rPr>
          <w:rFonts w:ascii="Arial" w:cs="Arial" w:eastAsia="Arial" w:hAnsi="Arial"/>
          <w:sz w:val="58"/>
          <w:szCs w:val="58"/>
          <w:color w:val="auto"/>
        </w:rPr>
        <w:t>Director Compensation</w:t>
      </w:r>
    </w:p>
    <w:p>
      <w:pPr>
        <w:spacing w:after="0" w:line="200" w:lineRule="exact"/>
        <w:rPr>
          <w:sz w:val="20"/>
          <w:szCs w:val="20"/>
          <w:color w:val="auto"/>
        </w:rPr>
      </w:pPr>
    </w:p>
    <w:p>
      <w:pPr>
        <w:spacing w:after="0" w:line="301"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Our non-employee director compensation program is designed to attract and retain experienced and knowledgeable directors and to provide equity-based compensation to align the interests of our directors with those of our shareholders. Each non-employee director receives an annual cash retainer and an annual equity award in the form of RSUs. To reflect their additional responsibilities, the Chairs and members of all committees receive an additional cash retainer. The Lead Independent Director also receives an additional cash retainer. Mr. Roche, as an employee director, does not receive any additional compensation for his services as director or as Chair of the Board of Directors.</w:t>
      </w:r>
    </w:p>
    <w:p>
      <w:pPr>
        <w:spacing w:after="0" w:line="71"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Our Board of Directors has delegated to the Compensation and Talent Committee the responsibility to review and recommend to the Board of Directors any proposed changes to non-employee director compensation. Annually, the Compensation and Talent Committee reviews with its independent compensation consultant, Pearl Meyer and Partners (Pearl Meyer), non-employee director compensation information for our peer group to check the alignment of our non-employee director compensation package with market practice and current trends. The Compensation and Talent Committee then makes recommendations to the full Board of Directors with respect to compensation of our non-employee directors, and the full Board of Directors reviews these recommendations and makes a final determination. We did not make any changes to our non-employee director compensation program in fiscal year 2025. In fiscal year 2025, we granted 100% of the value of the annual equity award to each of our non-employee directors in the form of time-based RSUs. To align with the directors’ service period, these RSUs vest in full on the earlier of the first anniversary of the date of grant or the date of ADI’s next annual meeting of shareholders. On March 12, 2025, we granted each non-employee director then in-office 1,160 RSUs. On February 18, 2025, Ms. Wainer, who joined our Board of Directors in January 2025, was granted an RSU award (rounded to the nearest share) with a value of approximately $40,027, representing the pro-rated value of our fiscal year 2024 annual director grant, for services to be provided from the date of her initial appointment as a director through the 2025 annual meeting. In February 2026, Dr. Matsuoka, who joined our Board of Directors in January 2026, will be granted RSUs for services to be provided from the date of her initial appointment as a director through the Annual Meeting.</w:t>
      </w:r>
    </w:p>
    <w:p>
      <w:pPr>
        <w:spacing w:after="0" w:line="77" w:lineRule="exact"/>
        <w:rPr>
          <w:sz w:val="20"/>
          <w:szCs w:val="20"/>
          <w:color w:val="auto"/>
        </w:rPr>
      </w:pPr>
    </w:p>
    <w:p>
      <w:pPr>
        <w:ind w:right="400"/>
        <w:spacing w:after="0" w:line="287" w:lineRule="auto"/>
        <w:rPr>
          <w:sz w:val="20"/>
          <w:szCs w:val="20"/>
          <w:color w:val="auto"/>
        </w:rPr>
      </w:pPr>
      <w:r>
        <w:rPr>
          <w:rFonts w:ascii="Arial" w:cs="Arial" w:eastAsia="Arial" w:hAnsi="Arial"/>
          <w:sz w:val="18"/>
          <w:szCs w:val="18"/>
          <w:color w:val="auto"/>
        </w:rPr>
        <w:t>In addition to the compensation described above, we reimburse our directors for travel and other ordinary business expenses incurred in connection with their service on the Board of Directors.</w:t>
      </w:r>
    </w:p>
    <w:p>
      <w:pPr>
        <w:spacing w:after="0" w:line="228" w:lineRule="exact"/>
        <w:rPr>
          <w:sz w:val="20"/>
          <w:szCs w:val="20"/>
          <w:color w:val="auto"/>
        </w:rPr>
      </w:pPr>
    </w:p>
    <w:p>
      <w:pPr>
        <w:spacing w:after="0"/>
        <w:rPr>
          <w:sz w:val="20"/>
          <w:szCs w:val="20"/>
          <w:color w:val="auto"/>
        </w:rPr>
      </w:pPr>
      <w:r>
        <w:rPr>
          <w:rFonts w:ascii="Arial" w:cs="Arial" w:eastAsia="Arial" w:hAnsi="Arial"/>
          <w:sz w:val="41"/>
          <w:szCs w:val="41"/>
          <w:b w:val="1"/>
          <w:bCs w:val="1"/>
          <w:color w:val="0067B3"/>
        </w:rPr>
        <w:t>Annual Director Compensation</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0067B3"/>
        </w:rPr>
        <w:t>Board Retainers: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5980" w:type="dxa"/>
            <w:vAlign w:val="bottom"/>
            <w:shd w:val="clear" w:color="auto" w:fill="0067B3"/>
          </w:tcPr>
          <w:p>
            <w:pPr>
              <w:ind w:left="20"/>
              <w:spacing w:after="0"/>
              <w:rPr>
                <w:sz w:val="20"/>
                <w:szCs w:val="20"/>
                <w:color w:val="auto"/>
              </w:rPr>
            </w:pPr>
            <w:r>
              <w:rPr>
                <w:rFonts w:ascii="Arial" w:cs="Arial" w:eastAsia="Arial" w:hAnsi="Arial"/>
                <w:sz w:val="16"/>
                <w:szCs w:val="16"/>
                <w:b w:val="1"/>
                <w:bCs w:val="1"/>
                <w:color w:val="FFFFFF"/>
              </w:rPr>
              <w:t>Compensation Element</w:t>
            </w:r>
          </w:p>
        </w:tc>
        <w:tc>
          <w:tcPr>
            <w:tcW w:w="5260" w:type="dxa"/>
            <w:vAlign w:val="bottom"/>
            <w:gridSpan w:val="3"/>
            <w:shd w:val="clear" w:color="auto" w:fill="0067B3"/>
          </w:tcPr>
          <w:p>
            <w:pPr>
              <w:jc w:val="center"/>
              <w:ind w:left="2972"/>
              <w:spacing w:after="0"/>
              <w:rPr>
                <w:sz w:val="20"/>
                <w:szCs w:val="20"/>
                <w:color w:val="auto"/>
              </w:rPr>
            </w:pPr>
            <w:r>
              <w:rPr>
                <w:rFonts w:ascii="Arial" w:cs="Arial" w:eastAsia="Arial" w:hAnsi="Arial"/>
                <w:sz w:val="16"/>
                <w:szCs w:val="16"/>
                <w:b w:val="1"/>
                <w:bCs w:val="1"/>
                <w:color w:val="FFFFFF"/>
              </w:rPr>
              <w:t>Annual Cash Compensation</w:t>
            </w:r>
          </w:p>
        </w:tc>
      </w:tr>
      <w:tr>
        <w:trPr>
          <w:trHeight w:val="250"/>
        </w:trPr>
        <w:tc>
          <w:tcPr>
            <w:tcW w:w="5980" w:type="dxa"/>
            <w:vAlign w:val="bottom"/>
            <w:tcBorders>
              <w:bottom w:val="single" w:sz="8" w:color="E2E6F4"/>
            </w:tcBorders>
            <w:shd w:val="clear" w:color="auto" w:fill="E2E6F4"/>
          </w:tcPr>
          <w:p>
            <w:pPr>
              <w:ind w:left="20"/>
              <w:spacing w:after="0"/>
              <w:rPr>
                <w:sz w:val="20"/>
                <w:szCs w:val="20"/>
                <w:color w:val="auto"/>
              </w:rPr>
            </w:pPr>
            <w:r>
              <w:rPr>
                <w:rFonts w:ascii="Arial" w:cs="Arial" w:eastAsia="Arial" w:hAnsi="Arial"/>
                <w:sz w:val="18"/>
                <w:szCs w:val="18"/>
                <w:color w:val="auto"/>
              </w:rPr>
              <w:t>Board Chair Retainer</w:t>
            </w:r>
          </w:p>
        </w:tc>
        <w:tc>
          <w:tcPr>
            <w:tcW w:w="4240" w:type="dxa"/>
            <w:vAlign w:val="bottom"/>
            <w:tcBorders>
              <w:bottom w:val="single" w:sz="8" w:color="E2E6F4"/>
            </w:tcBorders>
            <w:shd w:val="clear" w:color="auto" w:fill="E2E6F4"/>
          </w:tcPr>
          <w:p>
            <w:pPr>
              <w:jc w:val="center"/>
              <w:ind w:left="4052"/>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E2E6F4"/>
            </w:tcBorders>
            <w:shd w:val="clear" w:color="auto" w:fill="E2E6F4"/>
          </w:tcPr>
          <w:p>
            <w:pPr>
              <w:jc w:val="right"/>
              <w:spacing w:after="0"/>
              <w:rPr>
                <w:sz w:val="20"/>
                <w:szCs w:val="20"/>
                <w:color w:val="auto"/>
              </w:rPr>
            </w:pPr>
            <w:r>
              <w:rPr>
                <w:rFonts w:ascii="Arial" w:cs="Arial" w:eastAsia="Arial" w:hAnsi="Arial"/>
                <w:sz w:val="18"/>
                <w:szCs w:val="18"/>
                <w:color w:val="auto"/>
              </w:rPr>
              <w:t>250,000</w:t>
            </w:r>
          </w:p>
        </w:tc>
        <w:tc>
          <w:tcPr>
            <w:tcW w:w="300" w:type="dxa"/>
            <w:vAlign w:val="bottom"/>
            <w:tcBorders>
              <w:bottom w:val="single" w:sz="8" w:color="E2E6F4"/>
            </w:tcBorders>
            <w:shd w:val="clear" w:color="auto" w:fill="E2E6F4"/>
          </w:tcPr>
          <w:p>
            <w:pPr>
              <w:jc w:val="right"/>
              <w:ind w:right="42"/>
              <w:spacing w:after="0"/>
              <w:rPr>
                <w:sz w:val="20"/>
                <w:szCs w:val="20"/>
                <w:color w:val="auto"/>
              </w:rPr>
            </w:pPr>
            <w:r>
              <w:rPr>
                <w:rFonts w:ascii="Arial" w:cs="Arial" w:eastAsia="Arial" w:hAnsi="Arial"/>
                <w:sz w:val="12"/>
                <w:szCs w:val="12"/>
                <w:color w:val="auto"/>
              </w:rPr>
              <w:t>(1)</w:t>
            </w:r>
          </w:p>
        </w:tc>
      </w:tr>
      <w:tr>
        <w:trPr>
          <w:trHeight w:val="247"/>
        </w:trPr>
        <w:tc>
          <w:tcPr>
            <w:tcW w:w="5980" w:type="dxa"/>
            <w:vAlign w:val="bottom"/>
          </w:tcPr>
          <w:p>
            <w:pPr>
              <w:ind w:left="20"/>
              <w:spacing w:after="0"/>
              <w:rPr>
                <w:sz w:val="20"/>
                <w:szCs w:val="20"/>
                <w:color w:val="auto"/>
              </w:rPr>
            </w:pPr>
            <w:r>
              <w:rPr>
                <w:rFonts w:ascii="Arial" w:cs="Arial" w:eastAsia="Arial" w:hAnsi="Arial"/>
                <w:sz w:val="18"/>
                <w:szCs w:val="18"/>
                <w:color w:val="auto"/>
              </w:rPr>
              <w:t>Board Member Retainer</w:t>
            </w:r>
          </w:p>
        </w:tc>
        <w:tc>
          <w:tcPr>
            <w:tcW w:w="4240" w:type="dxa"/>
            <w:vAlign w:val="bottom"/>
          </w:tcPr>
          <w:p>
            <w:pPr>
              <w:jc w:val="center"/>
              <w:ind w:left="4052"/>
              <w:spacing w:after="0"/>
              <w:rPr>
                <w:sz w:val="20"/>
                <w:szCs w:val="20"/>
                <w:color w:val="auto"/>
              </w:rPr>
            </w:pPr>
            <w:r>
              <w:rPr>
                <w:rFonts w:ascii="Arial" w:cs="Arial" w:eastAsia="Arial" w:hAnsi="Arial"/>
                <w:sz w:val="18"/>
                <w:szCs w:val="18"/>
                <w:color w:val="auto"/>
                <w:w w:val="99"/>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100,000</w:t>
            </w:r>
          </w:p>
        </w:tc>
        <w:tc>
          <w:tcPr>
            <w:tcW w:w="300" w:type="dxa"/>
            <w:vAlign w:val="bottom"/>
          </w:tcPr>
          <w:p>
            <w:pPr>
              <w:spacing w:after="0"/>
              <w:rPr>
                <w:sz w:val="21"/>
                <w:szCs w:val="21"/>
                <w:color w:val="auto"/>
              </w:rPr>
            </w:pPr>
          </w:p>
        </w:tc>
      </w:tr>
      <w:tr>
        <w:trPr>
          <w:trHeight w:val="23"/>
        </w:trPr>
        <w:tc>
          <w:tcPr>
            <w:tcW w:w="5980" w:type="dxa"/>
            <w:vAlign w:val="bottom"/>
          </w:tcPr>
          <w:p>
            <w:pPr>
              <w:spacing w:after="0"/>
              <w:rPr>
                <w:sz w:val="2"/>
                <w:szCs w:val="2"/>
                <w:color w:val="auto"/>
              </w:rPr>
            </w:pPr>
          </w:p>
        </w:tc>
        <w:tc>
          <w:tcPr>
            <w:tcW w:w="4240" w:type="dxa"/>
            <w:vAlign w:val="bottom"/>
          </w:tcPr>
          <w:p>
            <w:pPr>
              <w:spacing w:after="0"/>
              <w:rPr>
                <w:sz w:val="2"/>
                <w:szCs w:val="2"/>
                <w:color w:val="auto"/>
              </w:rPr>
            </w:pPr>
          </w:p>
        </w:tc>
        <w:tc>
          <w:tcPr>
            <w:tcW w:w="720" w:type="dxa"/>
            <w:vAlign w:val="bottom"/>
          </w:tcPr>
          <w:p>
            <w:pPr>
              <w:spacing w:after="0"/>
              <w:rPr>
                <w:sz w:val="2"/>
                <w:szCs w:val="2"/>
                <w:color w:val="auto"/>
              </w:rPr>
            </w:pPr>
          </w:p>
        </w:tc>
        <w:tc>
          <w:tcPr>
            <w:tcW w:w="300" w:type="dxa"/>
            <w:vAlign w:val="bottom"/>
          </w:tcPr>
          <w:p>
            <w:pPr>
              <w:spacing w:after="0"/>
              <w:rPr>
                <w:sz w:val="2"/>
                <w:szCs w:val="2"/>
                <w:color w:val="auto"/>
              </w:rPr>
            </w:pPr>
          </w:p>
        </w:tc>
      </w:tr>
      <w:tr>
        <w:trPr>
          <w:trHeight w:val="250"/>
        </w:trPr>
        <w:tc>
          <w:tcPr>
            <w:tcW w:w="5980" w:type="dxa"/>
            <w:vAlign w:val="bottom"/>
            <w:tcBorders>
              <w:bottom w:val="single" w:sz="8" w:color="E2E6F4"/>
            </w:tcBorders>
            <w:shd w:val="clear" w:color="auto" w:fill="E2E6F4"/>
          </w:tcPr>
          <w:p>
            <w:pPr>
              <w:ind w:left="20"/>
              <w:spacing w:after="0"/>
              <w:rPr>
                <w:sz w:val="20"/>
                <w:szCs w:val="20"/>
                <w:color w:val="auto"/>
              </w:rPr>
            </w:pPr>
            <w:r>
              <w:rPr>
                <w:rFonts w:ascii="Arial" w:cs="Arial" w:eastAsia="Arial" w:hAnsi="Arial"/>
                <w:sz w:val="18"/>
                <w:szCs w:val="18"/>
                <w:color w:val="auto"/>
              </w:rPr>
              <w:t>Lead Independent Director Retainer</w:t>
            </w:r>
          </w:p>
        </w:tc>
        <w:tc>
          <w:tcPr>
            <w:tcW w:w="4240" w:type="dxa"/>
            <w:vAlign w:val="bottom"/>
            <w:tcBorders>
              <w:bottom w:val="single" w:sz="8" w:color="E2E6F4"/>
            </w:tcBorders>
            <w:shd w:val="clear" w:color="auto" w:fill="E2E6F4"/>
          </w:tcPr>
          <w:p>
            <w:pPr>
              <w:jc w:val="center"/>
              <w:ind w:left="4052"/>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E2E6F4"/>
            </w:tcBorders>
            <w:shd w:val="clear" w:color="auto" w:fill="E2E6F4"/>
          </w:tcPr>
          <w:p>
            <w:pPr>
              <w:jc w:val="right"/>
              <w:spacing w:after="0"/>
              <w:rPr>
                <w:sz w:val="20"/>
                <w:szCs w:val="20"/>
                <w:color w:val="auto"/>
              </w:rPr>
            </w:pPr>
            <w:r>
              <w:rPr>
                <w:rFonts w:ascii="Arial" w:cs="Arial" w:eastAsia="Arial" w:hAnsi="Arial"/>
                <w:sz w:val="18"/>
                <w:szCs w:val="18"/>
                <w:color w:val="auto"/>
              </w:rPr>
              <w:t>55,000</w:t>
            </w:r>
          </w:p>
        </w:tc>
        <w:tc>
          <w:tcPr>
            <w:tcW w:w="300" w:type="dxa"/>
            <w:vAlign w:val="bottom"/>
            <w:tcBorders>
              <w:bottom w:val="single" w:sz="8" w:color="E2E6F4"/>
            </w:tcBorders>
            <w:shd w:val="clear" w:color="auto" w:fill="E2E6F4"/>
          </w:tcPr>
          <w:p>
            <w:pPr>
              <w:jc w:val="right"/>
              <w:ind w:right="42"/>
              <w:spacing w:after="0"/>
              <w:rPr>
                <w:sz w:val="20"/>
                <w:szCs w:val="20"/>
                <w:color w:val="auto"/>
              </w:rPr>
            </w:pPr>
            <w:r>
              <w:rPr>
                <w:rFonts w:ascii="Arial" w:cs="Arial" w:eastAsia="Arial" w:hAnsi="Arial"/>
                <w:sz w:val="12"/>
                <w:szCs w:val="12"/>
                <w:color w:val="auto"/>
              </w:rPr>
              <w:t>(2)</w:t>
            </w:r>
          </w:p>
        </w:tc>
      </w:tr>
      <w:tr>
        <w:trPr>
          <w:trHeight w:val="20"/>
        </w:trPr>
        <w:tc>
          <w:tcPr>
            <w:tcW w:w="5980" w:type="dxa"/>
            <w:vAlign w:val="bottom"/>
            <w:shd w:val="clear" w:color="auto" w:fill="0067B3"/>
          </w:tcPr>
          <w:p>
            <w:pPr>
              <w:spacing w:after="0" w:line="20" w:lineRule="exact"/>
              <w:rPr>
                <w:sz w:val="1"/>
                <w:szCs w:val="1"/>
                <w:color w:val="auto"/>
              </w:rPr>
            </w:pPr>
          </w:p>
        </w:tc>
        <w:tc>
          <w:tcPr>
            <w:tcW w:w="4240" w:type="dxa"/>
            <w:vAlign w:val="bottom"/>
            <w:shd w:val="clear" w:color="auto" w:fill="0067B3"/>
          </w:tcPr>
          <w:p>
            <w:pPr>
              <w:spacing w:after="0" w:line="20" w:lineRule="exact"/>
              <w:rPr>
                <w:sz w:val="1"/>
                <w:szCs w:val="1"/>
                <w:color w:val="auto"/>
              </w:rPr>
            </w:pPr>
          </w:p>
        </w:tc>
        <w:tc>
          <w:tcPr>
            <w:tcW w:w="720" w:type="dxa"/>
            <w:vAlign w:val="bottom"/>
            <w:shd w:val="clear" w:color="auto" w:fill="0067B3"/>
          </w:tcPr>
          <w:p>
            <w:pPr>
              <w:spacing w:after="0" w:line="20" w:lineRule="exact"/>
              <w:rPr>
                <w:sz w:val="1"/>
                <w:szCs w:val="1"/>
                <w:color w:val="auto"/>
              </w:rPr>
            </w:pPr>
          </w:p>
        </w:tc>
        <w:tc>
          <w:tcPr>
            <w:tcW w:w="300" w:type="dxa"/>
            <w:vAlign w:val="bottom"/>
            <w:shd w:val="clear" w:color="auto" w:fill="0067B3"/>
          </w:tcPr>
          <w:p>
            <w:pPr>
              <w:spacing w:after="0" w:line="20" w:lineRule="exact"/>
              <w:rPr>
                <w:sz w:val="1"/>
                <w:szCs w:val="1"/>
                <w:color w:val="auto"/>
              </w:rPr>
            </w:pPr>
          </w:p>
        </w:tc>
      </w:tr>
    </w:tbl>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color w:val="0067B3"/>
        </w:rPr>
        <w:t xml:space="preserve">Committee Retainers: </w:t>
      </w:r>
      <w:r>
        <w:rPr>
          <w:rFonts w:ascii="Arial" w:cs="Arial" w:eastAsia="Arial" w:hAnsi="Arial"/>
          <w:sz w:val="23"/>
          <w:szCs w:val="23"/>
          <w:b w:val="1"/>
          <w:bCs w:val="1"/>
          <w:color w:val="0067B3"/>
          <w:vertAlign w:val="superscript"/>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95250</wp:posOffset>
            </wp:positionV>
            <wp:extent cx="7132320" cy="31686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132320" cy="316865"/>
                    </a:xfrm>
                    <a:prstGeom prst="rect">
                      <a:avLst/>
                    </a:prstGeom>
                    <a:noFill/>
                  </pic:spPr>
                </pic:pic>
              </a:graphicData>
            </a:graphic>
          </wp:anchor>
        </w:drawing>
      </w:r>
    </w:p>
    <w:p>
      <w:pPr>
        <w:spacing w:after="0" w:line="143" w:lineRule="exact"/>
        <w:rPr>
          <w:sz w:val="20"/>
          <w:szCs w:val="20"/>
          <w:color w:val="auto"/>
        </w:rPr>
      </w:pPr>
    </w:p>
    <w:p>
      <w:pPr>
        <w:ind w:left="9060"/>
        <w:spacing w:after="0"/>
        <w:rPr>
          <w:sz w:val="20"/>
          <w:szCs w:val="20"/>
          <w:color w:val="auto"/>
        </w:rPr>
      </w:pPr>
      <w:r>
        <w:rPr>
          <w:rFonts w:ascii="Arial" w:cs="Arial" w:eastAsia="Arial" w:hAnsi="Arial"/>
          <w:sz w:val="16"/>
          <w:szCs w:val="16"/>
          <w:b w:val="1"/>
          <w:bCs w:val="1"/>
          <w:color w:val="FFFFFF"/>
        </w:rPr>
        <w:t>Annual Cash Compensation</w:t>
      </w:r>
    </w:p>
    <w:p>
      <w:pPr>
        <w:spacing w:after="0" w:line="59" w:lineRule="exact"/>
        <w:rPr>
          <w:sz w:val="20"/>
          <w:szCs w:val="20"/>
          <w:color w:val="auto"/>
        </w:rPr>
      </w:pPr>
    </w:p>
    <w:tbl>
      <w:tblPr>
        <w:tblLayout w:type="fixed"/>
        <w:tblInd w:w="0" w:type="dxa"/>
        <w:tblCellMar>
          <w:top w:w="0" w:type="dxa"/>
          <w:left w:w="0" w:type="dxa"/>
          <w:bottom w:w="0" w:type="dxa"/>
          <w:right w:w="0" w:type="dxa"/>
        </w:tblCellMar>
      </w:tblPr>
      <w:tr>
        <w:trPr>
          <w:trHeight w:val="244"/>
        </w:trPr>
        <w:tc>
          <w:tcPr>
            <w:tcW w:w="8860" w:type="dxa"/>
            <w:vAlign w:val="bottom"/>
          </w:tcPr>
          <w:p>
            <w:pPr>
              <w:ind w:left="20"/>
              <w:spacing w:after="0"/>
              <w:rPr>
                <w:sz w:val="20"/>
                <w:szCs w:val="20"/>
                <w:color w:val="auto"/>
              </w:rPr>
            </w:pPr>
            <w:r>
              <w:rPr>
                <w:rFonts w:ascii="Arial" w:cs="Arial" w:eastAsia="Arial" w:hAnsi="Arial"/>
                <w:sz w:val="16"/>
                <w:szCs w:val="16"/>
                <w:b w:val="1"/>
                <w:bCs w:val="1"/>
                <w:color w:val="FFFFFF"/>
              </w:rPr>
              <w:t>Committee</w:t>
            </w:r>
          </w:p>
        </w:tc>
        <w:tc>
          <w:tcPr>
            <w:tcW w:w="1360" w:type="dxa"/>
            <w:vAlign w:val="bottom"/>
            <w:shd w:val="clear" w:color="auto" w:fill="0067B3"/>
          </w:tcPr>
          <w:p>
            <w:pPr>
              <w:jc w:val="right"/>
              <w:ind w:right="93"/>
              <w:spacing w:after="0"/>
              <w:rPr>
                <w:sz w:val="20"/>
                <w:szCs w:val="20"/>
                <w:color w:val="auto"/>
              </w:rPr>
            </w:pPr>
            <w:r>
              <w:rPr>
                <w:rFonts w:ascii="Arial" w:cs="Arial" w:eastAsia="Arial" w:hAnsi="Arial"/>
                <w:sz w:val="16"/>
                <w:szCs w:val="16"/>
                <w:b w:val="1"/>
                <w:bCs w:val="1"/>
                <w:color w:val="FFFFFF"/>
              </w:rPr>
              <w:t>Chair</w:t>
            </w:r>
          </w:p>
        </w:tc>
        <w:tc>
          <w:tcPr>
            <w:tcW w:w="1020" w:type="dxa"/>
            <w:vAlign w:val="bottom"/>
            <w:shd w:val="clear" w:color="auto" w:fill="0067B3"/>
          </w:tcPr>
          <w:p>
            <w:pPr>
              <w:jc w:val="right"/>
              <w:spacing w:after="0"/>
              <w:rPr>
                <w:sz w:val="20"/>
                <w:szCs w:val="20"/>
                <w:color w:val="auto"/>
              </w:rPr>
            </w:pPr>
            <w:r>
              <w:rPr>
                <w:rFonts w:ascii="Arial" w:cs="Arial" w:eastAsia="Arial" w:hAnsi="Arial"/>
                <w:sz w:val="16"/>
                <w:szCs w:val="16"/>
                <w:b w:val="1"/>
                <w:bCs w:val="1"/>
                <w:color w:val="FFFFFF"/>
              </w:rPr>
              <w:t>Member</w:t>
            </w:r>
          </w:p>
        </w:tc>
      </w:tr>
      <w:tr>
        <w:trPr>
          <w:trHeight w:val="250"/>
        </w:trPr>
        <w:tc>
          <w:tcPr>
            <w:tcW w:w="8860" w:type="dxa"/>
            <w:vAlign w:val="bottom"/>
            <w:tcBorders>
              <w:bottom w:val="single" w:sz="8" w:color="E2E6F4"/>
            </w:tcBorders>
            <w:shd w:val="clear" w:color="auto" w:fill="E2E6F4"/>
          </w:tcPr>
          <w:p>
            <w:pPr>
              <w:ind w:left="20"/>
              <w:spacing w:after="0"/>
              <w:rPr>
                <w:sz w:val="20"/>
                <w:szCs w:val="20"/>
                <w:color w:val="auto"/>
              </w:rPr>
            </w:pPr>
            <w:r>
              <w:rPr>
                <w:rFonts w:ascii="Arial" w:cs="Arial" w:eastAsia="Arial" w:hAnsi="Arial"/>
                <w:sz w:val="18"/>
                <w:szCs w:val="18"/>
                <w:color w:val="auto"/>
              </w:rPr>
              <w:t>Audit Committee</w:t>
            </w:r>
          </w:p>
        </w:tc>
        <w:tc>
          <w:tcPr>
            <w:tcW w:w="1360" w:type="dxa"/>
            <w:vAlign w:val="bottom"/>
            <w:tcBorders>
              <w:bottom w:val="single" w:sz="8" w:color="E2E6F4"/>
            </w:tcBorders>
            <w:shd w:val="clear" w:color="auto" w:fill="E2E6F4"/>
          </w:tcPr>
          <w:p>
            <w:pPr>
              <w:jc w:val="right"/>
              <w:ind w:right="153"/>
              <w:spacing w:after="0"/>
              <w:rPr>
                <w:sz w:val="20"/>
                <w:szCs w:val="20"/>
                <w:color w:val="auto"/>
              </w:rPr>
            </w:pPr>
            <w:r>
              <w:rPr>
                <w:rFonts w:ascii="Arial" w:cs="Arial" w:eastAsia="Arial" w:hAnsi="Arial"/>
                <w:sz w:val="18"/>
                <w:szCs w:val="18"/>
                <w:color w:val="auto"/>
              </w:rPr>
              <w:t>$ 30,000</w:t>
            </w:r>
          </w:p>
        </w:tc>
        <w:tc>
          <w:tcPr>
            <w:tcW w:w="1020" w:type="dxa"/>
            <w:vAlign w:val="bottom"/>
            <w:tcBorders>
              <w:bottom w:val="single" w:sz="8" w:color="E2E6F4"/>
            </w:tcBorders>
            <w:shd w:val="clear" w:color="auto" w:fill="E2E6F4"/>
          </w:tcPr>
          <w:p>
            <w:pPr>
              <w:jc w:val="right"/>
              <w:spacing w:after="0"/>
              <w:rPr>
                <w:sz w:val="20"/>
                <w:szCs w:val="20"/>
                <w:color w:val="auto"/>
              </w:rPr>
            </w:pPr>
            <w:r>
              <w:rPr>
                <w:rFonts w:ascii="Arial" w:cs="Arial" w:eastAsia="Arial" w:hAnsi="Arial"/>
                <w:sz w:val="18"/>
                <w:szCs w:val="18"/>
                <w:color w:val="auto"/>
              </w:rPr>
              <w:t>$ 15,000</w:t>
            </w:r>
          </w:p>
        </w:tc>
      </w:tr>
      <w:tr>
        <w:trPr>
          <w:trHeight w:val="247"/>
        </w:trPr>
        <w:tc>
          <w:tcPr>
            <w:tcW w:w="8860" w:type="dxa"/>
            <w:vAlign w:val="bottom"/>
          </w:tcPr>
          <w:p>
            <w:pPr>
              <w:ind w:left="20"/>
              <w:spacing w:after="0"/>
              <w:rPr>
                <w:sz w:val="20"/>
                <w:szCs w:val="20"/>
                <w:color w:val="auto"/>
              </w:rPr>
            </w:pPr>
            <w:r>
              <w:rPr>
                <w:rFonts w:ascii="Arial" w:cs="Arial" w:eastAsia="Arial" w:hAnsi="Arial"/>
                <w:sz w:val="18"/>
                <w:szCs w:val="18"/>
                <w:color w:val="auto"/>
              </w:rPr>
              <w:t>Compensation and Talent Committee</w:t>
            </w:r>
          </w:p>
        </w:tc>
        <w:tc>
          <w:tcPr>
            <w:tcW w:w="1360" w:type="dxa"/>
            <w:vAlign w:val="bottom"/>
          </w:tcPr>
          <w:p>
            <w:pPr>
              <w:jc w:val="right"/>
              <w:ind w:right="153"/>
              <w:spacing w:after="0"/>
              <w:rPr>
                <w:sz w:val="20"/>
                <w:szCs w:val="20"/>
                <w:color w:val="auto"/>
              </w:rPr>
            </w:pPr>
            <w:r>
              <w:rPr>
                <w:rFonts w:ascii="Arial" w:cs="Arial" w:eastAsia="Arial" w:hAnsi="Arial"/>
                <w:sz w:val="18"/>
                <w:szCs w:val="18"/>
                <w:color w:val="auto"/>
              </w:rPr>
              <w:t>$ 30,000</w:t>
            </w:r>
          </w:p>
        </w:tc>
        <w:tc>
          <w:tcPr>
            <w:tcW w:w="1020" w:type="dxa"/>
            <w:vAlign w:val="bottom"/>
          </w:tcPr>
          <w:p>
            <w:pPr>
              <w:jc w:val="right"/>
              <w:spacing w:after="0"/>
              <w:rPr>
                <w:sz w:val="20"/>
                <w:szCs w:val="20"/>
                <w:color w:val="auto"/>
              </w:rPr>
            </w:pPr>
            <w:r>
              <w:rPr>
                <w:rFonts w:ascii="Arial" w:cs="Arial" w:eastAsia="Arial" w:hAnsi="Arial"/>
                <w:sz w:val="18"/>
                <w:szCs w:val="18"/>
                <w:color w:val="auto"/>
              </w:rPr>
              <w:t>$ 15,000</w:t>
            </w:r>
          </w:p>
        </w:tc>
      </w:tr>
      <w:tr>
        <w:trPr>
          <w:trHeight w:val="23"/>
        </w:trPr>
        <w:tc>
          <w:tcPr>
            <w:tcW w:w="88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8860" w:type="dxa"/>
            <w:vAlign w:val="bottom"/>
            <w:tcBorders>
              <w:bottom w:val="single" w:sz="8" w:color="E2E6F4"/>
            </w:tcBorders>
            <w:shd w:val="clear" w:color="auto" w:fill="E2E6F4"/>
          </w:tcPr>
          <w:p>
            <w:pPr>
              <w:ind w:left="20"/>
              <w:spacing w:after="0"/>
              <w:rPr>
                <w:sz w:val="20"/>
                <w:szCs w:val="20"/>
                <w:color w:val="auto"/>
              </w:rPr>
            </w:pPr>
            <w:r>
              <w:rPr>
                <w:rFonts w:ascii="Arial" w:cs="Arial" w:eastAsia="Arial" w:hAnsi="Arial"/>
                <w:sz w:val="18"/>
                <w:szCs w:val="18"/>
                <w:color w:val="auto"/>
              </w:rPr>
              <w:t>Nominating and Corporate Governance Committee</w:t>
            </w:r>
          </w:p>
        </w:tc>
        <w:tc>
          <w:tcPr>
            <w:tcW w:w="1360" w:type="dxa"/>
            <w:vAlign w:val="bottom"/>
            <w:tcBorders>
              <w:bottom w:val="single" w:sz="8" w:color="E2E6F4"/>
            </w:tcBorders>
            <w:shd w:val="clear" w:color="auto" w:fill="E2E6F4"/>
          </w:tcPr>
          <w:p>
            <w:pPr>
              <w:jc w:val="right"/>
              <w:ind w:right="153"/>
              <w:spacing w:after="0"/>
              <w:rPr>
                <w:sz w:val="20"/>
                <w:szCs w:val="20"/>
                <w:color w:val="auto"/>
              </w:rPr>
            </w:pPr>
            <w:r>
              <w:rPr>
                <w:rFonts w:ascii="Arial" w:cs="Arial" w:eastAsia="Arial" w:hAnsi="Arial"/>
                <w:sz w:val="18"/>
                <w:szCs w:val="18"/>
                <w:color w:val="auto"/>
              </w:rPr>
              <w:t>$ 30,000</w:t>
            </w:r>
          </w:p>
        </w:tc>
        <w:tc>
          <w:tcPr>
            <w:tcW w:w="1020" w:type="dxa"/>
            <w:vAlign w:val="bottom"/>
            <w:tcBorders>
              <w:bottom w:val="single" w:sz="8" w:color="E2E6F4"/>
            </w:tcBorders>
            <w:shd w:val="clear" w:color="auto" w:fill="E2E6F4"/>
          </w:tcPr>
          <w:p>
            <w:pPr>
              <w:jc w:val="right"/>
              <w:spacing w:after="0"/>
              <w:rPr>
                <w:sz w:val="20"/>
                <w:szCs w:val="20"/>
                <w:color w:val="auto"/>
              </w:rPr>
            </w:pPr>
            <w:r>
              <w:rPr>
                <w:rFonts w:ascii="Arial" w:cs="Arial" w:eastAsia="Arial" w:hAnsi="Arial"/>
                <w:sz w:val="18"/>
                <w:szCs w:val="18"/>
                <w:color w:val="auto"/>
              </w:rPr>
              <w:t>$ 15,000</w:t>
            </w:r>
          </w:p>
        </w:tc>
      </w:tr>
      <w:tr>
        <w:trPr>
          <w:trHeight w:val="247"/>
        </w:trPr>
        <w:tc>
          <w:tcPr>
            <w:tcW w:w="8860" w:type="dxa"/>
            <w:vAlign w:val="bottom"/>
          </w:tcPr>
          <w:p>
            <w:pPr>
              <w:ind w:left="20"/>
              <w:spacing w:after="0"/>
              <w:rPr>
                <w:sz w:val="20"/>
                <w:szCs w:val="20"/>
                <w:color w:val="auto"/>
              </w:rPr>
            </w:pPr>
            <w:r>
              <w:rPr>
                <w:rFonts w:ascii="Arial" w:cs="Arial" w:eastAsia="Arial" w:hAnsi="Arial"/>
                <w:sz w:val="18"/>
                <w:szCs w:val="18"/>
                <w:color w:val="auto"/>
              </w:rPr>
              <w:t>Corporate Development Committee</w:t>
            </w:r>
          </w:p>
        </w:tc>
        <w:tc>
          <w:tcPr>
            <w:tcW w:w="1360" w:type="dxa"/>
            <w:vAlign w:val="bottom"/>
          </w:tcPr>
          <w:p>
            <w:pPr>
              <w:jc w:val="right"/>
              <w:ind w:right="153"/>
              <w:spacing w:after="0"/>
              <w:rPr>
                <w:sz w:val="20"/>
                <w:szCs w:val="20"/>
                <w:color w:val="auto"/>
              </w:rPr>
            </w:pPr>
            <w:r>
              <w:rPr>
                <w:rFonts w:ascii="Arial" w:cs="Arial" w:eastAsia="Arial" w:hAnsi="Arial"/>
                <w:sz w:val="18"/>
                <w:szCs w:val="18"/>
                <w:color w:val="auto"/>
              </w:rPr>
              <w:t>$ 30,000</w:t>
            </w:r>
          </w:p>
        </w:tc>
        <w:tc>
          <w:tcPr>
            <w:tcW w:w="1020" w:type="dxa"/>
            <w:vAlign w:val="bottom"/>
          </w:tcPr>
          <w:p>
            <w:pPr>
              <w:jc w:val="right"/>
              <w:spacing w:after="0"/>
              <w:rPr>
                <w:sz w:val="20"/>
                <w:szCs w:val="20"/>
                <w:color w:val="auto"/>
              </w:rPr>
            </w:pPr>
            <w:r>
              <w:rPr>
                <w:rFonts w:ascii="Arial" w:cs="Arial" w:eastAsia="Arial" w:hAnsi="Arial"/>
                <w:sz w:val="18"/>
                <w:szCs w:val="18"/>
                <w:color w:val="auto"/>
              </w:rPr>
              <w:t>$ 15,000</w:t>
            </w:r>
          </w:p>
        </w:tc>
      </w:tr>
      <w:tr>
        <w:trPr>
          <w:trHeight w:val="37"/>
        </w:trPr>
        <w:tc>
          <w:tcPr>
            <w:tcW w:w="8860" w:type="dxa"/>
            <w:vAlign w:val="bottom"/>
            <w:tcBorders>
              <w:bottom w:val="single" w:sz="8" w:color="0067B3"/>
            </w:tcBorders>
          </w:tcPr>
          <w:p>
            <w:pPr>
              <w:spacing w:after="0"/>
              <w:rPr>
                <w:sz w:val="3"/>
                <w:szCs w:val="3"/>
                <w:color w:val="auto"/>
              </w:rPr>
            </w:pPr>
          </w:p>
        </w:tc>
        <w:tc>
          <w:tcPr>
            <w:tcW w:w="1360" w:type="dxa"/>
            <w:vAlign w:val="bottom"/>
            <w:tcBorders>
              <w:bottom w:val="single" w:sz="8" w:color="0067B3"/>
            </w:tcBorders>
          </w:tcPr>
          <w:p>
            <w:pPr>
              <w:spacing w:after="0"/>
              <w:rPr>
                <w:sz w:val="3"/>
                <w:szCs w:val="3"/>
                <w:color w:val="auto"/>
              </w:rPr>
            </w:pPr>
          </w:p>
        </w:tc>
        <w:tc>
          <w:tcPr>
            <w:tcW w:w="1020" w:type="dxa"/>
            <w:vAlign w:val="bottom"/>
            <w:tcBorders>
              <w:bottom w:val="single" w:sz="8" w:color="0067B3"/>
            </w:tcBorders>
          </w:tcPr>
          <w:p>
            <w:pPr>
              <w:spacing w:after="0"/>
              <w:rPr>
                <w:sz w:val="3"/>
                <w:szCs w:val="3"/>
                <w:color w:val="auto"/>
              </w:rPr>
            </w:pPr>
          </w:p>
        </w:tc>
      </w:tr>
      <w:tr>
        <w:trPr>
          <w:trHeight w:val="451"/>
        </w:trPr>
        <w:tc>
          <w:tcPr>
            <w:tcW w:w="8860" w:type="dxa"/>
            <w:vAlign w:val="bottom"/>
          </w:tcPr>
          <w:p>
            <w:pPr>
              <w:spacing w:after="0"/>
              <w:rPr>
                <w:sz w:val="20"/>
                <w:szCs w:val="20"/>
                <w:color w:val="auto"/>
              </w:rPr>
            </w:pPr>
            <w:r>
              <w:rPr>
                <w:rFonts w:ascii="Arial" w:cs="Arial" w:eastAsia="Arial" w:hAnsi="Arial"/>
                <w:sz w:val="18"/>
                <w:szCs w:val="18"/>
                <w:b w:val="1"/>
                <w:bCs w:val="1"/>
                <w:color w:val="0067B3"/>
              </w:rPr>
              <w:t>Equity Compensation:</w:t>
            </w:r>
          </w:p>
        </w:tc>
        <w:tc>
          <w:tcPr>
            <w:tcW w:w="136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123"/>
        </w:trPr>
        <w:tc>
          <w:tcPr>
            <w:tcW w:w="8860" w:type="dxa"/>
            <w:vAlign w:val="bottom"/>
          </w:tcPr>
          <w:p>
            <w:pPr>
              <w:spacing w:after="0"/>
              <w:rPr>
                <w:sz w:val="10"/>
                <w:szCs w:val="10"/>
                <w:color w:val="auto"/>
              </w:rPr>
            </w:pPr>
          </w:p>
        </w:tc>
        <w:tc>
          <w:tcPr>
            <w:tcW w:w="2380" w:type="dxa"/>
            <w:vAlign w:val="bottom"/>
            <w:gridSpan w:val="2"/>
          </w:tcPr>
          <w:p>
            <w:pPr>
              <w:spacing w:after="0"/>
              <w:rPr>
                <w:sz w:val="10"/>
                <w:szCs w:val="10"/>
                <w:color w:val="auto"/>
              </w:rPr>
            </w:pPr>
          </w:p>
        </w:tc>
      </w:tr>
      <w:tr>
        <w:trPr>
          <w:trHeight w:val="243"/>
        </w:trPr>
        <w:tc>
          <w:tcPr>
            <w:tcW w:w="8860" w:type="dxa"/>
            <w:vAlign w:val="bottom"/>
            <w:shd w:val="clear" w:color="auto" w:fill="0067B3"/>
          </w:tcPr>
          <w:p>
            <w:pPr>
              <w:ind w:left="20"/>
              <w:spacing w:after="0"/>
              <w:rPr>
                <w:sz w:val="20"/>
                <w:szCs w:val="20"/>
                <w:color w:val="auto"/>
              </w:rPr>
            </w:pPr>
            <w:r>
              <w:rPr>
                <w:rFonts w:ascii="Arial" w:cs="Arial" w:eastAsia="Arial" w:hAnsi="Arial"/>
                <w:sz w:val="16"/>
                <w:szCs w:val="16"/>
                <w:b w:val="1"/>
                <w:bCs w:val="1"/>
                <w:color w:val="FFFFFF"/>
              </w:rPr>
              <w:t>Annual Equity Grant</w:t>
            </w:r>
          </w:p>
        </w:tc>
        <w:tc>
          <w:tcPr>
            <w:tcW w:w="2380" w:type="dxa"/>
            <w:vAlign w:val="bottom"/>
            <w:gridSpan w:val="2"/>
            <w:shd w:val="clear" w:color="auto" w:fill="0067B3"/>
          </w:tcPr>
          <w:p>
            <w:pPr>
              <w:jc w:val="right"/>
              <w:spacing w:after="0"/>
              <w:rPr>
                <w:sz w:val="20"/>
                <w:szCs w:val="20"/>
                <w:color w:val="auto"/>
              </w:rPr>
            </w:pPr>
            <w:r>
              <w:rPr>
                <w:rFonts w:ascii="Arial" w:cs="Arial" w:eastAsia="Arial" w:hAnsi="Arial"/>
                <w:sz w:val="16"/>
                <w:szCs w:val="16"/>
                <w:b w:val="1"/>
                <w:bCs w:val="1"/>
                <w:color w:val="FFFFFF"/>
                <w:w w:val="99"/>
              </w:rPr>
              <w:t>$ Value of Annual Equity Grant</w:t>
            </w:r>
          </w:p>
        </w:tc>
      </w:tr>
      <w:tr>
        <w:trPr>
          <w:trHeight w:val="250"/>
        </w:trPr>
        <w:tc>
          <w:tcPr>
            <w:tcW w:w="8860" w:type="dxa"/>
            <w:vAlign w:val="bottom"/>
            <w:tcBorders>
              <w:bottom w:val="single" w:sz="8" w:color="E2E6F4"/>
            </w:tcBorders>
            <w:shd w:val="clear" w:color="auto" w:fill="E2E6F4"/>
          </w:tcPr>
          <w:p>
            <w:pPr>
              <w:ind w:left="20"/>
              <w:spacing w:after="0"/>
              <w:rPr>
                <w:sz w:val="20"/>
                <w:szCs w:val="20"/>
                <w:color w:val="auto"/>
              </w:rPr>
            </w:pPr>
            <w:r>
              <w:rPr>
                <w:rFonts w:ascii="Arial" w:cs="Arial" w:eastAsia="Arial" w:hAnsi="Arial"/>
                <w:sz w:val="18"/>
                <w:szCs w:val="18"/>
                <w:color w:val="auto"/>
              </w:rPr>
              <w:t>Restricted Stock Unit Grant</w:t>
            </w:r>
          </w:p>
        </w:tc>
        <w:tc>
          <w:tcPr>
            <w:tcW w:w="1360" w:type="dxa"/>
            <w:vAlign w:val="bottom"/>
            <w:tcBorders>
              <w:bottom w:val="single" w:sz="8" w:color="E2E6F4"/>
            </w:tcBorders>
            <w:shd w:val="clear" w:color="auto" w:fill="E2E6F4"/>
          </w:tcPr>
          <w:p>
            <w:pPr>
              <w:spacing w:after="0"/>
              <w:rPr>
                <w:sz w:val="21"/>
                <w:szCs w:val="21"/>
                <w:color w:val="auto"/>
              </w:rPr>
            </w:pPr>
          </w:p>
        </w:tc>
        <w:tc>
          <w:tcPr>
            <w:tcW w:w="1020" w:type="dxa"/>
            <w:vAlign w:val="bottom"/>
            <w:tcBorders>
              <w:bottom w:val="single" w:sz="8" w:color="E2E6F4"/>
            </w:tcBorders>
            <w:shd w:val="clear" w:color="auto" w:fill="E2E6F4"/>
          </w:tcPr>
          <w:p>
            <w:pPr>
              <w:jc w:val="right"/>
              <w:spacing w:after="0"/>
              <w:rPr>
                <w:sz w:val="20"/>
                <w:szCs w:val="20"/>
                <w:color w:val="auto"/>
              </w:rPr>
            </w:pPr>
            <w:r>
              <w:rPr>
                <w:rFonts w:ascii="Arial" w:cs="Arial" w:eastAsia="Arial" w:hAnsi="Arial"/>
                <w:sz w:val="18"/>
                <w:szCs w:val="18"/>
                <w:color w:val="auto"/>
              </w:rPr>
              <w:t>$ 235,000</w:t>
            </w:r>
          </w:p>
        </w:tc>
      </w:tr>
      <w:tr>
        <w:trPr>
          <w:trHeight w:val="20"/>
        </w:trPr>
        <w:tc>
          <w:tcPr>
            <w:tcW w:w="8860" w:type="dxa"/>
            <w:vAlign w:val="bottom"/>
            <w:shd w:val="clear" w:color="auto" w:fill="0067B3"/>
          </w:tcPr>
          <w:p>
            <w:pPr>
              <w:spacing w:after="0" w:line="20" w:lineRule="exact"/>
              <w:rPr>
                <w:sz w:val="1"/>
                <w:szCs w:val="1"/>
                <w:color w:val="auto"/>
              </w:rPr>
            </w:pPr>
          </w:p>
        </w:tc>
        <w:tc>
          <w:tcPr>
            <w:tcW w:w="1360" w:type="dxa"/>
            <w:vAlign w:val="bottom"/>
            <w:shd w:val="clear" w:color="auto" w:fill="0067B3"/>
          </w:tcPr>
          <w:p>
            <w:pPr>
              <w:spacing w:after="0" w:line="20" w:lineRule="exact"/>
              <w:rPr>
                <w:sz w:val="1"/>
                <w:szCs w:val="1"/>
                <w:color w:val="auto"/>
              </w:rPr>
            </w:pPr>
          </w:p>
        </w:tc>
        <w:tc>
          <w:tcPr>
            <w:tcW w:w="1020" w:type="dxa"/>
            <w:vAlign w:val="bottom"/>
            <w:shd w:val="clear" w:color="auto" w:fill="0067B3"/>
          </w:tcPr>
          <w:p>
            <w:pPr>
              <w:spacing w:after="0" w:line="20" w:lineRule="exact"/>
              <w:rPr>
                <w:sz w:val="1"/>
                <w:szCs w:val="1"/>
                <w:color w:val="auto"/>
              </w:rPr>
            </w:pPr>
          </w:p>
        </w:tc>
      </w:tr>
    </w:tbl>
    <w:p>
      <w:pPr>
        <w:spacing w:after="0" w:line="165" w:lineRule="exact"/>
        <w:rPr>
          <w:sz w:val="20"/>
          <w:szCs w:val="20"/>
          <w:color w:val="auto"/>
        </w:rPr>
      </w:pPr>
    </w:p>
    <w:p>
      <w:pPr>
        <w:ind w:left="220" w:hanging="212"/>
        <w:spacing w:after="0"/>
        <w:tabs>
          <w:tab w:leader="none" w:pos="220" w:val="left"/>
        </w:tabs>
        <w:numPr>
          <w:ilvl w:val="0"/>
          <w:numId w:val="68"/>
        </w:numPr>
        <w:rPr>
          <w:rFonts w:ascii="Arial" w:cs="Arial" w:eastAsia="Arial" w:hAnsi="Arial"/>
          <w:sz w:val="19"/>
          <w:szCs w:val="19"/>
          <w:color w:val="auto"/>
          <w:vertAlign w:val="superscript"/>
        </w:rPr>
      </w:pPr>
      <w:r>
        <w:rPr>
          <w:rFonts w:ascii="Arial" w:cs="Arial" w:eastAsia="Arial" w:hAnsi="Arial"/>
          <w:sz w:val="14"/>
          <w:szCs w:val="14"/>
          <w:color w:val="auto"/>
        </w:rPr>
        <w:t>Mr. Roche, as an employee director, does not receive any additional compensation for his service as a director or as Chair of the Board of Directors.</w:t>
      </w:r>
    </w:p>
    <w:p>
      <w:pPr>
        <w:spacing w:after="0" w:line="57" w:lineRule="exact"/>
        <w:rPr>
          <w:rFonts w:ascii="Arial" w:cs="Arial" w:eastAsia="Arial" w:hAnsi="Arial"/>
          <w:sz w:val="19"/>
          <w:szCs w:val="19"/>
          <w:color w:val="auto"/>
          <w:vertAlign w:val="superscript"/>
        </w:rPr>
      </w:pPr>
    </w:p>
    <w:p>
      <w:pPr>
        <w:ind w:left="220" w:hanging="212"/>
        <w:spacing w:after="0" w:line="204" w:lineRule="auto"/>
        <w:tabs>
          <w:tab w:leader="none" w:pos="220" w:val="left"/>
        </w:tabs>
        <w:numPr>
          <w:ilvl w:val="0"/>
          <w:numId w:val="68"/>
        </w:numPr>
        <w:rPr>
          <w:rFonts w:ascii="Arial" w:cs="Arial" w:eastAsia="Arial" w:hAnsi="Arial"/>
          <w:sz w:val="19"/>
          <w:szCs w:val="19"/>
          <w:color w:val="auto"/>
          <w:vertAlign w:val="superscript"/>
        </w:rPr>
      </w:pPr>
      <w:r>
        <w:rPr>
          <w:rFonts w:ascii="Arial" w:cs="Arial" w:eastAsia="Arial" w:hAnsi="Arial"/>
          <w:sz w:val="14"/>
          <w:szCs w:val="14"/>
          <w:color w:val="auto"/>
        </w:rPr>
        <w:t>The annual retainer for the Lead Independent Director is in addition to the annual board member retainer.</w:t>
      </w:r>
    </w:p>
    <w:p>
      <w:pPr>
        <w:spacing w:after="0" w:line="57" w:lineRule="exact"/>
        <w:rPr>
          <w:rFonts w:ascii="Arial" w:cs="Arial" w:eastAsia="Arial" w:hAnsi="Arial"/>
          <w:sz w:val="19"/>
          <w:szCs w:val="19"/>
          <w:color w:val="auto"/>
          <w:vertAlign w:val="superscript"/>
        </w:rPr>
      </w:pPr>
    </w:p>
    <w:p>
      <w:pPr>
        <w:ind w:left="220" w:hanging="212"/>
        <w:spacing w:after="0" w:line="204" w:lineRule="auto"/>
        <w:tabs>
          <w:tab w:leader="none" w:pos="220" w:val="left"/>
        </w:tabs>
        <w:numPr>
          <w:ilvl w:val="0"/>
          <w:numId w:val="68"/>
        </w:numPr>
        <w:rPr>
          <w:rFonts w:ascii="Arial" w:cs="Arial" w:eastAsia="Arial" w:hAnsi="Arial"/>
          <w:sz w:val="19"/>
          <w:szCs w:val="19"/>
          <w:color w:val="auto"/>
          <w:vertAlign w:val="superscript"/>
        </w:rPr>
      </w:pPr>
      <w:r>
        <w:rPr>
          <w:rFonts w:ascii="Arial" w:cs="Arial" w:eastAsia="Arial" w:hAnsi="Arial"/>
          <w:sz w:val="14"/>
          <w:szCs w:val="14"/>
          <w:color w:val="auto"/>
        </w:rPr>
        <w:t>Committee retainers are in addition to annual board member retainers.</w:t>
      </w:r>
    </w:p>
    <w:p>
      <w:pPr>
        <w:sectPr>
          <w:pgSz w:w="11900" w:h="16838" w:orient="portrait"/>
          <w:cols w:equalWidth="0" w:num="1">
            <w:col w:w="11240"/>
          </w:cols>
          <w:pgMar w:left="320" w:top="1342" w:right="339" w:bottom="1440" w:gutter="0" w:footer="0" w:header="0"/>
        </w:sectPr>
      </w:pPr>
    </w:p>
    <w:p>
      <w:pPr>
        <w:spacing w:after="0" w:line="200" w:lineRule="exact"/>
        <w:rPr>
          <w:sz w:val="20"/>
          <w:szCs w:val="20"/>
          <w:color w:val="auto"/>
        </w:rPr>
      </w:pPr>
    </w:p>
    <w:p>
      <w:pPr>
        <w:spacing w:after="0" w:line="217" w:lineRule="exact"/>
        <w:rPr>
          <w:sz w:val="20"/>
          <w:szCs w:val="20"/>
          <w:color w:val="auto"/>
        </w:rPr>
      </w:pPr>
    </w:p>
    <w:p>
      <w:pPr>
        <w:ind w:left="8980"/>
        <w:spacing w:after="0"/>
        <w:tabs>
          <w:tab w:leader="none" w:pos="10980" w:val="left"/>
        </w:tabs>
        <w:rPr>
          <w:sz w:val="20"/>
          <w:szCs w:val="20"/>
          <w:color w:val="auto"/>
        </w:rPr>
      </w:pPr>
      <w:r>
        <w:rPr>
          <w:rFonts w:ascii="Arial" w:cs="Arial" w:eastAsia="Arial" w:hAnsi="Arial"/>
          <w:sz w:val="16"/>
          <w:szCs w:val="16"/>
          <w:color w:val="0067B3"/>
        </w:rPr>
        <w:t>2026 Proxy Statement</w:t>
      </w:r>
      <w:r>
        <w:rPr>
          <w:sz w:val="20"/>
          <w:szCs w:val="20"/>
          <w:color w:val="auto"/>
        </w:rPr>
        <w:tab/>
      </w:r>
      <w:r>
        <w:rPr>
          <w:rFonts w:ascii="Arial" w:cs="Arial" w:eastAsia="Arial" w:hAnsi="Arial"/>
          <w:sz w:val="19"/>
          <w:szCs w:val="19"/>
          <w:b w:val="1"/>
          <w:bCs w:val="1"/>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223520</wp:posOffset>
            </wp:positionV>
            <wp:extent cx="7157720" cy="4254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42" w:right="339" w:bottom="1440" w:gutter="0" w:footer="0" w:header="0"/>
          <w:type w:val="continuous"/>
        </w:sectPr>
      </w:pPr>
    </w:p>
    <w:bookmarkStart w:id="43" w:name="page44"/>
    <w:bookmarkEnd w:id="43"/>
    <w:p>
      <w:pPr>
        <w:spacing w:after="0"/>
        <w:rPr>
          <w:sz w:val="20"/>
          <w:szCs w:val="20"/>
          <w:color w:val="auto"/>
        </w:rPr>
      </w:pPr>
      <w:r>
        <w:rPr>
          <w:rFonts w:ascii="Arial" w:cs="Arial" w:eastAsia="Arial" w:hAnsi="Arial"/>
          <w:sz w:val="41"/>
          <w:szCs w:val="41"/>
          <w:b w:val="1"/>
          <w:bCs w:val="1"/>
          <w:color w:val="0067B3"/>
        </w:rPr>
        <w:t>Fiscal Year 2025 Director Compensation</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details the total compensation earned by our non-employee directors in fiscal year 2025.</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4140" w:type="dxa"/>
            <w:vAlign w:val="bottom"/>
            <w:shd w:val="clear" w:color="auto" w:fill="0067B3"/>
          </w:tcPr>
          <w:p>
            <w:pPr>
              <w:spacing w:after="0"/>
              <w:rPr>
                <w:sz w:val="17"/>
                <w:szCs w:val="17"/>
                <w:color w:val="auto"/>
              </w:rPr>
            </w:pPr>
          </w:p>
        </w:tc>
        <w:tc>
          <w:tcPr>
            <w:tcW w:w="3600" w:type="dxa"/>
            <w:vAlign w:val="bottom"/>
            <w:shd w:val="clear" w:color="auto" w:fill="0067B3"/>
          </w:tcPr>
          <w:p>
            <w:pPr>
              <w:jc w:val="right"/>
              <w:ind w:right="12"/>
              <w:spacing w:after="0"/>
              <w:rPr>
                <w:sz w:val="20"/>
                <w:szCs w:val="20"/>
                <w:color w:val="auto"/>
              </w:rPr>
            </w:pPr>
            <w:r>
              <w:rPr>
                <w:rFonts w:ascii="Arial" w:cs="Arial" w:eastAsia="Arial" w:hAnsi="Arial"/>
                <w:sz w:val="16"/>
                <w:szCs w:val="16"/>
                <w:b w:val="1"/>
                <w:bCs w:val="1"/>
                <w:color w:val="FFFFFF"/>
              </w:rPr>
              <w:t>Fees Earned or</w:t>
            </w:r>
          </w:p>
        </w:tc>
        <w:tc>
          <w:tcPr>
            <w:tcW w:w="1280" w:type="dxa"/>
            <w:vAlign w:val="bottom"/>
            <w:shd w:val="clear" w:color="auto" w:fill="0067B3"/>
          </w:tcPr>
          <w:p>
            <w:pPr>
              <w:spacing w:after="0"/>
              <w:rPr>
                <w:sz w:val="17"/>
                <w:szCs w:val="17"/>
                <w:color w:val="auto"/>
              </w:rPr>
            </w:pPr>
          </w:p>
        </w:tc>
        <w:tc>
          <w:tcPr>
            <w:tcW w:w="1380" w:type="dxa"/>
            <w:vAlign w:val="bottom"/>
            <w:gridSpan w:val="2"/>
            <w:shd w:val="clear" w:color="auto" w:fill="0067B3"/>
          </w:tcPr>
          <w:p>
            <w:pPr>
              <w:jc w:val="right"/>
              <w:ind w:right="54"/>
              <w:spacing w:after="0"/>
              <w:rPr>
                <w:sz w:val="20"/>
                <w:szCs w:val="20"/>
                <w:color w:val="auto"/>
              </w:rPr>
            </w:pPr>
            <w:r>
              <w:rPr>
                <w:rFonts w:ascii="Arial" w:cs="Arial" w:eastAsia="Arial" w:hAnsi="Arial"/>
                <w:sz w:val="16"/>
                <w:szCs w:val="16"/>
                <w:b w:val="1"/>
                <w:bCs w:val="1"/>
                <w:color w:val="FFFFFF"/>
              </w:rPr>
              <w:t>All Other</w:t>
            </w:r>
          </w:p>
        </w:tc>
        <w:tc>
          <w:tcPr>
            <w:tcW w:w="840" w:type="dxa"/>
            <w:vAlign w:val="bottom"/>
            <w:shd w:val="clear" w:color="auto" w:fill="0067B3"/>
          </w:tcPr>
          <w:p>
            <w:pPr>
              <w:spacing w:after="0"/>
              <w:rPr>
                <w:sz w:val="17"/>
                <w:szCs w:val="17"/>
                <w:color w:val="auto"/>
              </w:rPr>
            </w:pPr>
          </w:p>
        </w:tc>
      </w:tr>
      <w:tr>
        <w:trPr>
          <w:trHeight w:val="189"/>
        </w:trPr>
        <w:tc>
          <w:tcPr>
            <w:tcW w:w="4140" w:type="dxa"/>
            <w:vAlign w:val="bottom"/>
            <w:shd w:val="clear" w:color="auto" w:fill="0067B3"/>
          </w:tcPr>
          <w:p>
            <w:pPr>
              <w:spacing w:after="0"/>
              <w:rPr>
                <w:sz w:val="16"/>
                <w:szCs w:val="16"/>
                <w:color w:val="auto"/>
              </w:rPr>
            </w:pPr>
          </w:p>
        </w:tc>
        <w:tc>
          <w:tcPr>
            <w:tcW w:w="3600" w:type="dxa"/>
            <w:vAlign w:val="bottom"/>
            <w:shd w:val="clear" w:color="auto" w:fill="0067B3"/>
          </w:tcPr>
          <w:p>
            <w:pPr>
              <w:jc w:val="right"/>
              <w:ind w:right="12"/>
              <w:spacing w:after="0"/>
              <w:rPr>
                <w:sz w:val="20"/>
                <w:szCs w:val="20"/>
                <w:color w:val="auto"/>
              </w:rPr>
            </w:pPr>
            <w:r>
              <w:rPr>
                <w:rFonts w:ascii="Arial" w:cs="Arial" w:eastAsia="Arial" w:hAnsi="Arial"/>
                <w:sz w:val="16"/>
                <w:szCs w:val="16"/>
                <w:b w:val="1"/>
                <w:bCs w:val="1"/>
                <w:color w:val="FFFFFF"/>
              </w:rPr>
              <w:t>Paid in Cash</w:t>
            </w:r>
          </w:p>
        </w:tc>
        <w:tc>
          <w:tcPr>
            <w:tcW w:w="1280" w:type="dxa"/>
            <w:vAlign w:val="bottom"/>
            <w:shd w:val="clear" w:color="auto" w:fill="0067B3"/>
          </w:tcPr>
          <w:p>
            <w:pPr>
              <w:jc w:val="right"/>
              <w:ind w:right="34"/>
              <w:spacing w:after="0"/>
              <w:rPr>
                <w:sz w:val="20"/>
                <w:szCs w:val="20"/>
                <w:color w:val="auto"/>
              </w:rPr>
            </w:pPr>
            <w:r>
              <w:rPr>
                <w:rFonts w:ascii="Arial" w:cs="Arial" w:eastAsia="Arial" w:hAnsi="Arial"/>
                <w:sz w:val="16"/>
                <w:szCs w:val="16"/>
                <w:b w:val="1"/>
                <w:bCs w:val="1"/>
                <w:color w:val="FFFFFF"/>
              </w:rPr>
              <w:t>Stock Awards</w:t>
            </w:r>
          </w:p>
        </w:tc>
        <w:tc>
          <w:tcPr>
            <w:tcW w:w="1380" w:type="dxa"/>
            <w:vAlign w:val="bottom"/>
            <w:gridSpan w:val="2"/>
            <w:shd w:val="clear" w:color="auto" w:fill="0067B3"/>
          </w:tcPr>
          <w:p>
            <w:pPr>
              <w:jc w:val="right"/>
              <w:ind w:right="54"/>
              <w:spacing w:after="0"/>
              <w:rPr>
                <w:sz w:val="20"/>
                <w:szCs w:val="20"/>
                <w:color w:val="auto"/>
              </w:rPr>
            </w:pPr>
            <w:r>
              <w:rPr>
                <w:rFonts w:ascii="Arial" w:cs="Arial" w:eastAsia="Arial" w:hAnsi="Arial"/>
                <w:sz w:val="16"/>
                <w:szCs w:val="16"/>
                <w:b w:val="1"/>
                <w:bCs w:val="1"/>
                <w:color w:val="FFFFFF"/>
              </w:rPr>
              <w:t>Compensation</w:t>
            </w:r>
          </w:p>
        </w:tc>
        <w:tc>
          <w:tcPr>
            <w:tcW w:w="840" w:type="dxa"/>
            <w:vAlign w:val="bottom"/>
            <w:shd w:val="clear" w:color="auto" w:fill="0067B3"/>
          </w:tcPr>
          <w:p>
            <w:pPr>
              <w:jc w:val="right"/>
              <w:spacing w:after="0"/>
              <w:rPr>
                <w:sz w:val="20"/>
                <w:szCs w:val="20"/>
                <w:color w:val="auto"/>
              </w:rPr>
            </w:pPr>
            <w:r>
              <w:rPr>
                <w:rFonts w:ascii="Arial" w:cs="Arial" w:eastAsia="Arial" w:hAnsi="Arial"/>
                <w:sz w:val="16"/>
                <w:szCs w:val="16"/>
                <w:b w:val="1"/>
                <w:bCs w:val="1"/>
                <w:color w:val="FFFFFF"/>
              </w:rPr>
              <w:t>Total</w:t>
            </w:r>
          </w:p>
        </w:tc>
      </w:tr>
      <w:tr>
        <w:trPr>
          <w:trHeight w:val="244"/>
        </w:trPr>
        <w:tc>
          <w:tcPr>
            <w:tcW w:w="4140" w:type="dxa"/>
            <w:vAlign w:val="bottom"/>
            <w:shd w:val="clear" w:color="auto" w:fill="0067B3"/>
          </w:tcPr>
          <w:p>
            <w:pPr>
              <w:ind w:left="20"/>
              <w:spacing w:after="0"/>
              <w:rPr>
                <w:sz w:val="20"/>
                <w:szCs w:val="20"/>
                <w:color w:val="auto"/>
              </w:rPr>
            </w:pPr>
            <w:r>
              <w:rPr>
                <w:rFonts w:ascii="Arial" w:cs="Arial" w:eastAsia="Arial" w:hAnsi="Arial"/>
                <w:sz w:val="16"/>
                <w:szCs w:val="16"/>
                <w:b w:val="1"/>
                <w:bCs w:val="1"/>
                <w:color w:val="FFFFFF"/>
              </w:rPr>
              <w:t>Name</w:t>
            </w:r>
            <w:r>
              <w:rPr>
                <w:rFonts w:ascii="Arial" w:cs="Arial" w:eastAsia="Arial" w:hAnsi="Arial"/>
                <w:sz w:val="21"/>
                <w:szCs w:val="21"/>
                <w:b w:val="1"/>
                <w:bCs w:val="1"/>
                <w:color w:val="FFFFFF"/>
                <w:vertAlign w:val="superscript"/>
              </w:rPr>
              <w:t>(1)</w:t>
            </w:r>
          </w:p>
        </w:tc>
        <w:tc>
          <w:tcPr>
            <w:tcW w:w="3600" w:type="dxa"/>
            <w:vAlign w:val="bottom"/>
            <w:shd w:val="clear" w:color="auto" w:fill="0067B3"/>
          </w:tcPr>
          <w:p>
            <w:pPr>
              <w:jc w:val="right"/>
              <w:ind w:right="12"/>
              <w:spacing w:after="0"/>
              <w:rPr>
                <w:sz w:val="20"/>
                <w:szCs w:val="20"/>
                <w:color w:val="auto"/>
              </w:rPr>
            </w:pPr>
            <w:r>
              <w:rPr>
                <w:rFonts w:ascii="Arial" w:cs="Arial" w:eastAsia="Arial" w:hAnsi="Arial"/>
                <w:sz w:val="16"/>
                <w:szCs w:val="16"/>
                <w:b w:val="1"/>
                <w:bCs w:val="1"/>
                <w:color w:val="FFFFFF"/>
              </w:rPr>
              <w:t>($)</w:t>
            </w:r>
            <w:r>
              <w:rPr>
                <w:rFonts w:ascii="Arial" w:cs="Arial" w:eastAsia="Arial" w:hAnsi="Arial"/>
                <w:sz w:val="21"/>
                <w:szCs w:val="21"/>
                <w:b w:val="1"/>
                <w:bCs w:val="1"/>
                <w:color w:val="FFFFFF"/>
                <w:vertAlign w:val="superscript"/>
              </w:rPr>
              <w:t>(2)</w:t>
            </w:r>
          </w:p>
        </w:tc>
        <w:tc>
          <w:tcPr>
            <w:tcW w:w="1280" w:type="dxa"/>
            <w:vAlign w:val="bottom"/>
            <w:shd w:val="clear" w:color="auto" w:fill="0067B3"/>
          </w:tcPr>
          <w:p>
            <w:pPr>
              <w:jc w:val="right"/>
              <w:ind w:right="34"/>
              <w:spacing w:after="0" w:line="243" w:lineRule="exact"/>
              <w:rPr>
                <w:sz w:val="20"/>
                <w:szCs w:val="20"/>
                <w:color w:val="auto"/>
              </w:rPr>
            </w:pPr>
            <w:r>
              <w:rPr>
                <w:rFonts w:ascii="Arial" w:cs="Arial" w:eastAsia="Arial" w:hAnsi="Arial"/>
                <w:sz w:val="28"/>
                <w:szCs w:val="28"/>
                <w:b w:val="1"/>
                <w:bCs w:val="1"/>
                <w:color w:val="FFFFFF"/>
                <w:vertAlign w:val="subscript"/>
              </w:rPr>
              <w:t>($)</w:t>
            </w:r>
            <w:r>
              <w:rPr>
                <w:rFonts w:ascii="Arial" w:cs="Arial" w:eastAsia="Arial" w:hAnsi="Arial"/>
                <w:sz w:val="10"/>
                <w:szCs w:val="10"/>
                <w:b w:val="1"/>
                <w:bCs w:val="1"/>
                <w:color w:val="FFFFFF"/>
              </w:rPr>
              <w:t>(3)(4)</w:t>
            </w:r>
          </w:p>
        </w:tc>
        <w:tc>
          <w:tcPr>
            <w:tcW w:w="980" w:type="dxa"/>
            <w:vAlign w:val="bottom"/>
            <w:shd w:val="clear" w:color="auto" w:fill="0067B3"/>
          </w:tcPr>
          <w:p>
            <w:pPr>
              <w:spacing w:after="0"/>
              <w:rPr>
                <w:sz w:val="21"/>
                <w:szCs w:val="21"/>
                <w:color w:val="auto"/>
              </w:rPr>
            </w:pPr>
          </w:p>
        </w:tc>
        <w:tc>
          <w:tcPr>
            <w:tcW w:w="400" w:type="dxa"/>
            <w:vAlign w:val="bottom"/>
            <w:shd w:val="clear" w:color="auto" w:fill="0067B3"/>
          </w:tcPr>
          <w:p>
            <w:pPr>
              <w:jc w:val="right"/>
              <w:ind w:right="54"/>
              <w:spacing w:after="0"/>
              <w:rPr>
                <w:sz w:val="20"/>
                <w:szCs w:val="20"/>
                <w:color w:val="auto"/>
              </w:rPr>
            </w:pPr>
            <w:r>
              <w:rPr>
                <w:rFonts w:ascii="Arial" w:cs="Arial" w:eastAsia="Arial" w:hAnsi="Arial"/>
                <w:sz w:val="16"/>
                <w:szCs w:val="16"/>
                <w:b w:val="1"/>
                <w:bCs w:val="1"/>
                <w:color w:val="FFFFFF"/>
              </w:rPr>
              <w:t>($)</w:t>
            </w:r>
          </w:p>
        </w:tc>
        <w:tc>
          <w:tcPr>
            <w:tcW w:w="840" w:type="dxa"/>
            <w:vAlign w:val="bottom"/>
            <w:shd w:val="clear" w:color="auto" w:fill="0067B3"/>
          </w:tcPr>
          <w:p>
            <w:pPr>
              <w:jc w:val="right"/>
              <w:spacing w:after="0"/>
              <w:rPr>
                <w:sz w:val="20"/>
                <w:szCs w:val="20"/>
                <w:color w:val="auto"/>
              </w:rPr>
            </w:pPr>
            <w:r>
              <w:rPr>
                <w:rFonts w:ascii="Arial" w:cs="Arial" w:eastAsia="Arial" w:hAnsi="Arial"/>
                <w:sz w:val="16"/>
                <w:szCs w:val="16"/>
                <w:b w:val="1"/>
                <w:bCs w:val="1"/>
                <w:color w:val="FFFFFF"/>
              </w:rPr>
              <w:t>($)</w:t>
            </w:r>
          </w:p>
        </w:tc>
      </w:tr>
      <w:tr>
        <w:trPr>
          <w:trHeight w:val="270"/>
        </w:trPr>
        <w:tc>
          <w:tcPr>
            <w:tcW w:w="4140" w:type="dxa"/>
            <w:vAlign w:val="bottom"/>
            <w:shd w:val="clear" w:color="auto" w:fill="E2E6F4"/>
          </w:tcPr>
          <w:p>
            <w:pPr>
              <w:ind w:left="20"/>
              <w:spacing w:after="0"/>
              <w:rPr>
                <w:sz w:val="20"/>
                <w:szCs w:val="20"/>
                <w:color w:val="auto"/>
              </w:rPr>
            </w:pPr>
            <w:r>
              <w:rPr>
                <w:rFonts w:ascii="Arial" w:cs="Arial" w:eastAsia="Arial" w:hAnsi="Arial"/>
                <w:sz w:val="18"/>
                <w:szCs w:val="18"/>
                <w:b w:val="1"/>
                <w:bCs w:val="1"/>
                <w:color w:val="0067B3"/>
              </w:rPr>
              <w:t>Stephen M. Jennings</w:t>
            </w:r>
          </w:p>
        </w:tc>
        <w:tc>
          <w:tcPr>
            <w:tcW w:w="3600" w:type="dxa"/>
            <w:vAlign w:val="bottom"/>
            <w:shd w:val="clear" w:color="auto" w:fill="E2E6F4"/>
          </w:tcPr>
          <w:p>
            <w:pPr>
              <w:jc w:val="right"/>
              <w:ind w:right="72"/>
              <w:spacing w:after="0"/>
              <w:rPr>
                <w:sz w:val="20"/>
                <w:szCs w:val="20"/>
                <w:color w:val="auto"/>
              </w:rPr>
            </w:pPr>
            <w:r>
              <w:rPr>
                <w:rFonts w:ascii="Arial" w:cs="Arial" w:eastAsia="Arial" w:hAnsi="Arial"/>
                <w:sz w:val="18"/>
                <w:szCs w:val="18"/>
                <w:color w:val="auto"/>
              </w:rPr>
              <w:t>185,000</w:t>
            </w:r>
          </w:p>
        </w:tc>
        <w:tc>
          <w:tcPr>
            <w:tcW w:w="1280" w:type="dxa"/>
            <w:vAlign w:val="bottom"/>
            <w:shd w:val="clear" w:color="auto" w:fill="E2E6F4"/>
          </w:tcPr>
          <w:p>
            <w:pPr>
              <w:jc w:val="right"/>
              <w:ind w:right="94"/>
              <w:spacing w:after="0"/>
              <w:rPr>
                <w:sz w:val="20"/>
                <w:szCs w:val="20"/>
                <w:color w:val="auto"/>
              </w:rPr>
            </w:pPr>
            <w:r>
              <w:rPr>
                <w:rFonts w:ascii="Arial" w:cs="Arial" w:eastAsia="Arial" w:hAnsi="Arial"/>
                <w:sz w:val="18"/>
                <w:szCs w:val="18"/>
                <w:color w:val="auto"/>
              </w:rPr>
              <w:t>235,202</w:t>
            </w:r>
          </w:p>
        </w:tc>
        <w:tc>
          <w:tcPr>
            <w:tcW w:w="980" w:type="dxa"/>
            <w:vAlign w:val="bottom"/>
            <w:shd w:val="clear" w:color="auto" w:fill="E2E6F4"/>
          </w:tcPr>
          <w:p>
            <w:pPr>
              <w:jc w:val="right"/>
              <w:spacing w:after="0"/>
              <w:rPr>
                <w:sz w:val="20"/>
                <w:szCs w:val="20"/>
                <w:color w:val="auto"/>
              </w:rPr>
            </w:pPr>
            <w:r>
              <w:rPr>
                <w:rFonts w:ascii="Arial" w:cs="Arial" w:eastAsia="Arial" w:hAnsi="Arial"/>
                <w:sz w:val="18"/>
                <w:szCs w:val="18"/>
                <w:color w:val="auto"/>
              </w:rPr>
              <w:t>5,000</w:t>
            </w:r>
          </w:p>
        </w:tc>
        <w:tc>
          <w:tcPr>
            <w:tcW w:w="400" w:type="dxa"/>
            <w:vAlign w:val="bottom"/>
            <w:shd w:val="clear" w:color="auto" w:fill="E2E6F4"/>
          </w:tcPr>
          <w:p>
            <w:pPr>
              <w:jc w:val="right"/>
              <w:ind w:right="154"/>
              <w:spacing w:after="0"/>
              <w:rPr>
                <w:sz w:val="20"/>
                <w:szCs w:val="20"/>
                <w:color w:val="auto"/>
              </w:rPr>
            </w:pPr>
            <w:r>
              <w:rPr>
                <w:rFonts w:ascii="Arial" w:cs="Arial" w:eastAsia="Arial" w:hAnsi="Arial"/>
                <w:sz w:val="12"/>
                <w:szCs w:val="12"/>
                <w:color w:val="auto"/>
              </w:rPr>
              <w:t>(5)</w:t>
            </w:r>
          </w:p>
        </w:tc>
        <w:tc>
          <w:tcPr>
            <w:tcW w:w="840" w:type="dxa"/>
            <w:vAlign w:val="bottom"/>
            <w:shd w:val="clear" w:color="auto" w:fill="E2E6F4"/>
          </w:tcPr>
          <w:p>
            <w:pPr>
              <w:jc w:val="right"/>
              <w:spacing w:after="0"/>
              <w:rPr>
                <w:sz w:val="20"/>
                <w:szCs w:val="20"/>
                <w:color w:val="auto"/>
              </w:rPr>
            </w:pPr>
            <w:r>
              <w:rPr>
                <w:rFonts w:ascii="Arial" w:cs="Arial" w:eastAsia="Arial" w:hAnsi="Arial"/>
                <w:sz w:val="18"/>
                <w:szCs w:val="18"/>
                <w:color w:val="auto"/>
              </w:rPr>
              <w:t>425,202</w:t>
            </w:r>
          </w:p>
        </w:tc>
      </w:tr>
      <w:tr>
        <w:trPr>
          <w:trHeight w:val="263"/>
        </w:trPr>
        <w:tc>
          <w:tcPr>
            <w:tcW w:w="4140" w:type="dxa"/>
            <w:vAlign w:val="bottom"/>
          </w:tcPr>
          <w:p>
            <w:pPr>
              <w:ind w:left="20"/>
              <w:spacing w:after="0"/>
              <w:rPr>
                <w:sz w:val="20"/>
                <w:szCs w:val="20"/>
                <w:color w:val="auto"/>
              </w:rPr>
            </w:pPr>
            <w:r>
              <w:rPr>
                <w:rFonts w:ascii="Arial" w:cs="Arial" w:eastAsia="Arial" w:hAnsi="Arial"/>
                <w:sz w:val="18"/>
                <w:szCs w:val="18"/>
                <w:b w:val="1"/>
                <w:bCs w:val="1"/>
                <w:color w:val="0067B3"/>
              </w:rPr>
              <w:t>André Andonian</w:t>
            </w:r>
          </w:p>
        </w:tc>
        <w:tc>
          <w:tcPr>
            <w:tcW w:w="3600" w:type="dxa"/>
            <w:vAlign w:val="bottom"/>
          </w:tcPr>
          <w:p>
            <w:pPr>
              <w:jc w:val="right"/>
              <w:ind w:right="72"/>
              <w:spacing w:after="0"/>
              <w:rPr>
                <w:sz w:val="20"/>
                <w:szCs w:val="20"/>
                <w:color w:val="auto"/>
              </w:rPr>
            </w:pPr>
            <w:r>
              <w:rPr>
                <w:rFonts w:ascii="Arial" w:cs="Arial" w:eastAsia="Arial" w:hAnsi="Arial"/>
                <w:sz w:val="18"/>
                <w:szCs w:val="18"/>
                <w:color w:val="auto"/>
              </w:rPr>
              <w:t>139,708</w:t>
            </w:r>
          </w:p>
        </w:tc>
        <w:tc>
          <w:tcPr>
            <w:tcW w:w="1280" w:type="dxa"/>
            <w:vAlign w:val="bottom"/>
          </w:tcPr>
          <w:p>
            <w:pPr>
              <w:jc w:val="right"/>
              <w:ind w:right="94"/>
              <w:spacing w:after="0"/>
              <w:rPr>
                <w:sz w:val="20"/>
                <w:szCs w:val="20"/>
                <w:color w:val="auto"/>
              </w:rPr>
            </w:pPr>
            <w:r>
              <w:rPr>
                <w:rFonts w:ascii="Arial" w:cs="Arial" w:eastAsia="Arial" w:hAnsi="Arial"/>
                <w:sz w:val="18"/>
                <w:szCs w:val="18"/>
                <w:color w:val="auto"/>
              </w:rPr>
              <w:t>235,202</w:t>
            </w: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374,910</w:t>
            </w:r>
          </w:p>
        </w:tc>
      </w:tr>
      <w:tr>
        <w:trPr>
          <w:trHeight w:val="278"/>
        </w:trPr>
        <w:tc>
          <w:tcPr>
            <w:tcW w:w="4140" w:type="dxa"/>
            <w:vAlign w:val="bottom"/>
            <w:shd w:val="clear" w:color="auto" w:fill="E2E6F4"/>
          </w:tcPr>
          <w:p>
            <w:pPr>
              <w:ind w:left="20"/>
              <w:spacing w:after="0"/>
              <w:rPr>
                <w:sz w:val="20"/>
                <w:szCs w:val="20"/>
                <w:color w:val="auto"/>
              </w:rPr>
            </w:pPr>
            <w:r>
              <w:rPr>
                <w:rFonts w:ascii="Arial" w:cs="Arial" w:eastAsia="Arial" w:hAnsi="Arial"/>
                <w:sz w:val="18"/>
                <w:szCs w:val="18"/>
                <w:b w:val="1"/>
                <w:bCs w:val="1"/>
                <w:color w:val="0067B3"/>
              </w:rPr>
              <w:t>James A. Champy</w:t>
            </w:r>
            <w:r>
              <w:rPr>
                <w:rFonts w:ascii="Arial" w:cs="Arial" w:eastAsia="Arial" w:hAnsi="Arial"/>
                <w:sz w:val="23"/>
                <w:szCs w:val="23"/>
                <w:b w:val="1"/>
                <w:bCs w:val="1"/>
                <w:color w:val="0067B3"/>
                <w:vertAlign w:val="superscript"/>
              </w:rPr>
              <w:t>(6)</w:t>
            </w:r>
          </w:p>
        </w:tc>
        <w:tc>
          <w:tcPr>
            <w:tcW w:w="3600" w:type="dxa"/>
            <w:vAlign w:val="bottom"/>
            <w:shd w:val="clear" w:color="auto" w:fill="E2E6F4"/>
          </w:tcPr>
          <w:p>
            <w:pPr>
              <w:jc w:val="right"/>
              <w:ind w:right="72"/>
              <w:spacing w:after="0"/>
              <w:rPr>
                <w:sz w:val="20"/>
                <w:szCs w:val="20"/>
                <w:color w:val="auto"/>
              </w:rPr>
            </w:pPr>
            <w:r>
              <w:rPr>
                <w:rFonts w:ascii="Arial" w:cs="Arial" w:eastAsia="Arial" w:hAnsi="Arial"/>
                <w:sz w:val="18"/>
                <w:szCs w:val="18"/>
                <w:color w:val="auto"/>
              </w:rPr>
              <w:t>41,208</w:t>
            </w:r>
          </w:p>
        </w:tc>
        <w:tc>
          <w:tcPr>
            <w:tcW w:w="1280" w:type="dxa"/>
            <w:vAlign w:val="bottom"/>
            <w:shd w:val="clear" w:color="auto" w:fill="E2E6F4"/>
          </w:tcPr>
          <w:p>
            <w:pPr>
              <w:jc w:val="right"/>
              <w:ind w:right="94"/>
              <w:spacing w:after="0"/>
              <w:rPr>
                <w:sz w:val="20"/>
                <w:szCs w:val="20"/>
                <w:color w:val="auto"/>
              </w:rPr>
            </w:pPr>
            <w:r>
              <w:rPr>
                <w:rFonts w:ascii="Arial" w:cs="Arial" w:eastAsia="Arial" w:hAnsi="Arial"/>
                <w:sz w:val="18"/>
                <w:szCs w:val="18"/>
                <w:color w:val="auto"/>
              </w:rPr>
              <w:t>—</w:t>
            </w:r>
          </w:p>
        </w:tc>
        <w:tc>
          <w:tcPr>
            <w:tcW w:w="980" w:type="dxa"/>
            <w:vAlign w:val="bottom"/>
            <w:shd w:val="clear" w:color="auto" w:fill="E2E6F4"/>
          </w:tcPr>
          <w:p>
            <w:pPr>
              <w:jc w:val="right"/>
              <w:spacing w:after="0"/>
              <w:rPr>
                <w:sz w:val="20"/>
                <w:szCs w:val="20"/>
                <w:color w:val="auto"/>
              </w:rPr>
            </w:pPr>
            <w:r>
              <w:rPr>
                <w:rFonts w:ascii="Arial" w:cs="Arial" w:eastAsia="Arial" w:hAnsi="Arial"/>
                <w:sz w:val="18"/>
                <w:szCs w:val="18"/>
                <w:color w:val="auto"/>
              </w:rPr>
              <w:t>—</w:t>
            </w:r>
          </w:p>
        </w:tc>
        <w:tc>
          <w:tcPr>
            <w:tcW w:w="400" w:type="dxa"/>
            <w:vAlign w:val="bottom"/>
            <w:shd w:val="clear" w:color="auto" w:fill="E2E6F4"/>
          </w:tcPr>
          <w:p>
            <w:pPr>
              <w:spacing w:after="0"/>
              <w:rPr>
                <w:sz w:val="24"/>
                <w:szCs w:val="24"/>
                <w:color w:val="auto"/>
              </w:rPr>
            </w:pPr>
          </w:p>
        </w:tc>
        <w:tc>
          <w:tcPr>
            <w:tcW w:w="840" w:type="dxa"/>
            <w:vAlign w:val="bottom"/>
            <w:shd w:val="clear" w:color="auto" w:fill="E2E6F4"/>
          </w:tcPr>
          <w:p>
            <w:pPr>
              <w:jc w:val="right"/>
              <w:spacing w:after="0"/>
              <w:rPr>
                <w:sz w:val="20"/>
                <w:szCs w:val="20"/>
                <w:color w:val="auto"/>
              </w:rPr>
            </w:pPr>
            <w:r>
              <w:rPr>
                <w:rFonts w:ascii="Arial" w:cs="Arial" w:eastAsia="Arial" w:hAnsi="Arial"/>
                <w:sz w:val="18"/>
                <w:szCs w:val="18"/>
                <w:color w:val="auto"/>
              </w:rPr>
              <w:t>41,208</w:t>
            </w:r>
          </w:p>
        </w:tc>
      </w:tr>
      <w:tr>
        <w:trPr>
          <w:trHeight w:val="263"/>
        </w:trPr>
        <w:tc>
          <w:tcPr>
            <w:tcW w:w="4140" w:type="dxa"/>
            <w:vAlign w:val="bottom"/>
          </w:tcPr>
          <w:p>
            <w:pPr>
              <w:ind w:left="20"/>
              <w:spacing w:after="0"/>
              <w:rPr>
                <w:sz w:val="20"/>
                <w:szCs w:val="20"/>
                <w:color w:val="auto"/>
              </w:rPr>
            </w:pPr>
            <w:r>
              <w:rPr>
                <w:rFonts w:ascii="Arial" w:cs="Arial" w:eastAsia="Arial" w:hAnsi="Arial"/>
                <w:sz w:val="18"/>
                <w:szCs w:val="18"/>
                <w:b w:val="1"/>
                <w:bCs w:val="1"/>
                <w:color w:val="0067B3"/>
              </w:rPr>
              <w:t>Edward H. Frank</w:t>
            </w:r>
          </w:p>
        </w:tc>
        <w:tc>
          <w:tcPr>
            <w:tcW w:w="3600" w:type="dxa"/>
            <w:vAlign w:val="bottom"/>
          </w:tcPr>
          <w:p>
            <w:pPr>
              <w:jc w:val="right"/>
              <w:ind w:right="72"/>
              <w:spacing w:after="0"/>
              <w:rPr>
                <w:sz w:val="20"/>
                <w:szCs w:val="20"/>
                <w:color w:val="auto"/>
              </w:rPr>
            </w:pPr>
            <w:r>
              <w:rPr>
                <w:rFonts w:ascii="Arial" w:cs="Arial" w:eastAsia="Arial" w:hAnsi="Arial"/>
                <w:sz w:val="18"/>
                <w:szCs w:val="18"/>
                <w:color w:val="auto"/>
              </w:rPr>
              <w:t>150,417</w:t>
            </w:r>
          </w:p>
        </w:tc>
        <w:tc>
          <w:tcPr>
            <w:tcW w:w="1280" w:type="dxa"/>
            <w:vAlign w:val="bottom"/>
          </w:tcPr>
          <w:p>
            <w:pPr>
              <w:jc w:val="right"/>
              <w:ind w:right="94"/>
              <w:spacing w:after="0"/>
              <w:rPr>
                <w:sz w:val="20"/>
                <w:szCs w:val="20"/>
                <w:color w:val="auto"/>
              </w:rPr>
            </w:pPr>
            <w:r>
              <w:rPr>
                <w:rFonts w:ascii="Arial" w:cs="Arial" w:eastAsia="Arial" w:hAnsi="Arial"/>
                <w:sz w:val="18"/>
                <w:szCs w:val="18"/>
                <w:color w:val="auto"/>
              </w:rPr>
              <w:t>235,202</w:t>
            </w: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385,619</w:t>
            </w:r>
          </w:p>
        </w:tc>
      </w:tr>
      <w:tr>
        <w:trPr>
          <w:trHeight w:val="277"/>
        </w:trPr>
        <w:tc>
          <w:tcPr>
            <w:tcW w:w="4140" w:type="dxa"/>
            <w:vAlign w:val="bottom"/>
            <w:shd w:val="clear" w:color="auto" w:fill="E2E6F4"/>
          </w:tcPr>
          <w:p>
            <w:pPr>
              <w:ind w:left="20"/>
              <w:spacing w:after="0"/>
              <w:rPr>
                <w:sz w:val="20"/>
                <w:szCs w:val="20"/>
                <w:color w:val="auto"/>
              </w:rPr>
            </w:pPr>
            <w:r>
              <w:rPr>
                <w:rFonts w:ascii="Arial" w:cs="Arial" w:eastAsia="Arial" w:hAnsi="Arial"/>
                <w:sz w:val="18"/>
                <w:szCs w:val="18"/>
                <w:b w:val="1"/>
                <w:bCs w:val="1"/>
                <w:color w:val="0067B3"/>
              </w:rPr>
              <w:t>Laurie H. Glimcher</w:t>
            </w:r>
            <w:r>
              <w:rPr>
                <w:rFonts w:ascii="Arial" w:cs="Arial" w:eastAsia="Arial" w:hAnsi="Arial"/>
                <w:sz w:val="23"/>
                <w:szCs w:val="23"/>
                <w:b w:val="1"/>
                <w:bCs w:val="1"/>
                <w:color w:val="0067B3"/>
                <w:vertAlign w:val="superscript"/>
              </w:rPr>
              <w:t>(7)</w:t>
            </w:r>
          </w:p>
        </w:tc>
        <w:tc>
          <w:tcPr>
            <w:tcW w:w="3600" w:type="dxa"/>
            <w:vAlign w:val="bottom"/>
            <w:shd w:val="clear" w:color="auto" w:fill="E2E6F4"/>
          </w:tcPr>
          <w:p>
            <w:pPr>
              <w:jc w:val="right"/>
              <w:ind w:right="72"/>
              <w:spacing w:after="0"/>
              <w:rPr>
                <w:sz w:val="20"/>
                <w:szCs w:val="20"/>
                <w:color w:val="auto"/>
              </w:rPr>
            </w:pPr>
            <w:r>
              <w:rPr>
                <w:rFonts w:ascii="Arial" w:cs="Arial" w:eastAsia="Arial" w:hAnsi="Arial"/>
                <w:sz w:val="18"/>
                <w:szCs w:val="18"/>
                <w:color w:val="auto"/>
              </w:rPr>
              <w:t>63,250</w:t>
            </w:r>
          </w:p>
        </w:tc>
        <w:tc>
          <w:tcPr>
            <w:tcW w:w="1280" w:type="dxa"/>
            <w:vAlign w:val="bottom"/>
            <w:shd w:val="clear" w:color="auto" w:fill="E2E6F4"/>
          </w:tcPr>
          <w:p>
            <w:pPr>
              <w:jc w:val="right"/>
              <w:ind w:right="94"/>
              <w:spacing w:after="0"/>
              <w:rPr>
                <w:sz w:val="20"/>
                <w:szCs w:val="20"/>
                <w:color w:val="auto"/>
              </w:rPr>
            </w:pPr>
            <w:r>
              <w:rPr>
                <w:rFonts w:ascii="Arial" w:cs="Arial" w:eastAsia="Arial" w:hAnsi="Arial"/>
                <w:sz w:val="18"/>
                <w:szCs w:val="18"/>
                <w:color w:val="auto"/>
              </w:rPr>
              <w:t>235,202</w:t>
            </w:r>
          </w:p>
        </w:tc>
        <w:tc>
          <w:tcPr>
            <w:tcW w:w="980" w:type="dxa"/>
            <w:vAlign w:val="bottom"/>
            <w:shd w:val="clear" w:color="auto" w:fill="E2E6F4"/>
          </w:tcPr>
          <w:p>
            <w:pPr>
              <w:jc w:val="right"/>
              <w:spacing w:after="0"/>
              <w:rPr>
                <w:sz w:val="20"/>
                <w:szCs w:val="20"/>
                <w:color w:val="auto"/>
              </w:rPr>
            </w:pPr>
            <w:r>
              <w:rPr>
                <w:rFonts w:ascii="Arial" w:cs="Arial" w:eastAsia="Arial" w:hAnsi="Arial"/>
                <w:sz w:val="18"/>
                <w:szCs w:val="18"/>
                <w:color w:val="auto"/>
              </w:rPr>
              <w:t>—</w:t>
            </w:r>
          </w:p>
        </w:tc>
        <w:tc>
          <w:tcPr>
            <w:tcW w:w="400" w:type="dxa"/>
            <w:vAlign w:val="bottom"/>
            <w:shd w:val="clear" w:color="auto" w:fill="E2E6F4"/>
          </w:tcPr>
          <w:p>
            <w:pPr>
              <w:spacing w:after="0"/>
              <w:rPr>
                <w:sz w:val="24"/>
                <w:szCs w:val="24"/>
                <w:color w:val="auto"/>
              </w:rPr>
            </w:pPr>
          </w:p>
        </w:tc>
        <w:tc>
          <w:tcPr>
            <w:tcW w:w="840" w:type="dxa"/>
            <w:vAlign w:val="bottom"/>
            <w:shd w:val="clear" w:color="auto" w:fill="E2E6F4"/>
          </w:tcPr>
          <w:p>
            <w:pPr>
              <w:jc w:val="right"/>
              <w:spacing w:after="0"/>
              <w:rPr>
                <w:sz w:val="20"/>
                <w:szCs w:val="20"/>
                <w:color w:val="auto"/>
              </w:rPr>
            </w:pPr>
            <w:r>
              <w:rPr>
                <w:rFonts w:ascii="Arial" w:cs="Arial" w:eastAsia="Arial" w:hAnsi="Arial"/>
                <w:sz w:val="18"/>
                <w:szCs w:val="18"/>
                <w:color w:val="auto"/>
              </w:rPr>
              <w:t>298,452</w:t>
            </w:r>
          </w:p>
        </w:tc>
      </w:tr>
      <w:tr>
        <w:trPr>
          <w:trHeight w:val="263"/>
        </w:trPr>
        <w:tc>
          <w:tcPr>
            <w:tcW w:w="4140" w:type="dxa"/>
            <w:vAlign w:val="bottom"/>
          </w:tcPr>
          <w:p>
            <w:pPr>
              <w:ind w:left="20"/>
              <w:spacing w:after="0"/>
              <w:rPr>
                <w:sz w:val="20"/>
                <w:szCs w:val="20"/>
                <w:color w:val="auto"/>
              </w:rPr>
            </w:pPr>
            <w:r>
              <w:rPr>
                <w:rFonts w:ascii="Arial" w:cs="Arial" w:eastAsia="Arial" w:hAnsi="Arial"/>
                <w:sz w:val="18"/>
                <w:szCs w:val="18"/>
                <w:b w:val="1"/>
                <w:bCs w:val="1"/>
                <w:color w:val="0067B3"/>
              </w:rPr>
              <w:t>Karen M. Golz</w:t>
            </w:r>
          </w:p>
        </w:tc>
        <w:tc>
          <w:tcPr>
            <w:tcW w:w="3600" w:type="dxa"/>
            <w:vAlign w:val="bottom"/>
          </w:tcPr>
          <w:p>
            <w:pPr>
              <w:jc w:val="right"/>
              <w:ind w:right="72"/>
              <w:spacing w:after="0"/>
              <w:rPr>
                <w:sz w:val="20"/>
                <w:szCs w:val="20"/>
                <w:color w:val="auto"/>
              </w:rPr>
            </w:pPr>
            <w:r>
              <w:rPr>
                <w:rFonts w:ascii="Arial" w:cs="Arial" w:eastAsia="Arial" w:hAnsi="Arial"/>
                <w:sz w:val="18"/>
                <w:szCs w:val="18"/>
                <w:color w:val="auto"/>
              </w:rPr>
              <w:t>130,000</w:t>
            </w:r>
          </w:p>
        </w:tc>
        <w:tc>
          <w:tcPr>
            <w:tcW w:w="1280" w:type="dxa"/>
            <w:vAlign w:val="bottom"/>
          </w:tcPr>
          <w:p>
            <w:pPr>
              <w:jc w:val="right"/>
              <w:ind w:right="94"/>
              <w:spacing w:after="0"/>
              <w:rPr>
                <w:sz w:val="20"/>
                <w:szCs w:val="20"/>
                <w:color w:val="auto"/>
              </w:rPr>
            </w:pPr>
            <w:r>
              <w:rPr>
                <w:rFonts w:ascii="Arial" w:cs="Arial" w:eastAsia="Arial" w:hAnsi="Arial"/>
                <w:sz w:val="18"/>
                <w:szCs w:val="18"/>
                <w:color w:val="auto"/>
              </w:rPr>
              <w:t>235,202</w:t>
            </w: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365,202</w:t>
            </w:r>
          </w:p>
        </w:tc>
      </w:tr>
      <w:tr>
        <w:trPr>
          <w:trHeight w:val="278"/>
        </w:trPr>
        <w:tc>
          <w:tcPr>
            <w:tcW w:w="4140" w:type="dxa"/>
            <w:vAlign w:val="bottom"/>
            <w:shd w:val="clear" w:color="auto" w:fill="E2E6F4"/>
          </w:tcPr>
          <w:p>
            <w:pPr>
              <w:ind w:left="20"/>
              <w:spacing w:after="0"/>
              <w:rPr>
                <w:sz w:val="20"/>
                <w:szCs w:val="20"/>
                <w:color w:val="auto"/>
              </w:rPr>
            </w:pPr>
            <w:r>
              <w:rPr>
                <w:rFonts w:ascii="Arial" w:cs="Arial" w:eastAsia="Arial" w:hAnsi="Arial"/>
                <w:sz w:val="18"/>
                <w:szCs w:val="18"/>
                <w:b w:val="1"/>
                <w:bCs w:val="1"/>
                <w:color w:val="0067B3"/>
              </w:rPr>
              <w:t>Peter B. Henry</w:t>
            </w:r>
          </w:p>
        </w:tc>
        <w:tc>
          <w:tcPr>
            <w:tcW w:w="3600" w:type="dxa"/>
            <w:vAlign w:val="bottom"/>
            <w:shd w:val="clear" w:color="auto" w:fill="E2E6F4"/>
          </w:tcPr>
          <w:p>
            <w:pPr>
              <w:jc w:val="right"/>
              <w:ind w:right="72"/>
              <w:spacing w:after="0"/>
              <w:rPr>
                <w:sz w:val="20"/>
                <w:szCs w:val="20"/>
                <w:color w:val="auto"/>
              </w:rPr>
            </w:pPr>
            <w:r>
              <w:rPr>
                <w:rFonts w:ascii="Arial" w:cs="Arial" w:eastAsia="Arial" w:hAnsi="Arial"/>
                <w:sz w:val="18"/>
                <w:szCs w:val="18"/>
                <w:color w:val="auto"/>
              </w:rPr>
              <w:t>130,000</w:t>
            </w:r>
          </w:p>
        </w:tc>
        <w:tc>
          <w:tcPr>
            <w:tcW w:w="1280" w:type="dxa"/>
            <w:vAlign w:val="bottom"/>
            <w:shd w:val="clear" w:color="auto" w:fill="E2E6F4"/>
          </w:tcPr>
          <w:p>
            <w:pPr>
              <w:jc w:val="right"/>
              <w:ind w:right="94"/>
              <w:spacing w:after="0"/>
              <w:rPr>
                <w:sz w:val="20"/>
                <w:szCs w:val="20"/>
                <w:color w:val="auto"/>
              </w:rPr>
            </w:pPr>
            <w:r>
              <w:rPr>
                <w:rFonts w:ascii="Arial" w:cs="Arial" w:eastAsia="Arial" w:hAnsi="Arial"/>
                <w:sz w:val="18"/>
                <w:szCs w:val="18"/>
                <w:color w:val="auto"/>
              </w:rPr>
              <w:t>235,202</w:t>
            </w:r>
          </w:p>
        </w:tc>
        <w:tc>
          <w:tcPr>
            <w:tcW w:w="980" w:type="dxa"/>
            <w:vAlign w:val="bottom"/>
            <w:shd w:val="clear" w:color="auto" w:fill="E2E6F4"/>
          </w:tcPr>
          <w:p>
            <w:pPr>
              <w:jc w:val="right"/>
              <w:spacing w:after="0"/>
              <w:rPr>
                <w:sz w:val="20"/>
                <w:szCs w:val="20"/>
                <w:color w:val="auto"/>
              </w:rPr>
            </w:pPr>
            <w:r>
              <w:rPr>
                <w:rFonts w:ascii="Arial" w:cs="Arial" w:eastAsia="Arial" w:hAnsi="Arial"/>
                <w:sz w:val="18"/>
                <w:szCs w:val="18"/>
                <w:color w:val="auto"/>
              </w:rPr>
              <w:t>—</w:t>
            </w:r>
          </w:p>
        </w:tc>
        <w:tc>
          <w:tcPr>
            <w:tcW w:w="400" w:type="dxa"/>
            <w:vAlign w:val="bottom"/>
            <w:shd w:val="clear" w:color="auto" w:fill="E2E6F4"/>
          </w:tcPr>
          <w:p>
            <w:pPr>
              <w:spacing w:after="0"/>
              <w:rPr>
                <w:sz w:val="24"/>
                <w:szCs w:val="24"/>
                <w:color w:val="auto"/>
              </w:rPr>
            </w:pPr>
          </w:p>
        </w:tc>
        <w:tc>
          <w:tcPr>
            <w:tcW w:w="840" w:type="dxa"/>
            <w:vAlign w:val="bottom"/>
            <w:shd w:val="clear" w:color="auto" w:fill="E2E6F4"/>
          </w:tcPr>
          <w:p>
            <w:pPr>
              <w:jc w:val="right"/>
              <w:spacing w:after="0"/>
              <w:rPr>
                <w:sz w:val="20"/>
                <w:szCs w:val="20"/>
                <w:color w:val="auto"/>
              </w:rPr>
            </w:pPr>
            <w:r>
              <w:rPr>
                <w:rFonts w:ascii="Arial" w:cs="Arial" w:eastAsia="Arial" w:hAnsi="Arial"/>
                <w:sz w:val="18"/>
                <w:szCs w:val="18"/>
                <w:color w:val="auto"/>
              </w:rPr>
              <w:t>365,202</w:t>
            </w:r>
          </w:p>
        </w:tc>
      </w:tr>
      <w:tr>
        <w:trPr>
          <w:trHeight w:val="263"/>
        </w:trPr>
        <w:tc>
          <w:tcPr>
            <w:tcW w:w="4140" w:type="dxa"/>
            <w:vAlign w:val="bottom"/>
          </w:tcPr>
          <w:p>
            <w:pPr>
              <w:ind w:left="20"/>
              <w:spacing w:after="0"/>
              <w:rPr>
                <w:sz w:val="20"/>
                <w:szCs w:val="20"/>
                <w:color w:val="auto"/>
              </w:rPr>
            </w:pPr>
            <w:r>
              <w:rPr>
                <w:rFonts w:ascii="Arial" w:cs="Arial" w:eastAsia="Arial" w:hAnsi="Arial"/>
                <w:sz w:val="18"/>
                <w:szCs w:val="18"/>
                <w:b w:val="1"/>
                <w:bCs w:val="1"/>
                <w:color w:val="0067B3"/>
              </w:rPr>
              <w:t>Mercedes Johnson</w:t>
            </w:r>
          </w:p>
        </w:tc>
        <w:tc>
          <w:tcPr>
            <w:tcW w:w="3600" w:type="dxa"/>
            <w:vAlign w:val="bottom"/>
          </w:tcPr>
          <w:p>
            <w:pPr>
              <w:jc w:val="right"/>
              <w:ind w:right="72"/>
              <w:spacing w:after="0"/>
              <w:rPr>
                <w:sz w:val="20"/>
                <w:szCs w:val="20"/>
                <w:color w:val="auto"/>
              </w:rPr>
            </w:pPr>
            <w:r>
              <w:rPr>
                <w:rFonts w:ascii="Arial" w:cs="Arial" w:eastAsia="Arial" w:hAnsi="Arial"/>
                <w:sz w:val="18"/>
                <w:szCs w:val="18"/>
                <w:color w:val="auto"/>
              </w:rPr>
              <w:t>115,000</w:t>
            </w:r>
          </w:p>
        </w:tc>
        <w:tc>
          <w:tcPr>
            <w:tcW w:w="1280" w:type="dxa"/>
            <w:vAlign w:val="bottom"/>
          </w:tcPr>
          <w:p>
            <w:pPr>
              <w:jc w:val="right"/>
              <w:ind w:right="94"/>
              <w:spacing w:after="0"/>
              <w:rPr>
                <w:sz w:val="20"/>
                <w:szCs w:val="20"/>
                <w:color w:val="auto"/>
              </w:rPr>
            </w:pPr>
            <w:r>
              <w:rPr>
                <w:rFonts w:ascii="Arial" w:cs="Arial" w:eastAsia="Arial" w:hAnsi="Arial"/>
                <w:sz w:val="18"/>
                <w:szCs w:val="18"/>
                <w:color w:val="auto"/>
              </w:rPr>
              <w:t>235,202</w:t>
            </w: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350,202</w:t>
            </w:r>
          </w:p>
        </w:tc>
      </w:tr>
      <w:tr>
        <w:trPr>
          <w:trHeight w:val="278"/>
        </w:trPr>
        <w:tc>
          <w:tcPr>
            <w:tcW w:w="4140" w:type="dxa"/>
            <w:vAlign w:val="bottom"/>
            <w:shd w:val="clear" w:color="auto" w:fill="E2E6F4"/>
          </w:tcPr>
          <w:p>
            <w:pPr>
              <w:ind w:left="20"/>
              <w:spacing w:after="0"/>
              <w:rPr>
                <w:sz w:val="20"/>
                <w:szCs w:val="20"/>
                <w:color w:val="auto"/>
              </w:rPr>
            </w:pPr>
            <w:r>
              <w:rPr>
                <w:rFonts w:ascii="Arial" w:cs="Arial" w:eastAsia="Arial" w:hAnsi="Arial"/>
                <w:sz w:val="18"/>
                <w:szCs w:val="18"/>
                <w:b w:val="1"/>
                <w:bCs w:val="1"/>
                <w:color w:val="0067B3"/>
              </w:rPr>
              <w:t>Ray Stata</w:t>
            </w:r>
          </w:p>
        </w:tc>
        <w:tc>
          <w:tcPr>
            <w:tcW w:w="3600" w:type="dxa"/>
            <w:vAlign w:val="bottom"/>
            <w:shd w:val="clear" w:color="auto" w:fill="E2E6F4"/>
          </w:tcPr>
          <w:p>
            <w:pPr>
              <w:jc w:val="right"/>
              <w:ind w:right="72"/>
              <w:spacing w:after="0"/>
              <w:rPr>
                <w:sz w:val="20"/>
                <w:szCs w:val="20"/>
                <w:color w:val="auto"/>
              </w:rPr>
            </w:pPr>
            <w:r>
              <w:rPr>
                <w:rFonts w:ascii="Arial" w:cs="Arial" w:eastAsia="Arial" w:hAnsi="Arial"/>
                <w:sz w:val="18"/>
                <w:szCs w:val="18"/>
                <w:color w:val="auto"/>
              </w:rPr>
              <w:t>94,424</w:t>
            </w:r>
          </w:p>
        </w:tc>
        <w:tc>
          <w:tcPr>
            <w:tcW w:w="1280" w:type="dxa"/>
            <w:vAlign w:val="bottom"/>
            <w:shd w:val="clear" w:color="auto" w:fill="E2E6F4"/>
          </w:tcPr>
          <w:p>
            <w:pPr>
              <w:jc w:val="right"/>
              <w:ind w:right="94"/>
              <w:spacing w:after="0"/>
              <w:rPr>
                <w:sz w:val="20"/>
                <w:szCs w:val="20"/>
                <w:color w:val="auto"/>
              </w:rPr>
            </w:pPr>
            <w:r>
              <w:rPr>
                <w:rFonts w:ascii="Arial" w:cs="Arial" w:eastAsia="Arial" w:hAnsi="Arial"/>
                <w:sz w:val="18"/>
                <w:szCs w:val="18"/>
                <w:color w:val="auto"/>
              </w:rPr>
              <w:t>235,202</w:t>
            </w:r>
          </w:p>
        </w:tc>
        <w:tc>
          <w:tcPr>
            <w:tcW w:w="980" w:type="dxa"/>
            <w:vAlign w:val="bottom"/>
            <w:shd w:val="clear" w:color="auto" w:fill="E2E6F4"/>
          </w:tcPr>
          <w:p>
            <w:pPr>
              <w:jc w:val="right"/>
              <w:spacing w:after="0"/>
              <w:rPr>
                <w:sz w:val="20"/>
                <w:szCs w:val="20"/>
                <w:color w:val="auto"/>
              </w:rPr>
            </w:pPr>
            <w:r>
              <w:rPr>
                <w:rFonts w:ascii="Arial" w:cs="Arial" w:eastAsia="Arial" w:hAnsi="Arial"/>
                <w:sz w:val="18"/>
                <w:szCs w:val="18"/>
                <w:color w:val="auto"/>
              </w:rPr>
              <w:t>16,739</w:t>
            </w:r>
          </w:p>
        </w:tc>
        <w:tc>
          <w:tcPr>
            <w:tcW w:w="400" w:type="dxa"/>
            <w:vAlign w:val="bottom"/>
            <w:shd w:val="clear" w:color="auto" w:fill="E2E6F4"/>
          </w:tcPr>
          <w:p>
            <w:pPr>
              <w:jc w:val="right"/>
              <w:ind w:right="154"/>
              <w:spacing w:after="0"/>
              <w:rPr>
                <w:sz w:val="20"/>
                <w:szCs w:val="20"/>
                <w:color w:val="auto"/>
              </w:rPr>
            </w:pPr>
            <w:r>
              <w:rPr>
                <w:rFonts w:ascii="Arial" w:cs="Arial" w:eastAsia="Arial" w:hAnsi="Arial"/>
                <w:sz w:val="12"/>
                <w:szCs w:val="12"/>
                <w:color w:val="auto"/>
              </w:rPr>
              <w:t>(8)</w:t>
            </w:r>
          </w:p>
        </w:tc>
        <w:tc>
          <w:tcPr>
            <w:tcW w:w="840" w:type="dxa"/>
            <w:vAlign w:val="bottom"/>
            <w:shd w:val="clear" w:color="auto" w:fill="E2E6F4"/>
          </w:tcPr>
          <w:p>
            <w:pPr>
              <w:jc w:val="right"/>
              <w:spacing w:after="0"/>
              <w:rPr>
                <w:sz w:val="20"/>
                <w:szCs w:val="20"/>
                <w:color w:val="auto"/>
              </w:rPr>
            </w:pPr>
            <w:r>
              <w:rPr>
                <w:rFonts w:ascii="Arial" w:cs="Arial" w:eastAsia="Arial" w:hAnsi="Arial"/>
                <w:sz w:val="18"/>
                <w:szCs w:val="18"/>
                <w:color w:val="auto"/>
              </w:rPr>
              <w:t>346,365</w:t>
            </w:r>
          </w:p>
        </w:tc>
      </w:tr>
      <w:tr>
        <w:trPr>
          <w:trHeight w:val="270"/>
        </w:trPr>
        <w:tc>
          <w:tcPr>
            <w:tcW w:w="4140" w:type="dxa"/>
            <w:vAlign w:val="bottom"/>
          </w:tcPr>
          <w:p>
            <w:pPr>
              <w:ind w:left="20"/>
              <w:spacing w:after="0"/>
              <w:rPr>
                <w:sz w:val="20"/>
                <w:szCs w:val="20"/>
                <w:color w:val="auto"/>
              </w:rPr>
            </w:pPr>
            <w:r>
              <w:rPr>
                <w:rFonts w:ascii="Arial" w:cs="Arial" w:eastAsia="Arial" w:hAnsi="Arial"/>
                <w:sz w:val="18"/>
                <w:szCs w:val="18"/>
                <w:b w:val="1"/>
                <w:bCs w:val="1"/>
                <w:color w:val="0067B3"/>
              </w:rPr>
              <w:t>Andrea F. Wainer</w:t>
            </w:r>
            <w:r>
              <w:rPr>
                <w:rFonts w:ascii="Arial" w:cs="Arial" w:eastAsia="Arial" w:hAnsi="Arial"/>
                <w:sz w:val="23"/>
                <w:szCs w:val="23"/>
                <w:b w:val="1"/>
                <w:bCs w:val="1"/>
                <w:color w:val="0067B3"/>
                <w:vertAlign w:val="superscript"/>
              </w:rPr>
              <w:t>(9)</w:t>
            </w:r>
          </w:p>
        </w:tc>
        <w:tc>
          <w:tcPr>
            <w:tcW w:w="3600" w:type="dxa"/>
            <w:vAlign w:val="bottom"/>
          </w:tcPr>
          <w:p>
            <w:pPr>
              <w:jc w:val="right"/>
              <w:ind w:right="72"/>
              <w:spacing w:after="0"/>
              <w:rPr>
                <w:sz w:val="20"/>
                <w:szCs w:val="20"/>
                <w:color w:val="auto"/>
              </w:rPr>
            </w:pPr>
            <w:r>
              <w:rPr>
                <w:rFonts w:ascii="Arial" w:cs="Arial" w:eastAsia="Arial" w:hAnsi="Arial"/>
                <w:sz w:val="18"/>
                <w:szCs w:val="18"/>
                <w:color w:val="auto"/>
              </w:rPr>
              <w:t>100,750</w:t>
            </w:r>
          </w:p>
        </w:tc>
        <w:tc>
          <w:tcPr>
            <w:tcW w:w="1280" w:type="dxa"/>
            <w:vAlign w:val="bottom"/>
          </w:tcPr>
          <w:p>
            <w:pPr>
              <w:jc w:val="right"/>
              <w:ind w:right="94"/>
              <w:spacing w:after="0"/>
              <w:rPr>
                <w:sz w:val="20"/>
                <w:szCs w:val="20"/>
                <w:color w:val="auto"/>
              </w:rPr>
            </w:pPr>
            <w:r>
              <w:rPr>
                <w:rFonts w:ascii="Arial" w:cs="Arial" w:eastAsia="Arial" w:hAnsi="Arial"/>
                <w:sz w:val="18"/>
                <w:szCs w:val="18"/>
                <w:color w:val="auto"/>
              </w:rPr>
              <w:t>275,229</w:t>
            </w:r>
          </w:p>
        </w:tc>
        <w:tc>
          <w:tcPr>
            <w:tcW w:w="98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375,979</w:t>
            </w:r>
          </w:p>
        </w:tc>
      </w:tr>
      <w:tr>
        <w:trPr>
          <w:trHeight w:val="264"/>
        </w:trPr>
        <w:tc>
          <w:tcPr>
            <w:tcW w:w="4140" w:type="dxa"/>
            <w:vAlign w:val="bottom"/>
            <w:tcBorders>
              <w:bottom w:val="single" w:sz="8" w:color="0067B3"/>
            </w:tcBorders>
            <w:shd w:val="clear" w:color="auto" w:fill="E2E6F4"/>
          </w:tcPr>
          <w:p>
            <w:pPr>
              <w:ind w:left="20"/>
              <w:spacing w:after="0"/>
              <w:rPr>
                <w:sz w:val="20"/>
                <w:szCs w:val="20"/>
                <w:color w:val="auto"/>
              </w:rPr>
            </w:pPr>
            <w:r>
              <w:rPr>
                <w:rFonts w:ascii="Arial" w:cs="Arial" w:eastAsia="Arial" w:hAnsi="Arial"/>
                <w:sz w:val="18"/>
                <w:szCs w:val="18"/>
                <w:b w:val="1"/>
                <w:bCs w:val="1"/>
                <w:color w:val="0067B3"/>
              </w:rPr>
              <w:t>Susie Wee</w:t>
            </w:r>
          </w:p>
        </w:tc>
        <w:tc>
          <w:tcPr>
            <w:tcW w:w="3600" w:type="dxa"/>
            <w:vAlign w:val="bottom"/>
            <w:tcBorders>
              <w:bottom w:val="single" w:sz="8" w:color="0067B3"/>
            </w:tcBorders>
            <w:shd w:val="clear" w:color="auto" w:fill="E2E6F4"/>
          </w:tcPr>
          <w:p>
            <w:pPr>
              <w:jc w:val="right"/>
              <w:ind w:right="72"/>
              <w:spacing w:after="0"/>
              <w:rPr>
                <w:sz w:val="20"/>
                <w:szCs w:val="20"/>
                <w:color w:val="auto"/>
              </w:rPr>
            </w:pPr>
            <w:r>
              <w:rPr>
                <w:rFonts w:ascii="Arial" w:cs="Arial" w:eastAsia="Arial" w:hAnsi="Arial"/>
                <w:sz w:val="18"/>
                <w:szCs w:val="18"/>
                <w:color w:val="auto"/>
              </w:rPr>
              <w:t>115,000</w:t>
            </w:r>
          </w:p>
        </w:tc>
        <w:tc>
          <w:tcPr>
            <w:tcW w:w="1280" w:type="dxa"/>
            <w:vAlign w:val="bottom"/>
            <w:tcBorders>
              <w:bottom w:val="single" w:sz="8" w:color="0067B3"/>
            </w:tcBorders>
            <w:shd w:val="clear" w:color="auto" w:fill="E2E6F4"/>
          </w:tcPr>
          <w:p>
            <w:pPr>
              <w:jc w:val="right"/>
              <w:ind w:right="94"/>
              <w:spacing w:after="0"/>
              <w:rPr>
                <w:sz w:val="20"/>
                <w:szCs w:val="20"/>
                <w:color w:val="auto"/>
              </w:rPr>
            </w:pPr>
            <w:r>
              <w:rPr>
                <w:rFonts w:ascii="Arial" w:cs="Arial" w:eastAsia="Arial" w:hAnsi="Arial"/>
                <w:sz w:val="18"/>
                <w:szCs w:val="18"/>
                <w:color w:val="auto"/>
              </w:rPr>
              <w:t>235,202</w:t>
            </w:r>
          </w:p>
        </w:tc>
        <w:tc>
          <w:tcPr>
            <w:tcW w:w="980" w:type="dxa"/>
            <w:vAlign w:val="bottom"/>
            <w:tcBorders>
              <w:bottom w:val="single" w:sz="8" w:color="0067B3"/>
            </w:tcBorders>
            <w:shd w:val="clear" w:color="auto" w:fill="E2E6F4"/>
          </w:tcPr>
          <w:p>
            <w:pPr>
              <w:jc w:val="right"/>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0067B3"/>
            </w:tcBorders>
            <w:shd w:val="clear" w:color="auto" w:fill="E2E6F4"/>
          </w:tcPr>
          <w:p>
            <w:pPr>
              <w:spacing w:after="0"/>
              <w:rPr>
                <w:sz w:val="22"/>
                <w:szCs w:val="22"/>
                <w:color w:val="auto"/>
              </w:rPr>
            </w:pPr>
          </w:p>
        </w:tc>
        <w:tc>
          <w:tcPr>
            <w:tcW w:w="840" w:type="dxa"/>
            <w:vAlign w:val="bottom"/>
            <w:tcBorders>
              <w:bottom w:val="single" w:sz="8" w:color="0067B3"/>
            </w:tcBorders>
            <w:shd w:val="clear" w:color="auto" w:fill="E2E6F4"/>
          </w:tcPr>
          <w:p>
            <w:pPr>
              <w:jc w:val="right"/>
              <w:spacing w:after="0"/>
              <w:rPr>
                <w:sz w:val="20"/>
                <w:szCs w:val="20"/>
                <w:color w:val="auto"/>
              </w:rPr>
            </w:pPr>
            <w:r>
              <w:rPr>
                <w:rFonts w:ascii="Arial" w:cs="Arial" w:eastAsia="Arial" w:hAnsi="Arial"/>
                <w:sz w:val="18"/>
                <w:szCs w:val="18"/>
                <w:color w:val="auto"/>
              </w:rPr>
              <w:t>350,202</w:t>
            </w:r>
          </w:p>
        </w:tc>
      </w:tr>
    </w:tbl>
    <w:p>
      <w:pPr>
        <w:spacing w:after="0" w:line="108" w:lineRule="exact"/>
        <w:rPr>
          <w:sz w:val="20"/>
          <w:szCs w:val="20"/>
          <w:color w:val="auto"/>
        </w:rPr>
      </w:pPr>
    </w:p>
    <w:p>
      <w:pPr>
        <w:ind w:left="220" w:hanging="212"/>
        <w:spacing w:after="0"/>
        <w:tabs>
          <w:tab w:leader="none" w:pos="220" w:val="left"/>
        </w:tabs>
        <w:numPr>
          <w:ilvl w:val="0"/>
          <w:numId w:val="69"/>
        </w:numPr>
        <w:rPr>
          <w:rFonts w:ascii="Arial" w:cs="Arial" w:eastAsia="Arial" w:hAnsi="Arial"/>
          <w:sz w:val="21"/>
          <w:szCs w:val="21"/>
          <w:color w:val="auto"/>
          <w:vertAlign w:val="superscript"/>
        </w:rPr>
      </w:pPr>
      <w:r>
        <w:rPr>
          <w:rFonts w:ascii="Arial" w:cs="Arial" w:eastAsia="Arial" w:hAnsi="Arial"/>
          <w:sz w:val="16"/>
          <w:szCs w:val="16"/>
          <w:color w:val="auto"/>
        </w:rPr>
        <w:t>Dr. Matsuoka was appointed to the Board of Directors on January 20, 2026 and did not receive any compensation during fiscal year 2025.</w:t>
      </w:r>
    </w:p>
    <w:p>
      <w:pPr>
        <w:spacing w:after="0" w:line="44" w:lineRule="exact"/>
        <w:rPr>
          <w:rFonts w:ascii="Arial" w:cs="Arial" w:eastAsia="Arial" w:hAnsi="Arial"/>
          <w:sz w:val="21"/>
          <w:szCs w:val="21"/>
          <w:color w:val="auto"/>
          <w:vertAlign w:val="superscript"/>
        </w:rPr>
      </w:pPr>
    </w:p>
    <w:p>
      <w:pPr>
        <w:ind w:left="200" w:right="40" w:hanging="192"/>
        <w:spacing w:after="0" w:line="224" w:lineRule="auto"/>
        <w:tabs>
          <w:tab w:leader="none" w:pos="215" w:val="left"/>
        </w:tabs>
        <w:numPr>
          <w:ilvl w:val="0"/>
          <w:numId w:val="69"/>
        </w:numPr>
        <w:rPr>
          <w:rFonts w:ascii="Arial" w:cs="Arial" w:eastAsia="Arial" w:hAnsi="Arial"/>
          <w:sz w:val="21"/>
          <w:szCs w:val="21"/>
          <w:color w:val="auto"/>
          <w:vertAlign w:val="superscript"/>
        </w:rPr>
      </w:pPr>
      <w:r>
        <w:rPr>
          <w:rFonts w:ascii="Arial" w:cs="Arial" w:eastAsia="Arial" w:hAnsi="Arial"/>
          <w:sz w:val="16"/>
          <w:szCs w:val="16"/>
          <w:color w:val="auto"/>
        </w:rPr>
        <w:t xml:space="preserve">All cash retainers are paid in quarterly installments on the 15th day of December, March, June, and September of each fiscal year and are pro-rated for a partial quarter of service, as applicable. Each director can elect to defer receipt of his or her fees under our Deferred Compensation Plan (DCP). For more information relating to our DCP, see </w:t>
      </w:r>
      <w:r>
        <w:rPr>
          <w:rFonts w:ascii="Arial" w:cs="Arial" w:eastAsia="Arial" w:hAnsi="Arial"/>
          <w:sz w:val="16"/>
          <w:szCs w:val="16"/>
          <w:i w:val="1"/>
          <w:iCs w:val="1"/>
          <w:color w:val="auto"/>
        </w:rPr>
        <w:t>Executive Compensation—Compensation Tables—Non-Qualified Deferred Compensation Plan</w:t>
      </w:r>
      <w:r>
        <w:rPr>
          <w:rFonts w:ascii="Arial" w:cs="Arial" w:eastAsia="Arial" w:hAnsi="Arial"/>
          <w:sz w:val="16"/>
          <w:szCs w:val="16"/>
          <w:color w:val="auto"/>
        </w:rPr>
        <w:t>. Drs. Frank and Henry elected to defer receipt of their fees under the DCP in calendar year 2025. Dr. Glimcher elected to defer receipt of her fees under the DCP in calendar year 2024.</w:t>
      </w:r>
    </w:p>
    <w:p>
      <w:pPr>
        <w:spacing w:after="0" w:line="43" w:lineRule="exact"/>
        <w:rPr>
          <w:rFonts w:ascii="Arial" w:cs="Arial" w:eastAsia="Arial" w:hAnsi="Arial"/>
          <w:sz w:val="21"/>
          <w:szCs w:val="21"/>
          <w:color w:val="auto"/>
          <w:vertAlign w:val="superscript"/>
        </w:rPr>
      </w:pPr>
    </w:p>
    <w:p>
      <w:pPr>
        <w:ind w:left="200" w:right="180" w:hanging="192"/>
        <w:spacing w:after="0" w:line="225" w:lineRule="auto"/>
        <w:tabs>
          <w:tab w:leader="none" w:pos="215" w:val="left"/>
        </w:tabs>
        <w:numPr>
          <w:ilvl w:val="0"/>
          <w:numId w:val="69"/>
        </w:numPr>
        <w:rPr>
          <w:rFonts w:ascii="Arial" w:cs="Arial" w:eastAsia="Arial" w:hAnsi="Arial"/>
          <w:sz w:val="21"/>
          <w:szCs w:val="21"/>
          <w:color w:val="auto"/>
          <w:vertAlign w:val="superscript"/>
        </w:rPr>
      </w:pPr>
      <w:r>
        <w:rPr>
          <w:rFonts w:ascii="Arial" w:cs="Arial" w:eastAsia="Arial" w:hAnsi="Arial"/>
          <w:sz w:val="16"/>
          <w:szCs w:val="16"/>
          <w:color w:val="auto"/>
        </w:rPr>
        <w:t>These amounts represent the aggregate grant date fair value of awards for grants of RSUs to each listed director in fiscal year 2025. The grant date fair value of RSUs represents the value of our common stock on the date of grant, reduced by the present value of dividends expected to be paid on our common stock prior to vesting. For a more detailed description of the assumptions used for purposes of determining grant date fair value, see Note 3 to the Consolidated Financial Statements, included in our Annual Report on Form 10-K for the year ended November 1, 2025. These amounts do not represent the actual amounts paid to or realized by the directors during fiscal year 2025.</w:t>
      </w:r>
    </w:p>
    <w:p>
      <w:pPr>
        <w:spacing w:after="0" w:line="1" w:lineRule="exact"/>
        <w:rPr>
          <w:rFonts w:ascii="Arial" w:cs="Arial" w:eastAsia="Arial" w:hAnsi="Arial"/>
          <w:sz w:val="21"/>
          <w:szCs w:val="21"/>
          <w:color w:val="auto"/>
          <w:vertAlign w:val="superscript"/>
        </w:rPr>
      </w:pPr>
    </w:p>
    <w:p>
      <w:pPr>
        <w:ind w:left="200" w:right="700" w:hanging="192"/>
        <w:spacing w:after="0" w:line="220" w:lineRule="auto"/>
        <w:tabs>
          <w:tab w:leader="none" w:pos="215" w:val="left"/>
        </w:tabs>
        <w:numPr>
          <w:ilvl w:val="0"/>
          <w:numId w:val="69"/>
        </w:numPr>
        <w:rPr>
          <w:rFonts w:ascii="Arial" w:cs="Arial" w:eastAsia="Arial" w:hAnsi="Arial"/>
          <w:sz w:val="21"/>
          <w:szCs w:val="21"/>
          <w:color w:val="auto"/>
          <w:vertAlign w:val="superscript"/>
        </w:rPr>
      </w:pPr>
      <w:r>
        <w:rPr>
          <w:rFonts w:ascii="Arial" w:cs="Arial" w:eastAsia="Arial" w:hAnsi="Arial"/>
          <w:sz w:val="16"/>
          <w:szCs w:val="16"/>
          <w:color w:val="auto"/>
        </w:rPr>
        <w:t>The aggregate number of stock options and RSUs outstanding held by each non-employee director (representing unexercised stock options and unvested RSUs) at November 1, 2025 is as follows:</w:t>
      </w:r>
    </w:p>
    <w:p>
      <w:pPr>
        <w:spacing w:after="0" w:line="97" w:lineRule="exact"/>
        <w:rPr>
          <w:sz w:val="20"/>
          <w:szCs w:val="20"/>
          <w:color w:val="auto"/>
        </w:rPr>
      </w:pPr>
    </w:p>
    <w:tbl>
      <w:tblPr>
        <w:tblLayout w:type="fixed"/>
        <w:tblInd w:w="200" w:type="dxa"/>
        <w:tblCellMar>
          <w:top w:w="0" w:type="dxa"/>
          <w:left w:w="0" w:type="dxa"/>
          <w:bottom w:w="0" w:type="dxa"/>
          <w:right w:w="0" w:type="dxa"/>
        </w:tblCellMar>
      </w:tblPr>
      <w:tr>
        <w:trPr>
          <w:trHeight w:val="193"/>
        </w:trPr>
        <w:tc>
          <w:tcPr>
            <w:tcW w:w="4500" w:type="dxa"/>
            <w:vAlign w:val="bottom"/>
            <w:shd w:val="clear" w:color="auto" w:fill="0067B3"/>
          </w:tcPr>
          <w:p>
            <w:pPr>
              <w:spacing w:after="0"/>
              <w:rPr>
                <w:sz w:val="16"/>
                <w:szCs w:val="16"/>
                <w:color w:val="auto"/>
              </w:rPr>
            </w:pPr>
          </w:p>
        </w:tc>
        <w:tc>
          <w:tcPr>
            <w:tcW w:w="4880" w:type="dxa"/>
            <w:vAlign w:val="bottom"/>
            <w:shd w:val="clear" w:color="auto" w:fill="0067B3"/>
          </w:tcPr>
          <w:p>
            <w:pPr>
              <w:jc w:val="right"/>
              <w:ind w:right="65"/>
              <w:spacing w:after="0"/>
              <w:rPr>
                <w:sz w:val="20"/>
                <w:szCs w:val="20"/>
                <w:color w:val="auto"/>
              </w:rPr>
            </w:pPr>
            <w:r>
              <w:rPr>
                <w:rFonts w:ascii="Arial" w:cs="Arial" w:eastAsia="Arial" w:hAnsi="Arial"/>
                <w:sz w:val="14"/>
                <w:szCs w:val="14"/>
                <w:b w:val="1"/>
                <w:bCs w:val="1"/>
                <w:color w:val="FFFFFF"/>
              </w:rPr>
              <w:t>Number of Shares Subject</w:t>
            </w:r>
          </w:p>
        </w:tc>
        <w:tc>
          <w:tcPr>
            <w:tcW w:w="1600" w:type="dxa"/>
            <w:vAlign w:val="bottom"/>
            <w:shd w:val="clear" w:color="auto" w:fill="0067B3"/>
          </w:tcPr>
          <w:p>
            <w:pPr>
              <w:spacing w:after="0"/>
              <w:rPr>
                <w:sz w:val="16"/>
                <w:szCs w:val="16"/>
                <w:color w:val="auto"/>
              </w:rPr>
            </w:pPr>
          </w:p>
        </w:tc>
      </w:tr>
      <w:tr>
        <w:trPr>
          <w:trHeight w:val="162"/>
        </w:trPr>
        <w:tc>
          <w:tcPr>
            <w:tcW w:w="4500" w:type="dxa"/>
            <w:vAlign w:val="bottom"/>
            <w:shd w:val="clear" w:color="auto" w:fill="0067B3"/>
          </w:tcPr>
          <w:p>
            <w:pPr>
              <w:spacing w:after="0"/>
              <w:rPr>
                <w:sz w:val="14"/>
                <w:szCs w:val="14"/>
                <w:color w:val="auto"/>
              </w:rPr>
            </w:pPr>
          </w:p>
        </w:tc>
        <w:tc>
          <w:tcPr>
            <w:tcW w:w="4880" w:type="dxa"/>
            <w:vAlign w:val="bottom"/>
            <w:shd w:val="clear" w:color="auto" w:fill="0067B3"/>
          </w:tcPr>
          <w:p>
            <w:pPr>
              <w:jc w:val="right"/>
              <w:ind w:right="65"/>
              <w:spacing w:after="0"/>
              <w:rPr>
                <w:sz w:val="20"/>
                <w:szCs w:val="20"/>
                <w:color w:val="auto"/>
              </w:rPr>
            </w:pPr>
            <w:r>
              <w:rPr>
                <w:rFonts w:ascii="Arial" w:cs="Arial" w:eastAsia="Arial" w:hAnsi="Arial"/>
                <w:sz w:val="14"/>
                <w:szCs w:val="14"/>
                <w:b w:val="1"/>
                <w:bCs w:val="1"/>
                <w:color w:val="FFFFFF"/>
              </w:rPr>
              <w:t>to Option Awards Held as</w:t>
            </w:r>
          </w:p>
        </w:tc>
        <w:tc>
          <w:tcPr>
            <w:tcW w:w="1600" w:type="dxa"/>
            <w:vAlign w:val="bottom"/>
            <w:shd w:val="clear" w:color="auto" w:fill="0067B3"/>
          </w:tcPr>
          <w:p>
            <w:pPr>
              <w:jc w:val="right"/>
              <w:spacing w:after="0"/>
              <w:rPr>
                <w:sz w:val="20"/>
                <w:szCs w:val="20"/>
                <w:color w:val="auto"/>
              </w:rPr>
            </w:pPr>
            <w:r>
              <w:rPr>
                <w:rFonts w:ascii="Arial" w:cs="Arial" w:eastAsia="Arial" w:hAnsi="Arial"/>
                <w:sz w:val="14"/>
                <w:szCs w:val="14"/>
                <w:b w:val="1"/>
                <w:bCs w:val="1"/>
                <w:color w:val="FFFFFF"/>
              </w:rPr>
              <w:t>Number of RSUs that</w:t>
            </w:r>
          </w:p>
        </w:tc>
      </w:tr>
      <w:tr>
        <w:trPr>
          <w:trHeight w:val="175"/>
        </w:trPr>
        <w:tc>
          <w:tcPr>
            <w:tcW w:w="4500" w:type="dxa"/>
            <w:vAlign w:val="bottom"/>
            <w:shd w:val="clear" w:color="auto" w:fill="0067B3"/>
          </w:tcPr>
          <w:p>
            <w:pPr>
              <w:spacing w:after="0"/>
              <w:rPr>
                <w:sz w:val="15"/>
                <w:szCs w:val="15"/>
                <w:color w:val="auto"/>
              </w:rPr>
            </w:pPr>
          </w:p>
        </w:tc>
        <w:tc>
          <w:tcPr>
            <w:tcW w:w="4880" w:type="dxa"/>
            <w:vAlign w:val="bottom"/>
            <w:shd w:val="clear" w:color="auto" w:fill="0067B3"/>
          </w:tcPr>
          <w:p>
            <w:pPr>
              <w:jc w:val="right"/>
              <w:ind w:right="65"/>
              <w:spacing w:after="0"/>
              <w:rPr>
                <w:sz w:val="20"/>
                <w:szCs w:val="20"/>
                <w:color w:val="auto"/>
              </w:rPr>
            </w:pPr>
            <w:r>
              <w:rPr>
                <w:rFonts w:ascii="Arial" w:cs="Arial" w:eastAsia="Arial" w:hAnsi="Arial"/>
                <w:sz w:val="14"/>
                <w:szCs w:val="14"/>
                <w:b w:val="1"/>
                <w:bCs w:val="1"/>
                <w:color w:val="FFFFFF"/>
              </w:rPr>
              <w:t>of</w:t>
            </w:r>
          </w:p>
        </w:tc>
        <w:tc>
          <w:tcPr>
            <w:tcW w:w="1600" w:type="dxa"/>
            <w:vAlign w:val="bottom"/>
            <w:shd w:val="clear" w:color="auto" w:fill="0067B3"/>
          </w:tcPr>
          <w:p>
            <w:pPr>
              <w:jc w:val="right"/>
              <w:spacing w:after="0"/>
              <w:rPr>
                <w:sz w:val="20"/>
                <w:szCs w:val="20"/>
                <w:color w:val="auto"/>
              </w:rPr>
            </w:pPr>
            <w:r>
              <w:rPr>
                <w:rFonts w:ascii="Arial" w:cs="Arial" w:eastAsia="Arial" w:hAnsi="Arial"/>
                <w:sz w:val="14"/>
                <w:szCs w:val="14"/>
                <w:b w:val="1"/>
                <w:bCs w:val="1"/>
                <w:color w:val="FFFFFF"/>
              </w:rPr>
              <w:t>have not Vested as of</w:t>
            </w:r>
          </w:p>
        </w:tc>
      </w:tr>
      <w:tr>
        <w:trPr>
          <w:trHeight w:val="212"/>
        </w:trPr>
        <w:tc>
          <w:tcPr>
            <w:tcW w:w="4500" w:type="dxa"/>
            <w:vAlign w:val="bottom"/>
            <w:shd w:val="clear" w:color="auto" w:fill="0067B3"/>
          </w:tcPr>
          <w:p>
            <w:pPr>
              <w:ind w:left="20"/>
              <w:spacing w:after="0"/>
              <w:rPr>
                <w:sz w:val="20"/>
                <w:szCs w:val="20"/>
                <w:color w:val="auto"/>
              </w:rPr>
            </w:pPr>
            <w:r>
              <w:rPr>
                <w:rFonts w:ascii="Arial" w:cs="Arial" w:eastAsia="Arial" w:hAnsi="Arial"/>
                <w:sz w:val="14"/>
                <w:szCs w:val="14"/>
                <w:b w:val="1"/>
                <w:bCs w:val="1"/>
                <w:color w:val="FFFFFF"/>
              </w:rPr>
              <w:t>Name</w:t>
            </w:r>
          </w:p>
        </w:tc>
        <w:tc>
          <w:tcPr>
            <w:tcW w:w="4880" w:type="dxa"/>
            <w:vAlign w:val="bottom"/>
            <w:shd w:val="clear" w:color="auto" w:fill="0067B3"/>
          </w:tcPr>
          <w:p>
            <w:pPr>
              <w:jc w:val="right"/>
              <w:ind w:right="65"/>
              <w:spacing w:after="0"/>
              <w:rPr>
                <w:sz w:val="20"/>
                <w:szCs w:val="20"/>
                <w:color w:val="auto"/>
              </w:rPr>
            </w:pPr>
            <w:r>
              <w:rPr>
                <w:rFonts w:ascii="Arial" w:cs="Arial" w:eastAsia="Arial" w:hAnsi="Arial"/>
                <w:sz w:val="14"/>
                <w:szCs w:val="14"/>
                <w:b w:val="1"/>
                <w:bCs w:val="1"/>
                <w:color w:val="FFFFFF"/>
              </w:rPr>
              <w:t>November 1, 2025</w:t>
            </w:r>
          </w:p>
        </w:tc>
        <w:tc>
          <w:tcPr>
            <w:tcW w:w="1600" w:type="dxa"/>
            <w:vAlign w:val="bottom"/>
            <w:shd w:val="clear" w:color="auto" w:fill="0067B3"/>
          </w:tcPr>
          <w:p>
            <w:pPr>
              <w:jc w:val="right"/>
              <w:spacing w:after="0"/>
              <w:rPr>
                <w:sz w:val="20"/>
                <w:szCs w:val="20"/>
                <w:color w:val="auto"/>
              </w:rPr>
            </w:pPr>
            <w:r>
              <w:rPr>
                <w:rFonts w:ascii="Arial" w:cs="Arial" w:eastAsia="Arial" w:hAnsi="Arial"/>
                <w:sz w:val="14"/>
                <w:szCs w:val="14"/>
                <w:b w:val="1"/>
                <w:bCs w:val="1"/>
                <w:color w:val="FFFFFF"/>
              </w:rPr>
              <w:t>November 1, 2025</w:t>
            </w:r>
          </w:p>
        </w:tc>
      </w:tr>
      <w:tr>
        <w:trPr>
          <w:trHeight w:val="223"/>
        </w:trPr>
        <w:tc>
          <w:tcPr>
            <w:tcW w:w="4500" w:type="dxa"/>
            <w:vAlign w:val="bottom"/>
            <w:tcBorders>
              <w:bottom w:val="single" w:sz="8" w:color="E2E6F4"/>
            </w:tcBorders>
            <w:shd w:val="clear" w:color="auto" w:fill="E2E6F4"/>
          </w:tcPr>
          <w:p>
            <w:pPr>
              <w:ind w:left="20"/>
              <w:spacing w:after="0"/>
              <w:rPr>
                <w:sz w:val="20"/>
                <w:szCs w:val="20"/>
                <w:color w:val="auto"/>
              </w:rPr>
            </w:pPr>
            <w:r>
              <w:rPr>
                <w:rFonts w:ascii="Arial" w:cs="Arial" w:eastAsia="Arial" w:hAnsi="Arial"/>
                <w:sz w:val="15"/>
                <w:szCs w:val="15"/>
                <w:b w:val="1"/>
                <w:bCs w:val="1"/>
                <w:color w:val="0067B3"/>
              </w:rPr>
              <w:t>Stephen M. Jennings</w:t>
            </w:r>
          </w:p>
        </w:tc>
        <w:tc>
          <w:tcPr>
            <w:tcW w:w="4880" w:type="dxa"/>
            <w:vAlign w:val="bottom"/>
            <w:tcBorders>
              <w:bottom w:val="single" w:sz="8" w:color="E2E6F4"/>
            </w:tcBorders>
            <w:shd w:val="clear" w:color="auto" w:fill="E2E6F4"/>
          </w:tcPr>
          <w:p>
            <w:pPr>
              <w:jc w:val="right"/>
              <w:ind w:right="105"/>
              <w:spacing w:after="0"/>
              <w:rPr>
                <w:sz w:val="20"/>
                <w:szCs w:val="20"/>
                <w:color w:val="auto"/>
              </w:rPr>
            </w:pPr>
            <w:r>
              <w:rPr>
                <w:rFonts w:ascii="Arial" w:cs="Arial" w:eastAsia="Arial" w:hAnsi="Arial"/>
                <w:sz w:val="15"/>
                <w:szCs w:val="15"/>
                <w:color w:val="auto"/>
              </w:rPr>
              <w:t>—</w:t>
            </w:r>
          </w:p>
        </w:tc>
        <w:tc>
          <w:tcPr>
            <w:tcW w:w="1600" w:type="dxa"/>
            <w:vAlign w:val="bottom"/>
            <w:tcBorders>
              <w:bottom w:val="single" w:sz="8" w:color="E2E6F4"/>
            </w:tcBorders>
            <w:shd w:val="clear" w:color="auto" w:fill="E2E6F4"/>
          </w:tcPr>
          <w:p>
            <w:pPr>
              <w:jc w:val="right"/>
              <w:spacing w:after="0"/>
              <w:rPr>
                <w:sz w:val="20"/>
                <w:szCs w:val="20"/>
                <w:color w:val="auto"/>
              </w:rPr>
            </w:pPr>
            <w:r>
              <w:rPr>
                <w:rFonts w:ascii="Arial" w:cs="Arial" w:eastAsia="Arial" w:hAnsi="Arial"/>
                <w:sz w:val="15"/>
                <w:szCs w:val="15"/>
                <w:color w:val="auto"/>
              </w:rPr>
              <w:t>1,160</w:t>
            </w:r>
          </w:p>
        </w:tc>
      </w:tr>
      <w:tr>
        <w:trPr>
          <w:trHeight w:val="218"/>
        </w:trPr>
        <w:tc>
          <w:tcPr>
            <w:tcW w:w="4500" w:type="dxa"/>
            <w:vAlign w:val="bottom"/>
          </w:tcPr>
          <w:p>
            <w:pPr>
              <w:ind w:left="20"/>
              <w:spacing w:after="0"/>
              <w:rPr>
                <w:sz w:val="20"/>
                <w:szCs w:val="20"/>
                <w:color w:val="auto"/>
              </w:rPr>
            </w:pPr>
            <w:r>
              <w:rPr>
                <w:rFonts w:ascii="Arial" w:cs="Arial" w:eastAsia="Arial" w:hAnsi="Arial"/>
                <w:sz w:val="15"/>
                <w:szCs w:val="15"/>
                <w:b w:val="1"/>
                <w:bCs w:val="1"/>
                <w:color w:val="0067B3"/>
              </w:rPr>
              <w:t>André Andonian</w:t>
            </w:r>
          </w:p>
        </w:tc>
        <w:tc>
          <w:tcPr>
            <w:tcW w:w="4880" w:type="dxa"/>
            <w:vAlign w:val="bottom"/>
          </w:tcPr>
          <w:p>
            <w:pPr>
              <w:jc w:val="right"/>
              <w:ind w:right="105"/>
              <w:spacing w:after="0"/>
              <w:rPr>
                <w:sz w:val="20"/>
                <w:szCs w:val="20"/>
                <w:color w:val="auto"/>
              </w:rPr>
            </w:pPr>
            <w:r>
              <w:rPr>
                <w:rFonts w:ascii="Arial" w:cs="Arial" w:eastAsia="Arial" w:hAnsi="Arial"/>
                <w:sz w:val="15"/>
                <w:szCs w:val="15"/>
                <w:color w:val="auto"/>
              </w:rPr>
              <w:t>—</w:t>
            </w:r>
          </w:p>
        </w:tc>
        <w:tc>
          <w:tcPr>
            <w:tcW w:w="1600" w:type="dxa"/>
            <w:vAlign w:val="bottom"/>
          </w:tcPr>
          <w:p>
            <w:pPr>
              <w:jc w:val="right"/>
              <w:spacing w:after="0"/>
              <w:rPr>
                <w:sz w:val="20"/>
                <w:szCs w:val="20"/>
                <w:color w:val="auto"/>
              </w:rPr>
            </w:pPr>
            <w:r>
              <w:rPr>
                <w:rFonts w:ascii="Arial" w:cs="Arial" w:eastAsia="Arial" w:hAnsi="Arial"/>
                <w:sz w:val="15"/>
                <w:szCs w:val="15"/>
                <w:color w:val="auto"/>
              </w:rPr>
              <w:t>1,160</w:t>
            </w:r>
          </w:p>
        </w:tc>
      </w:tr>
      <w:tr>
        <w:trPr>
          <w:trHeight w:val="25"/>
        </w:trPr>
        <w:tc>
          <w:tcPr>
            <w:tcW w:w="4500" w:type="dxa"/>
            <w:vAlign w:val="bottom"/>
          </w:tcPr>
          <w:p>
            <w:pPr>
              <w:spacing w:after="0"/>
              <w:rPr>
                <w:sz w:val="2"/>
                <w:szCs w:val="2"/>
                <w:color w:val="auto"/>
              </w:rPr>
            </w:pPr>
          </w:p>
        </w:tc>
        <w:tc>
          <w:tcPr>
            <w:tcW w:w="488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43"/>
        </w:trPr>
        <w:tc>
          <w:tcPr>
            <w:tcW w:w="4500" w:type="dxa"/>
            <w:vAlign w:val="bottom"/>
            <w:shd w:val="clear" w:color="auto" w:fill="E2E6F4"/>
          </w:tcPr>
          <w:p>
            <w:pPr>
              <w:ind w:left="20"/>
              <w:spacing w:after="0"/>
              <w:rPr>
                <w:sz w:val="20"/>
                <w:szCs w:val="20"/>
                <w:color w:val="auto"/>
              </w:rPr>
            </w:pPr>
            <w:r>
              <w:rPr>
                <w:rFonts w:ascii="Arial" w:cs="Arial" w:eastAsia="Arial" w:hAnsi="Arial"/>
                <w:sz w:val="15"/>
                <w:szCs w:val="15"/>
                <w:b w:val="1"/>
                <w:bCs w:val="1"/>
                <w:color w:val="0067B3"/>
              </w:rPr>
              <w:t>James A. Champy</w:t>
            </w:r>
            <w:r>
              <w:rPr>
                <w:rFonts w:ascii="Arial" w:cs="Arial" w:eastAsia="Arial" w:hAnsi="Arial"/>
                <w:sz w:val="19"/>
                <w:szCs w:val="19"/>
                <w:b w:val="1"/>
                <w:bCs w:val="1"/>
                <w:color w:val="0067B3"/>
                <w:vertAlign w:val="superscript"/>
              </w:rPr>
              <w:t>(a)</w:t>
            </w:r>
          </w:p>
        </w:tc>
        <w:tc>
          <w:tcPr>
            <w:tcW w:w="4880" w:type="dxa"/>
            <w:vAlign w:val="bottom"/>
            <w:shd w:val="clear" w:color="auto" w:fill="E2E6F4"/>
          </w:tcPr>
          <w:p>
            <w:pPr>
              <w:jc w:val="right"/>
              <w:ind w:right="105"/>
              <w:spacing w:after="0"/>
              <w:rPr>
                <w:sz w:val="20"/>
                <w:szCs w:val="20"/>
                <w:color w:val="auto"/>
              </w:rPr>
            </w:pPr>
            <w:r>
              <w:rPr>
                <w:rFonts w:ascii="Arial" w:cs="Arial" w:eastAsia="Arial" w:hAnsi="Arial"/>
                <w:sz w:val="15"/>
                <w:szCs w:val="15"/>
                <w:color w:val="auto"/>
              </w:rPr>
              <w:t>—</w:t>
            </w:r>
          </w:p>
        </w:tc>
        <w:tc>
          <w:tcPr>
            <w:tcW w:w="1600" w:type="dxa"/>
            <w:vAlign w:val="bottom"/>
            <w:shd w:val="clear" w:color="auto" w:fill="E2E6F4"/>
          </w:tcPr>
          <w:p>
            <w:pPr>
              <w:jc w:val="right"/>
              <w:spacing w:after="0"/>
              <w:rPr>
                <w:sz w:val="20"/>
                <w:szCs w:val="20"/>
                <w:color w:val="auto"/>
              </w:rPr>
            </w:pPr>
            <w:r>
              <w:rPr>
                <w:rFonts w:ascii="Arial" w:cs="Arial" w:eastAsia="Arial" w:hAnsi="Arial"/>
                <w:sz w:val="15"/>
                <w:szCs w:val="15"/>
                <w:color w:val="auto"/>
              </w:rPr>
              <w:t>—</w:t>
            </w:r>
          </w:p>
        </w:tc>
      </w:tr>
      <w:tr>
        <w:trPr>
          <w:trHeight w:val="218"/>
        </w:trPr>
        <w:tc>
          <w:tcPr>
            <w:tcW w:w="4500" w:type="dxa"/>
            <w:vAlign w:val="bottom"/>
          </w:tcPr>
          <w:p>
            <w:pPr>
              <w:ind w:left="20"/>
              <w:spacing w:after="0"/>
              <w:rPr>
                <w:sz w:val="20"/>
                <w:szCs w:val="20"/>
                <w:color w:val="auto"/>
              </w:rPr>
            </w:pPr>
            <w:r>
              <w:rPr>
                <w:rFonts w:ascii="Arial" w:cs="Arial" w:eastAsia="Arial" w:hAnsi="Arial"/>
                <w:sz w:val="15"/>
                <w:szCs w:val="15"/>
                <w:b w:val="1"/>
                <w:bCs w:val="1"/>
                <w:color w:val="0067B3"/>
              </w:rPr>
              <w:t>Edward H. Frank</w:t>
            </w:r>
          </w:p>
        </w:tc>
        <w:tc>
          <w:tcPr>
            <w:tcW w:w="4880" w:type="dxa"/>
            <w:vAlign w:val="bottom"/>
          </w:tcPr>
          <w:p>
            <w:pPr>
              <w:jc w:val="right"/>
              <w:ind w:right="105"/>
              <w:spacing w:after="0"/>
              <w:rPr>
                <w:sz w:val="20"/>
                <w:szCs w:val="20"/>
                <w:color w:val="auto"/>
              </w:rPr>
            </w:pPr>
            <w:r>
              <w:rPr>
                <w:rFonts w:ascii="Arial" w:cs="Arial" w:eastAsia="Arial" w:hAnsi="Arial"/>
                <w:sz w:val="15"/>
                <w:szCs w:val="15"/>
                <w:color w:val="auto"/>
              </w:rPr>
              <w:t>—</w:t>
            </w:r>
          </w:p>
        </w:tc>
        <w:tc>
          <w:tcPr>
            <w:tcW w:w="1600" w:type="dxa"/>
            <w:vAlign w:val="bottom"/>
          </w:tcPr>
          <w:p>
            <w:pPr>
              <w:jc w:val="right"/>
              <w:spacing w:after="0"/>
              <w:rPr>
                <w:sz w:val="20"/>
                <w:szCs w:val="20"/>
                <w:color w:val="auto"/>
              </w:rPr>
            </w:pPr>
            <w:r>
              <w:rPr>
                <w:rFonts w:ascii="Arial" w:cs="Arial" w:eastAsia="Arial" w:hAnsi="Arial"/>
                <w:sz w:val="15"/>
                <w:szCs w:val="15"/>
                <w:color w:val="auto"/>
              </w:rPr>
              <w:t>1,160</w:t>
            </w:r>
          </w:p>
        </w:tc>
      </w:tr>
      <w:tr>
        <w:trPr>
          <w:trHeight w:val="25"/>
        </w:trPr>
        <w:tc>
          <w:tcPr>
            <w:tcW w:w="4500" w:type="dxa"/>
            <w:vAlign w:val="bottom"/>
          </w:tcPr>
          <w:p>
            <w:pPr>
              <w:spacing w:after="0"/>
              <w:rPr>
                <w:sz w:val="2"/>
                <w:szCs w:val="2"/>
                <w:color w:val="auto"/>
              </w:rPr>
            </w:pPr>
          </w:p>
        </w:tc>
        <w:tc>
          <w:tcPr>
            <w:tcW w:w="488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43"/>
        </w:trPr>
        <w:tc>
          <w:tcPr>
            <w:tcW w:w="4500" w:type="dxa"/>
            <w:vAlign w:val="bottom"/>
            <w:shd w:val="clear" w:color="auto" w:fill="E2E6F4"/>
          </w:tcPr>
          <w:p>
            <w:pPr>
              <w:ind w:left="20"/>
              <w:spacing w:after="0"/>
              <w:rPr>
                <w:sz w:val="20"/>
                <w:szCs w:val="20"/>
                <w:color w:val="auto"/>
              </w:rPr>
            </w:pPr>
            <w:r>
              <w:rPr>
                <w:rFonts w:ascii="Arial" w:cs="Arial" w:eastAsia="Arial" w:hAnsi="Arial"/>
                <w:sz w:val="15"/>
                <w:szCs w:val="15"/>
                <w:b w:val="1"/>
                <w:bCs w:val="1"/>
                <w:color w:val="0067B3"/>
              </w:rPr>
              <w:t>Laurie H. Glimcher</w:t>
            </w:r>
            <w:r>
              <w:rPr>
                <w:rFonts w:ascii="Arial" w:cs="Arial" w:eastAsia="Arial" w:hAnsi="Arial"/>
                <w:sz w:val="19"/>
                <w:szCs w:val="19"/>
                <w:b w:val="1"/>
                <w:bCs w:val="1"/>
                <w:color w:val="0067B3"/>
                <w:vertAlign w:val="superscript"/>
              </w:rPr>
              <w:t>(b)</w:t>
            </w:r>
          </w:p>
        </w:tc>
        <w:tc>
          <w:tcPr>
            <w:tcW w:w="4880" w:type="dxa"/>
            <w:vAlign w:val="bottom"/>
            <w:shd w:val="clear" w:color="auto" w:fill="E2E6F4"/>
          </w:tcPr>
          <w:p>
            <w:pPr>
              <w:jc w:val="right"/>
              <w:ind w:right="105"/>
              <w:spacing w:after="0"/>
              <w:rPr>
                <w:sz w:val="20"/>
                <w:szCs w:val="20"/>
                <w:color w:val="auto"/>
              </w:rPr>
            </w:pPr>
            <w:r>
              <w:rPr>
                <w:rFonts w:ascii="Arial" w:cs="Arial" w:eastAsia="Arial" w:hAnsi="Arial"/>
                <w:sz w:val="15"/>
                <w:szCs w:val="15"/>
                <w:color w:val="auto"/>
              </w:rPr>
              <w:t>—</w:t>
            </w:r>
          </w:p>
        </w:tc>
        <w:tc>
          <w:tcPr>
            <w:tcW w:w="1600" w:type="dxa"/>
            <w:vAlign w:val="bottom"/>
            <w:shd w:val="clear" w:color="auto" w:fill="E2E6F4"/>
          </w:tcPr>
          <w:p>
            <w:pPr>
              <w:jc w:val="right"/>
              <w:spacing w:after="0"/>
              <w:rPr>
                <w:sz w:val="20"/>
                <w:szCs w:val="20"/>
                <w:color w:val="auto"/>
              </w:rPr>
            </w:pPr>
            <w:r>
              <w:rPr>
                <w:rFonts w:ascii="Arial" w:cs="Arial" w:eastAsia="Arial" w:hAnsi="Arial"/>
                <w:sz w:val="15"/>
                <w:szCs w:val="15"/>
                <w:color w:val="auto"/>
              </w:rPr>
              <w:t>—</w:t>
            </w:r>
          </w:p>
        </w:tc>
      </w:tr>
      <w:tr>
        <w:trPr>
          <w:trHeight w:val="218"/>
        </w:trPr>
        <w:tc>
          <w:tcPr>
            <w:tcW w:w="4500" w:type="dxa"/>
            <w:vAlign w:val="bottom"/>
          </w:tcPr>
          <w:p>
            <w:pPr>
              <w:ind w:left="20"/>
              <w:spacing w:after="0"/>
              <w:rPr>
                <w:sz w:val="20"/>
                <w:szCs w:val="20"/>
                <w:color w:val="auto"/>
              </w:rPr>
            </w:pPr>
            <w:r>
              <w:rPr>
                <w:rFonts w:ascii="Arial" w:cs="Arial" w:eastAsia="Arial" w:hAnsi="Arial"/>
                <w:sz w:val="15"/>
                <w:szCs w:val="15"/>
                <w:b w:val="1"/>
                <w:bCs w:val="1"/>
                <w:color w:val="0067B3"/>
              </w:rPr>
              <w:t>Karen M. Golz</w:t>
            </w:r>
          </w:p>
        </w:tc>
        <w:tc>
          <w:tcPr>
            <w:tcW w:w="4880" w:type="dxa"/>
            <w:vAlign w:val="bottom"/>
          </w:tcPr>
          <w:p>
            <w:pPr>
              <w:jc w:val="right"/>
              <w:ind w:right="105"/>
              <w:spacing w:after="0"/>
              <w:rPr>
                <w:sz w:val="20"/>
                <w:szCs w:val="20"/>
                <w:color w:val="auto"/>
              </w:rPr>
            </w:pPr>
            <w:r>
              <w:rPr>
                <w:rFonts w:ascii="Arial" w:cs="Arial" w:eastAsia="Arial" w:hAnsi="Arial"/>
                <w:sz w:val="15"/>
                <w:szCs w:val="15"/>
                <w:color w:val="auto"/>
              </w:rPr>
              <w:t>—</w:t>
            </w:r>
          </w:p>
        </w:tc>
        <w:tc>
          <w:tcPr>
            <w:tcW w:w="1600" w:type="dxa"/>
            <w:vAlign w:val="bottom"/>
          </w:tcPr>
          <w:p>
            <w:pPr>
              <w:jc w:val="right"/>
              <w:spacing w:after="0"/>
              <w:rPr>
                <w:sz w:val="20"/>
                <w:szCs w:val="20"/>
                <w:color w:val="auto"/>
              </w:rPr>
            </w:pPr>
            <w:r>
              <w:rPr>
                <w:rFonts w:ascii="Arial" w:cs="Arial" w:eastAsia="Arial" w:hAnsi="Arial"/>
                <w:sz w:val="15"/>
                <w:szCs w:val="15"/>
                <w:color w:val="auto"/>
              </w:rPr>
              <w:t>1,160</w:t>
            </w:r>
          </w:p>
        </w:tc>
      </w:tr>
      <w:tr>
        <w:trPr>
          <w:trHeight w:val="25"/>
        </w:trPr>
        <w:tc>
          <w:tcPr>
            <w:tcW w:w="4500" w:type="dxa"/>
            <w:vAlign w:val="bottom"/>
          </w:tcPr>
          <w:p>
            <w:pPr>
              <w:spacing w:after="0"/>
              <w:rPr>
                <w:sz w:val="2"/>
                <w:szCs w:val="2"/>
                <w:color w:val="auto"/>
              </w:rPr>
            </w:pPr>
          </w:p>
        </w:tc>
        <w:tc>
          <w:tcPr>
            <w:tcW w:w="488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23"/>
        </w:trPr>
        <w:tc>
          <w:tcPr>
            <w:tcW w:w="4500" w:type="dxa"/>
            <w:vAlign w:val="bottom"/>
            <w:tcBorders>
              <w:bottom w:val="single" w:sz="8" w:color="E2E6F4"/>
            </w:tcBorders>
            <w:shd w:val="clear" w:color="auto" w:fill="E2E6F4"/>
          </w:tcPr>
          <w:p>
            <w:pPr>
              <w:ind w:left="20"/>
              <w:spacing w:after="0"/>
              <w:rPr>
                <w:sz w:val="20"/>
                <w:szCs w:val="20"/>
                <w:color w:val="auto"/>
              </w:rPr>
            </w:pPr>
            <w:r>
              <w:rPr>
                <w:rFonts w:ascii="Arial" w:cs="Arial" w:eastAsia="Arial" w:hAnsi="Arial"/>
                <w:sz w:val="15"/>
                <w:szCs w:val="15"/>
                <w:b w:val="1"/>
                <w:bCs w:val="1"/>
                <w:color w:val="0067B3"/>
              </w:rPr>
              <w:t>Peter B. Henry</w:t>
            </w:r>
          </w:p>
        </w:tc>
        <w:tc>
          <w:tcPr>
            <w:tcW w:w="4880" w:type="dxa"/>
            <w:vAlign w:val="bottom"/>
            <w:tcBorders>
              <w:bottom w:val="single" w:sz="8" w:color="E2E6F4"/>
            </w:tcBorders>
            <w:shd w:val="clear" w:color="auto" w:fill="E2E6F4"/>
          </w:tcPr>
          <w:p>
            <w:pPr>
              <w:jc w:val="right"/>
              <w:ind w:right="105"/>
              <w:spacing w:after="0"/>
              <w:rPr>
                <w:sz w:val="20"/>
                <w:szCs w:val="20"/>
                <w:color w:val="auto"/>
              </w:rPr>
            </w:pPr>
            <w:r>
              <w:rPr>
                <w:rFonts w:ascii="Arial" w:cs="Arial" w:eastAsia="Arial" w:hAnsi="Arial"/>
                <w:sz w:val="15"/>
                <w:szCs w:val="15"/>
                <w:color w:val="auto"/>
              </w:rPr>
              <w:t>—</w:t>
            </w:r>
          </w:p>
        </w:tc>
        <w:tc>
          <w:tcPr>
            <w:tcW w:w="1600" w:type="dxa"/>
            <w:vAlign w:val="bottom"/>
            <w:tcBorders>
              <w:bottom w:val="single" w:sz="8" w:color="E2E6F4"/>
            </w:tcBorders>
            <w:shd w:val="clear" w:color="auto" w:fill="E2E6F4"/>
          </w:tcPr>
          <w:p>
            <w:pPr>
              <w:jc w:val="right"/>
              <w:spacing w:after="0"/>
              <w:rPr>
                <w:sz w:val="20"/>
                <w:szCs w:val="20"/>
                <w:color w:val="auto"/>
              </w:rPr>
            </w:pPr>
            <w:r>
              <w:rPr>
                <w:rFonts w:ascii="Arial" w:cs="Arial" w:eastAsia="Arial" w:hAnsi="Arial"/>
                <w:sz w:val="15"/>
                <w:szCs w:val="15"/>
                <w:color w:val="auto"/>
              </w:rPr>
              <w:t>1,160</w:t>
            </w:r>
          </w:p>
        </w:tc>
      </w:tr>
      <w:tr>
        <w:trPr>
          <w:trHeight w:val="218"/>
        </w:trPr>
        <w:tc>
          <w:tcPr>
            <w:tcW w:w="4500" w:type="dxa"/>
            <w:vAlign w:val="bottom"/>
          </w:tcPr>
          <w:p>
            <w:pPr>
              <w:ind w:left="20"/>
              <w:spacing w:after="0"/>
              <w:rPr>
                <w:sz w:val="20"/>
                <w:szCs w:val="20"/>
                <w:color w:val="auto"/>
              </w:rPr>
            </w:pPr>
            <w:r>
              <w:rPr>
                <w:rFonts w:ascii="Arial" w:cs="Arial" w:eastAsia="Arial" w:hAnsi="Arial"/>
                <w:sz w:val="15"/>
                <w:szCs w:val="15"/>
                <w:b w:val="1"/>
                <w:bCs w:val="1"/>
                <w:color w:val="0067B3"/>
              </w:rPr>
              <w:t>Mercedes Johnson</w:t>
            </w:r>
          </w:p>
        </w:tc>
        <w:tc>
          <w:tcPr>
            <w:tcW w:w="4880" w:type="dxa"/>
            <w:vAlign w:val="bottom"/>
          </w:tcPr>
          <w:p>
            <w:pPr>
              <w:jc w:val="right"/>
              <w:ind w:right="105"/>
              <w:spacing w:after="0"/>
              <w:rPr>
                <w:sz w:val="20"/>
                <w:szCs w:val="20"/>
                <w:color w:val="auto"/>
              </w:rPr>
            </w:pPr>
            <w:r>
              <w:rPr>
                <w:rFonts w:ascii="Arial" w:cs="Arial" w:eastAsia="Arial" w:hAnsi="Arial"/>
                <w:sz w:val="15"/>
                <w:szCs w:val="15"/>
                <w:color w:val="auto"/>
              </w:rPr>
              <w:t>—</w:t>
            </w:r>
          </w:p>
        </w:tc>
        <w:tc>
          <w:tcPr>
            <w:tcW w:w="1600" w:type="dxa"/>
            <w:vAlign w:val="bottom"/>
          </w:tcPr>
          <w:p>
            <w:pPr>
              <w:jc w:val="right"/>
              <w:spacing w:after="0"/>
              <w:rPr>
                <w:sz w:val="20"/>
                <w:szCs w:val="20"/>
                <w:color w:val="auto"/>
              </w:rPr>
            </w:pPr>
            <w:r>
              <w:rPr>
                <w:rFonts w:ascii="Arial" w:cs="Arial" w:eastAsia="Arial" w:hAnsi="Arial"/>
                <w:sz w:val="15"/>
                <w:szCs w:val="15"/>
                <w:color w:val="auto"/>
              </w:rPr>
              <w:t>1,160</w:t>
            </w:r>
          </w:p>
        </w:tc>
      </w:tr>
      <w:tr>
        <w:trPr>
          <w:trHeight w:val="25"/>
        </w:trPr>
        <w:tc>
          <w:tcPr>
            <w:tcW w:w="4500" w:type="dxa"/>
            <w:vAlign w:val="bottom"/>
          </w:tcPr>
          <w:p>
            <w:pPr>
              <w:spacing w:after="0"/>
              <w:rPr>
                <w:sz w:val="2"/>
                <w:szCs w:val="2"/>
                <w:color w:val="auto"/>
              </w:rPr>
            </w:pPr>
          </w:p>
        </w:tc>
        <w:tc>
          <w:tcPr>
            <w:tcW w:w="488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23"/>
        </w:trPr>
        <w:tc>
          <w:tcPr>
            <w:tcW w:w="4500" w:type="dxa"/>
            <w:vAlign w:val="bottom"/>
            <w:tcBorders>
              <w:bottom w:val="single" w:sz="8" w:color="E2E6F4"/>
            </w:tcBorders>
            <w:shd w:val="clear" w:color="auto" w:fill="E2E6F4"/>
          </w:tcPr>
          <w:p>
            <w:pPr>
              <w:ind w:left="20"/>
              <w:spacing w:after="0"/>
              <w:rPr>
                <w:sz w:val="20"/>
                <w:szCs w:val="20"/>
                <w:color w:val="auto"/>
              </w:rPr>
            </w:pPr>
            <w:r>
              <w:rPr>
                <w:rFonts w:ascii="Arial" w:cs="Arial" w:eastAsia="Arial" w:hAnsi="Arial"/>
                <w:sz w:val="15"/>
                <w:szCs w:val="15"/>
                <w:b w:val="1"/>
                <w:bCs w:val="1"/>
                <w:color w:val="0067B3"/>
              </w:rPr>
              <w:t>Ray Stata</w:t>
            </w:r>
          </w:p>
        </w:tc>
        <w:tc>
          <w:tcPr>
            <w:tcW w:w="4880" w:type="dxa"/>
            <w:vAlign w:val="bottom"/>
            <w:tcBorders>
              <w:bottom w:val="single" w:sz="8" w:color="E2E6F4"/>
            </w:tcBorders>
            <w:shd w:val="clear" w:color="auto" w:fill="E2E6F4"/>
          </w:tcPr>
          <w:p>
            <w:pPr>
              <w:jc w:val="right"/>
              <w:ind w:right="105"/>
              <w:spacing w:after="0"/>
              <w:rPr>
                <w:sz w:val="20"/>
                <w:szCs w:val="20"/>
                <w:color w:val="auto"/>
              </w:rPr>
            </w:pPr>
            <w:r>
              <w:rPr>
                <w:rFonts w:ascii="Arial" w:cs="Arial" w:eastAsia="Arial" w:hAnsi="Arial"/>
                <w:sz w:val="15"/>
                <w:szCs w:val="15"/>
                <w:color w:val="auto"/>
              </w:rPr>
              <w:t>7,640</w:t>
            </w:r>
          </w:p>
        </w:tc>
        <w:tc>
          <w:tcPr>
            <w:tcW w:w="1600" w:type="dxa"/>
            <w:vAlign w:val="bottom"/>
            <w:tcBorders>
              <w:bottom w:val="single" w:sz="8" w:color="E2E6F4"/>
            </w:tcBorders>
            <w:shd w:val="clear" w:color="auto" w:fill="E2E6F4"/>
          </w:tcPr>
          <w:p>
            <w:pPr>
              <w:jc w:val="right"/>
              <w:spacing w:after="0"/>
              <w:rPr>
                <w:sz w:val="20"/>
                <w:szCs w:val="20"/>
                <w:color w:val="auto"/>
              </w:rPr>
            </w:pPr>
            <w:r>
              <w:rPr>
                <w:rFonts w:ascii="Arial" w:cs="Arial" w:eastAsia="Arial" w:hAnsi="Arial"/>
                <w:sz w:val="15"/>
                <w:szCs w:val="15"/>
                <w:color w:val="auto"/>
              </w:rPr>
              <w:t>1,160</w:t>
            </w:r>
          </w:p>
        </w:tc>
      </w:tr>
      <w:tr>
        <w:trPr>
          <w:trHeight w:val="218"/>
        </w:trPr>
        <w:tc>
          <w:tcPr>
            <w:tcW w:w="4500" w:type="dxa"/>
            <w:vAlign w:val="bottom"/>
          </w:tcPr>
          <w:p>
            <w:pPr>
              <w:ind w:left="20"/>
              <w:spacing w:after="0"/>
              <w:rPr>
                <w:sz w:val="20"/>
                <w:szCs w:val="20"/>
                <w:color w:val="auto"/>
              </w:rPr>
            </w:pPr>
            <w:r>
              <w:rPr>
                <w:rFonts w:ascii="Arial" w:cs="Arial" w:eastAsia="Arial" w:hAnsi="Arial"/>
                <w:sz w:val="15"/>
                <w:szCs w:val="15"/>
                <w:b w:val="1"/>
                <w:bCs w:val="1"/>
                <w:color w:val="0067B3"/>
              </w:rPr>
              <w:t>Andrea F. Wainer</w:t>
            </w:r>
          </w:p>
        </w:tc>
        <w:tc>
          <w:tcPr>
            <w:tcW w:w="4880" w:type="dxa"/>
            <w:vAlign w:val="bottom"/>
          </w:tcPr>
          <w:p>
            <w:pPr>
              <w:jc w:val="right"/>
              <w:ind w:right="105"/>
              <w:spacing w:after="0"/>
              <w:rPr>
                <w:sz w:val="20"/>
                <w:szCs w:val="20"/>
                <w:color w:val="auto"/>
              </w:rPr>
            </w:pPr>
            <w:r>
              <w:rPr>
                <w:rFonts w:ascii="Arial" w:cs="Arial" w:eastAsia="Arial" w:hAnsi="Arial"/>
                <w:sz w:val="15"/>
                <w:szCs w:val="15"/>
                <w:color w:val="auto"/>
              </w:rPr>
              <w:t>—</w:t>
            </w:r>
          </w:p>
        </w:tc>
        <w:tc>
          <w:tcPr>
            <w:tcW w:w="1600" w:type="dxa"/>
            <w:vAlign w:val="bottom"/>
          </w:tcPr>
          <w:p>
            <w:pPr>
              <w:jc w:val="right"/>
              <w:spacing w:after="0"/>
              <w:rPr>
                <w:sz w:val="20"/>
                <w:szCs w:val="20"/>
                <w:color w:val="auto"/>
              </w:rPr>
            </w:pPr>
            <w:r>
              <w:rPr>
                <w:rFonts w:ascii="Arial" w:cs="Arial" w:eastAsia="Arial" w:hAnsi="Arial"/>
                <w:sz w:val="15"/>
                <w:szCs w:val="15"/>
                <w:color w:val="auto"/>
              </w:rPr>
              <w:t>1,160</w:t>
            </w:r>
          </w:p>
        </w:tc>
      </w:tr>
      <w:tr>
        <w:trPr>
          <w:trHeight w:val="25"/>
        </w:trPr>
        <w:tc>
          <w:tcPr>
            <w:tcW w:w="4500" w:type="dxa"/>
            <w:vAlign w:val="bottom"/>
          </w:tcPr>
          <w:p>
            <w:pPr>
              <w:spacing w:after="0"/>
              <w:rPr>
                <w:sz w:val="2"/>
                <w:szCs w:val="2"/>
                <w:color w:val="auto"/>
              </w:rPr>
            </w:pPr>
          </w:p>
        </w:tc>
        <w:tc>
          <w:tcPr>
            <w:tcW w:w="488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23"/>
        </w:trPr>
        <w:tc>
          <w:tcPr>
            <w:tcW w:w="4500" w:type="dxa"/>
            <w:vAlign w:val="bottom"/>
            <w:tcBorders>
              <w:bottom w:val="single" w:sz="8" w:color="E2E6F4"/>
            </w:tcBorders>
            <w:shd w:val="clear" w:color="auto" w:fill="E2E6F4"/>
          </w:tcPr>
          <w:p>
            <w:pPr>
              <w:ind w:left="20"/>
              <w:spacing w:after="0"/>
              <w:rPr>
                <w:sz w:val="20"/>
                <w:szCs w:val="20"/>
                <w:color w:val="auto"/>
              </w:rPr>
            </w:pPr>
            <w:r>
              <w:rPr>
                <w:rFonts w:ascii="Arial" w:cs="Arial" w:eastAsia="Arial" w:hAnsi="Arial"/>
                <w:sz w:val="15"/>
                <w:szCs w:val="15"/>
                <w:b w:val="1"/>
                <w:bCs w:val="1"/>
                <w:color w:val="0067B3"/>
              </w:rPr>
              <w:t>Susie Wee</w:t>
            </w:r>
          </w:p>
        </w:tc>
        <w:tc>
          <w:tcPr>
            <w:tcW w:w="4880" w:type="dxa"/>
            <w:vAlign w:val="bottom"/>
            <w:tcBorders>
              <w:bottom w:val="single" w:sz="8" w:color="E2E6F4"/>
            </w:tcBorders>
            <w:shd w:val="clear" w:color="auto" w:fill="E2E6F4"/>
          </w:tcPr>
          <w:p>
            <w:pPr>
              <w:jc w:val="right"/>
              <w:ind w:right="105"/>
              <w:spacing w:after="0"/>
              <w:rPr>
                <w:sz w:val="20"/>
                <w:szCs w:val="20"/>
                <w:color w:val="auto"/>
              </w:rPr>
            </w:pPr>
            <w:r>
              <w:rPr>
                <w:rFonts w:ascii="Arial" w:cs="Arial" w:eastAsia="Arial" w:hAnsi="Arial"/>
                <w:sz w:val="15"/>
                <w:szCs w:val="15"/>
                <w:color w:val="auto"/>
              </w:rPr>
              <w:t>—</w:t>
            </w:r>
          </w:p>
        </w:tc>
        <w:tc>
          <w:tcPr>
            <w:tcW w:w="1600" w:type="dxa"/>
            <w:vAlign w:val="bottom"/>
            <w:tcBorders>
              <w:bottom w:val="single" w:sz="8" w:color="E2E6F4"/>
            </w:tcBorders>
            <w:shd w:val="clear" w:color="auto" w:fill="E2E6F4"/>
          </w:tcPr>
          <w:p>
            <w:pPr>
              <w:jc w:val="right"/>
              <w:spacing w:after="0"/>
              <w:rPr>
                <w:sz w:val="20"/>
                <w:szCs w:val="20"/>
                <w:color w:val="auto"/>
              </w:rPr>
            </w:pPr>
            <w:r>
              <w:rPr>
                <w:rFonts w:ascii="Arial" w:cs="Arial" w:eastAsia="Arial" w:hAnsi="Arial"/>
                <w:sz w:val="15"/>
                <w:szCs w:val="15"/>
                <w:color w:val="auto"/>
              </w:rPr>
              <w:t>1,160</w:t>
            </w:r>
          </w:p>
        </w:tc>
      </w:tr>
      <w:tr>
        <w:trPr>
          <w:trHeight w:val="20"/>
        </w:trPr>
        <w:tc>
          <w:tcPr>
            <w:tcW w:w="4500" w:type="dxa"/>
            <w:vAlign w:val="bottom"/>
            <w:shd w:val="clear" w:color="auto" w:fill="0067B3"/>
          </w:tcPr>
          <w:p>
            <w:pPr>
              <w:spacing w:after="0" w:line="20" w:lineRule="exact"/>
              <w:rPr>
                <w:sz w:val="1"/>
                <w:szCs w:val="1"/>
                <w:color w:val="auto"/>
              </w:rPr>
            </w:pPr>
          </w:p>
        </w:tc>
        <w:tc>
          <w:tcPr>
            <w:tcW w:w="4880" w:type="dxa"/>
            <w:vAlign w:val="bottom"/>
            <w:shd w:val="clear" w:color="auto" w:fill="0067B3"/>
          </w:tcPr>
          <w:p>
            <w:pPr>
              <w:spacing w:after="0" w:line="20" w:lineRule="exact"/>
              <w:rPr>
                <w:sz w:val="1"/>
                <w:szCs w:val="1"/>
                <w:color w:val="auto"/>
              </w:rPr>
            </w:pPr>
          </w:p>
        </w:tc>
        <w:tc>
          <w:tcPr>
            <w:tcW w:w="1600" w:type="dxa"/>
            <w:vAlign w:val="bottom"/>
            <w:shd w:val="clear" w:color="auto" w:fill="0067B3"/>
          </w:tcPr>
          <w:p>
            <w:pPr>
              <w:spacing w:after="0" w:line="20" w:lineRule="exact"/>
              <w:rPr>
                <w:sz w:val="1"/>
                <w:szCs w:val="1"/>
                <w:color w:val="auto"/>
              </w:rPr>
            </w:pPr>
          </w:p>
        </w:tc>
      </w:tr>
    </w:tbl>
    <w:p>
      <w:pPr>
        <w:spacing w:after="0" w:line="81" w:lineRule="exact"/>
        <w:rPr>
          <w:sz w:val="20"/>
          <w:szCs w:val="20"/>
          <w:color w:val="auto"/>
        </w:rPr>
      </w:pPr>
    </w:p>
    <w:p>
      <w:pPr>
        <w:ind w:left="420" w:hanging="218"/>
        <w:spacing w:after="0"/>
        <w:tabs>
          <w:tab w:leader="none" w:pos="420" w:val="left"/>
        </w:tabs>
        <w:numPr>
          <w:ilvl w:val="1"/>
          <w:numId w:val="70"/>
        </w:numPr>
        <w:rPr>
          <w:rFonts w:ascii="Arial" w:cs="Arial" w:eastAsia="Arial" w:hAnsi="Arial"/>
          <w:sz w:val="21"/>
          <w:szCs w:val="21"/>
          <w:color w:val="auto"/>
          <w:vertAlign w:val="superscript"/>
        </w:rPr>
      </w:pPr>
      <w:r>
        <w:rPr>
          <w:rFonts w:ascii="Arial" w:cs="Arial" w:eastAsia="Arial" w:hAnsi="Arial"/>
          <w:sz w:val="16"/>
          <w:szCs w:val="16"/>
          <w:color w:val="auto"/>
        </w:rPr>
        <w:t>Mr. Champy served on our Board of Directors until March 12, 2025.</w:t>
      </w:r>
    </w:p>
    <w:p>
      <w:pPr>
        <w:spacing w:after="0" w:line="17" w:lineRule="exact"/>
        <w:rPr>
          <w:rFonts w:ascii="Arial" w:cs="Arial" w:eastAsia="Arial" w:hAnsi="Arial"/>
          <w:sz w:val="21"/>
          <w:szCs w:val="21"/>
          <w:color w:val="auto"/>
          <w:vertAlign w:val="superscript"/>
        </w:rPr>
      </w:pPr>
    </w:p>
    <w:p>
      <w:pPr>
        <w:ind w:left="420" w:hanging="218"/>
        <w:spacing w:after="0" w:line="197" w:lineRule="auto"/>
        <w:tabs>
          <w:tab w:leader="none" w:pos="420" w:val="left"/>
        </w:tabs>
        <w:numPr>
          <w:ilvl w:val="1"/>
          <w:numId w:val="70"/>
        </w:numPr>
        <w:rPr>
          <w:rFonts w:ascii="Arial" w:cs="Arial" w:eastAsia="Arial" w:hAnsi="Arial"/>
          <w:sz w:val="21"/>
          <w:szCs w:val="21"/>
          <w:color w:val="auto"/>
          <w:vertAlign w:val="superscript"/>
        </w:rPr>
      </w:pPr>
      <w:r>
        <w:rPr>
          <w:rFonts w:ascii="Arial" w:cs="Arial" w:eastAsia="Arial" w:hAnsi="Arial"/>
          <w:sz w:val="16"/>
          <w:szCs w:val="16"/>
          <w:color w:val="auto"/>
        </w:rPr>
        <w:t>Dr. Glimcher served on our Board of Directors until May 21, 2025.</w:t>
      </w:r>
    </w:p>
    <w:p>
      <w:pPr>
        <w:spacing w:after="0" w:line="17" w:lineRule="exact"/>
        <w:rPr>
          <w:rFonts w:ascii="Arial" w:cs="Arial" w:eastAsia="Arial" w:hAnsi="Arial"/>
          <w:sz w:val="21"/>
          <w:szCs w:val="21"/>
          <w:color w:val="auto"/>
          <w:vertAlign w:val="superscript"/>
        </w:rPr>
      </w:pPr>
    </w:p>
    <w:p>
      <w:pPr>
        <w:ind w:left="220" w:hanging="212"/>
        <w:spacing w:after="0" w:line="197" w:lineRule="auto"/>
        <w:tabs>
          <w:tab w:leader="none" w:pos="220" w:val="left"/>
        </w:tabs>
        <w:numPr>
          <w:ilvl w:val="0"/>
          <w:numId w:val="71"/>
        </w:numPr>
        <w:rPr>
          <w:rFonts w:ascii="Arial" w:cs="Arial" w:eastAsia="Arial" w:hAnsi="Arial"/>
          <w:sz w:val="21"/>
          <w:szCs w:val="21"/>
          <w:color w:val="auto"/>
          <w:vertAlign w:val="superscript"/>
        </w:rPr>
      </w:pPr>
      <w:r>
        <w:rPr>
          <w:rFonts w:ascii="Arial" w:cs="Arial" w:eastAsia="Arial" w:hAnsi="Arial"/>
          <w:sz w:val="16"/>
          <w:szCs w:val="16"/>
          <w:color w:val="auto"/>
        </w:rPr>
        <w:t>Amount paid for cyber and data privacy protection services.</w:t>
      </w:r>
    </w:p>
    <w:p>
      <w:pPr>
        <w:spacing w:after="0" w:line="17" w:lineRule="exact"/>
        <w:rPr>
          <w:rFonts w:ascii="Arial" w:cs="Arial" w:eastAsia="Arial" w:hAnsi="Arial"/>
          <w:sz w:val="21"/>
          <w:szCs w:val="21"/>
          <w:color w:val="auto"/>
          <w:vertAlign w:val="superscript"/>
        </w:rPr>
      </w:pPr>
    </w:p>
    <w:p>
      <w:pPr>
        <w:ind w:left="220" w:hanging="212"/>
        <w:spacing w:after="0" w:line="197" w:lineRule="auto"/>
        <w:tabs>
          <w:tab w:leader="none" w:pos="220" w:val="left"/>
        </w:tabs>
        <w:numPr>
          <w:ilvl w:val="0"/>
          <w:numId w:val="71"/>
        </w:numPr>
        <w:rPr>
          <w:rFonts w:ascii="Arial" w:cs="Arial" w:eastAsia="Arial" w:hAnsi="Arial"/>
          <w:sz w:val="21"/>
          <w:szCs w:val="21"/>
          <w:color w:val="auto"/>
          <w:vertAlign w:val="superscript"/>
        </w:rPr>
      </w:pPr>
      <w:r>
        <w:rPr>
          <w:rFonts w:ascii="Arial" w:cs="Arial" w:eastAsia="Arial" w:hAnsi="Arial"/>
          <w:sz w:val="16"/>
          <w:szCs w:val="16"/>
          <w:color w:val="auto"/>
        </w:rPr>
        <w:t>Mr. Champy served on our Board of Directors until March 12, 2025.</w:t>
      </w:r>
    </w:p>
    <w:p>
      <w:pPr>
        <w:spacing w:after="0" w:line="17" w:lineRule="exact"/>
        <w:rPr>
          <w:rFonts w:ascii="Arial" w:cs="Arial" w:eastAsia="Arial" w:hAnsi="Arial"/>
          <w:sz w:val="21"/>
          <w:szCs w:val="21"/>
          <w:color w:val="auto"/>
          <w:vertAlign w:val="superscript"/>
        </w:rPr>
      </w:pPr>
    </w:p>
    <w:p>
      <w:pPr>
        <w:ind w:left="200" w:right="20" w:hanging="192"/>
        <w:spacing w:after="0" w:line="211" w:lineRule="auto"/>
        <w:tabs>
          <w:tab w:leader="none" w:pos="215" w:val="left"/>
        </w:tabs>
        <w:numPr>
          <w:ilvl w:val="0"/>
          <w:numId w:val="71"/>
        </w:numPr>
        <w:rPr>
          <w:rFonts w:ascii="Arial" w:cs="Arial" w:eastAsia="Arial" w:hAnsi="Arial"/>
          <w:sz w:val="21"/>
          <w:szCs w:val="21"/>
          <w:color w:val="auto"/>
          <w:vertAlign w:val="superscript"/>
        </w:rPr>
      </w:pPr>
      <w:r>
        <w:rPr>
          <w:rFonts w:ascii="Arial" w:cs="Arial" w:eastAsia="Arial" w:hAnsi="Arial"/>
          <w:sz w:val="16"/>
          <w:szCs w:val="16"/>
          <w:color w:val="auto"/>
        </w:rPr>
        <w:t>Dr. Glimcher served on our Board of Directors until May 21, 2025. In connection with her resignation, Dr. Glimcher forfeited the stock award granted to her in fiscal year 2025.</w:t>
      </w:r>
    </w:p>
    <w:p>
      <w:pPr>
        <w:ind w:left="220" w:hanging="212"/>
        <w:spacing w:after="0" w:line="214" w:lineRule="auto"/>
        <w:tabs>
          <w:tab w:leader="none" w:pos="220" w:val="left"/>
        </w:tabs>
        <w:numPr>
          <w:ilvl w:val="0"/>
          <w:numId w:val="71"/>
        </w:numPr>
        <w:rPr>
          <w:rFonts w:ascii="Arial" w:cs="Arial" w:eastAsia="Arial" w:hAnsi="Arial"/>
          <w:sz w:val="21"/>
          <w:szCs w:val="21"/>
          <w:color w:val="auto"/>
          <w:vertAlign w:val="superscript"/>
        </w:rPr>
      </w:pPr>
      <w:r>
        <w:rPr>
          <w:rFonts w:ascii="Arial" w:cs="Arial" w:eastAsia="Arial" w:hAnsi="Arial"/>
          <w:sz w:val="16"/>
          <w:szCs w:val="16"/>
          <w:color w:val="auto"/>
        </w:rPr>
        <w:t>The amount represents payment of medical and dental insurance premiums on behalf of Mr. Stata and his spouse.</w:t>
      </w:r>
    </w:p>
    <w:p>
      <w:pPr>
        <w:spacing w:after="0" w:line="18" w:lineRule="exact"/>
        <w:rPr>
          <w:rFonts w:ascii="Arial" w:cs="Arial" w:eastAsia="Arial" w:hAnsi="Arial"/>
          <w:sz w:val="21"/>
          <w:szCs w:val="21"/>
          <w:color w:val="auto"/>
          <w:vertAlign w:val="superscript"/>
        </w:rPr>
      </w:pPr>
    </w:p>
    <w:p>
      <w:pPr>
        <w:ind w:left="200" w:right="220" w:hanging="192"/>
        <w:spacing w:after="0" w:line="211" w:lineRule="auto"/>
        <w:tabs>
          <w:tab w:leader="none" w:pos="215" w:val="left"/>
        </w:tabs>
        <w:numPr>
          <w:ilvl w:val="0"/>
          <w:numId w:val="71"/>
        </w:numPr>
        <w:rPr>
          <w:rFonts w:ascii="Arial" w:cs="Arial" w:eastAsia="Arial" w:hAnsi="Arial"/>
          <w:sz w:val="21"/>
          <w:szCs w:val="21"/>
          <w:color w:val="auto"/>
          <w:vertAlign w:val="superscript"/>
        </w:rPr>
      </w:pPr>
      <w:r>
        <w:rPr>
          <w:rFonts w:ascii="Arial" w:cs="Arial" w:eastAsia="Arial" w:hAnsi="Arial"/>
          <w:sz w:val="16"/>
          <w:szCs w:val="16"/>
          <w:color w:val="auto"/>
        </w:rPr>
        <w:t>Ms. Wainer joined our Board of Directors on January 9, 2025 and in accordance with our Equity Award Grant Date Policy, was granted an RSU award pro-rated for her service from January 9, 2025 through our 2025 annual meeting on March 12, 2025 in addition to the annual RSU grant in March 2025.</w:t>
      </w:r>
    </w:p>
    <w:p>
      <w:pPr>
        <w:spacing w:after="0" w:line="200" w:lineRule="exact"/>
        <w:rPr>
          <w:sz w:val="20"/>
          <w:szCs w:val="20"/>
          <w:color w:val="auto"/>
        </w:rPr>
      </w:pPr>
    </w:p>
    <w:p>
      <w:pPr>
        <w:spacing w:after="0" w:line="232" w:lineRule="exact"/>
        <w:rPr>
          <w:sz w:val="20"/>
          <w:szCs w:val="20"/>
          <w:color w:val="auto"/>
        </w:rPr>
      </w:pPr>
    </w:p>
    <w:p>
      <w:pPr>
        <w:ind w:left="640" w:hanging="614"/>
        <w:spacing w:after="0"/>
        <w:tabs>
          <w:tab w:leader="none" w:pos="640" w:val="left"/>
        </w:tabs>
        <w:numPr>
          <w:ilvl w:val="0"/>
          <w:numId w:val="72"/>
        </w:numPr>
        <w:rPr>
          <w:rFonts w:ascii="Arial" w:cs="Arial" w:eastAsia="Arial" w:hAnsi="Arial"/>
          <w:sz w:val="20"/>
          <w:szCs w:val="20"/>
          <w:b w:val="1"/>
          <w:bCs w:val="1"/>
          <w:color w:val="auto"/>
        </w:rPr>
      </w:pPr>
      <w:r>
        <w:rPr>
          <w:rFonts w:ascii="Arial" w:cs="Arial" w:eastAsia="Arial" w:hAnsi="Arial"/>
          <w:sz w:val="16"/>
          <w:szCs w:val="16"/>
          <w:color w:val="6D6E71"/>
        </w:rPr>
        <w:t>Director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186055</wp:posOffset>
            </wp:positionV>
            <wp:extent cx="7157720" cy="4254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56" w:right="339" w:bottom="1440" w:gutter="0" w:footer="0" w:header="0"/>
        </w:sectPr>
      </w:pPr>
    </w:p>
    <w:bookmarkStart w:id="44" w:name="page45"/>
    <w:bookmarkEnd w:id="44"/>
    <w:p>
      <w:pPr>
        <w:spacing w:after="0"/>
        <w:rPr>
          <w:sz w:val="20"/>
          <w:szCs w:val="20"/>
          <w:color w:val="auto"/>
        </w:rPr>
      </w:pPr>
      <w:r>
        <w:rPr>
          <w:rFonts w:ascii="Arial" w:cs="Arial" w:eastAsia="Arial" w:hAnsi="Arial"/>
          <w:sz w:val="41"/>
          <w:szCs w:val="41"/>
          <w:b w:val="1"/>
          <w:bCs w:val="1"/>
          <w:color w:val="0067B3"/>
        </w:rPr>
        <w:t>Stock Ownership Guidelines for Non-Employee Directors</w:t>
      </w:r>
    </w:p>
    <w:p>
      <w:pPr>
        <w:spacing w:after="0" w:line="169" w:lineRule="exact"/>
        <w:rPr>
          <w:sz w:val="20"/>
          <w:szCs w:val="20"/>
          <w:color w:val="auto"/>
        </w:rPr>
      </w:pPr>
    </w:p>
    <w:p>
      <w:pPr>
        <w:ind w:right="80"/>
        <w:spacing w:after="0" w:line="287" w:lineRule="auto"/>
        <w:rPr>
          <w:sz w:val="20"/>
          <w:szCs w:val="20"/>
          <w:color w:val="auto"/>
        </w:rPr>
      </w:pPr>
      <w:r>
        <w:rPr>
          <w:rFonts w:ascii="Arial" w:cs="Arial" w:eastAsia="Arial" w:hAnsi="Arial"/>
          <w:sz w:val="18"/>
          <w:szCs w:val="18"/>
          <w:color w:val="auto"/>
        </w:rPr>
        <w:t>Under our stock ownership guidelines, the target share ownership level for non-employee directors is at least four times the directors’ annual cash retainer. Directors have four years to achieve their targeted level.</w:t>
      </w:r>
    </w:p>
    <w:p>
      <w:pPr>
        <w:spacing w:after="0" w:line="91"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4260" w:type="dxa"/>
            <w:vAlign w:val="bottom"/>
            <w:gridSpan w:val="2"/>
            <w:shd w:val="clear" w:color="auto" w:fill="0067B3"/>
          </w:tcPr>
          <w:p>
            <w:pPr>
              <w:ind w:left="20"/>
              <w:spacing w:after="0"/>
              <w:rPr>
                <w:sz w:val="20"/>
                <w:szCs w:val="20"/>
                <w:color w:val="auto"/>
              </w:rPr>
            </w:pPr>
            <w:r>
              <w:rPr>
                <w:rFonts w:ascii="Arial" w:cs="Arial" w:eastAsia="Arial" w:hAnsi="Arial"/>
                <w:sz w:val="16"/>
                <w:szCs w:val="16"/>
                <w:b w:val="1"/>
                <w:bCs w:val="1"/>
                <w:color w:val="FFFFFF"/>
              </w:rPr>
              <w:t>What Counts as Ownership</w:t>
            </w:r>
          </w:p>
        </w:tc>
        <w:tc>
          <w:tcPr>
            <w:tcW w:w="6980" w:type="dxa"/>
            <w:vAlign w:val="bottom"/>
            <w:gridSpan w:val="2"/>
            <w:shd w:val="clear" w:color="auto" w:fill="0067B3"/>
          </w:tcPr>
          <w:p>
            <w:pPr>
              <w:ind w:left="740"/>
              <w:spacing w:after="0"/>
              <w:rPr>
                <w:sz w:val="20"/>
                <w:szCs w:val="20"/>
                <w:color w:val="auto"/>
              </w:rPr>
            </w:pPr>
            <w:r>
              <w:rPr>
                <w:rFonts w:ascii="Arial" w:cs="Arial" w:eastAsia="Arial" w:hAnsi="Arial"/>
                <w:sz w:val="16"/>
                <w:szCs w:val="16"/>
                <w:b w:val="1"/>
                <w:bCs w:val="1"/>
                <w:color w:val="FFFFFF"/>
              </w:rPr>
              <w:t>What Does Not Count as Ownership</w:t>
            </w:r>
          </w:p>
        </w:tc>
      </w:tr>
      <w:tr>
        <w:trPr>
          <w:trHeight w:val="250"/>
        </w:trPr>
        <w:tc>
          <w:tcPr>
            <w:tcW w:w="140" w:type="dxa"/>
            <w:vAlign w:val="bottom"/>
            <w:tcBorders>
              <w:bottom w:val="single" w:sz="8" w:color="E2E6F4"/>
            </w:tcBorders>
            <w:shd w:val="clear" w:color="auto" w:fill="E2E6F4"/>
          </w:tcPr>
          <w:p>
            <w:pPr>
              <w:ind w:left="20"/>
              <w:spacing w:after="0"/>
              <w:rPr>
                <w:sz w:val="20"/>
                <w:szCs w:val="20"/>
                <w:color w:val="auto"/>
              </w:rPr>
            </w:pPr>
            <w:r>
              <w:rPr>
                <w:rFonts w:ascii="Arial" w:cs="Arial" w:eastAsia="Arial" w:hAnsi="Arial"/>
                <w:sz w:val="13"/>
                <w:szCs w:val="13"/>
                <w:color w:val="0067B3"/>
              </w:rPr>
              <w:t>u</w:t>
            </w:r>
          </w:p>
        </w:tc>
        <w:tc>
          <w:tcPr>
            <w:tcW w:w="4120" w:type="dxa"/>
            <w:vAlign w:val="bottom"/>
            <w:tcBorders>
              <w:bottom w:val="single" w:sz="8" w:color="E2E6F4"/>
            </w:tcBorders>
            <w:shd w:val="clear" w:color="auto" w:fill="E2E6F4"/>
          </w:tcPr>
          <w:p>
            <w:pPr>
              <w:ind w:left="40"/>
              <w:spacing w:after="0"/>
              <w:rPr>
                <w:sz w:val="20"/>
                <w:szCs w:val="20"/>
                <w:color w:val="auto"/>
              </w:rPr>
            </w:pPr>
            <w:r>
              <w:rPr>
                <w:rFonts w:ascii="Arial" w:cs="Arial" w:eastAsia="Arial" w:hAnsi="Arial"/>
                <w:sz w:val="18"/>
                <w:szCs w:val="18"/>
                <w:color w:val="auto"/>
              </w:rPr>
              <w:t>Time-based RSUs (whether or not vested)</w:t>
            </w:r>
          </w:p>
        </w:tc>
        <w:tc>
          <w:tcPr>
            <w:tcW w:w="840" w:type="dxa"/>
            <w:vAlign w:val="bottom"/>
            <w:tcBorders>
              <w:bottom w:val="single" w:sz="8" w:color="E2E6F4"/>
            </w:tcBorders>
            <w:shd w:val="clear" w:color="auto" w:fill="E2E6F4"/>
          </w:tcPr>
          <w:p>
            <w:pPr>
              <w:ind w:left="740"/>
              <w:spacing w:after="0"/>
              <w:rPr>
                <w:sz w:val="20"/>
                <w:szCs w:val="20"/>
                <w:color w:val="auto"/>
              </w:rPr>
            </w:pPr>
            <w:r>
              <w:rPr>
                <w:rFonts w:ascii="Arial" w:cs="Arial" w:eastAsia="Arial" w:hAnsi="Arial"/>
                <w:sz w:val="13"/>
                <w:szCs w:val="13"/>
                <w:color w:val="0067B3"/>
              </w:rPr>
              <w:t>u</w:t>
            </w:r>
          </w:p>
        </w:tc>
        <w:tc>
          <w:tcPr>
            <w:tcW w:w="6140" w:type="dxa"/>
            <w:vAlign w:val="bottom"/>
            <w:tcBorders>
              <w:bottom w:val="single" w:sz="8" w:color="E2E6F4"/>
            </w:tcBorders>
            <w:shd w:val="clear" w:color="auto" w:fill="E2E6F4"/>
          </w:tcPr>
          <w:p>
            <w:pPr>
              <w:ind w:left="40"/>
              <w:spacing w:after="0"/>
              <w:rPr>
                <w:sz w:val="20"/>
                <w:szCs w:val="20"/>
                <w:color w:val="auto"/>
              </w:rPr>
            </w:pPr>
            <w:r>
              <w:rPr>
                <w:rFonts w:ascii="Arial" w:cs="Arial" w:eastAsia="Arial" w:hAnsi="Arial"/>
                <w:sz w:val="18"/>
                <w:szCs w:val="18"/>
                <w:color w:val="auto"/>
              </w:rPr>
              <w:t>Shares subject to unexercised options, whether or not vested</w:t>
            </w:r>
          </w:p>
        </w:tc>
      </w:tr>
      <w:tr>
        <w:trPr>
          <w:trHeight w:val="270"/>
        </w:trPr>
        <w:tc>
          <w:tcPr>
            <w:tcW w:w="140" w:type="dxa"/>
            <w:vAlign w:val="bottom"/>
            <w:tcBorders>
              <w:bottom w:val="single" w:sz="8" w:color="0067B3"/>
            </w:tcBorders>
          </w:tcPr>
          <w:p>
            <w:pPr>
              <w:ind w:left="20"/>
              <w:spacing w:after="0"/>
              <w:rPr>
                <w:sz w:val="20"/>
                <w:szCs w:val="20"/>
                <w:color w:val="auto"/>
              </w:rPr>
            </w:pPr>
            <w:r>
              <w:rPr>
                <w:rFonts w:ascii="Arial" w:cs="Arial" w:eastAsia="Arial" w:hAnsi="Arial"/>
                <w:sz w:val="13"/>
                <w:szCs w:val="13"/>
                <w:color w:val="0067B3"/>
              </w:rPr>
              <w:t>u</w:t>
            </w:r>
          </w:p>
        </w:tc>
        <w:tc>
          <w:tcPr>
            <w:tcW w:w="4120" w:type="dxa"/>
            <w:vAlign w:val="bottom"/>
            <w:tcBorders>
              <w:bottom w:val="single" w:sz="8" w:color="0067B3"/>
            </w:tcBorders>
          </w:tcPr>
          <w:p>
            <w:pPr>
              <w:ind w:left="40"/>
              <w:spacing w:after="0"/>
              <w:rPr>
                <w:sz w:val="20"/>
                <w:szCs w:val="20"/>
                <w:color w:val="auto"/>
              </w:rPr>
            </w:pPr>
            <w:r>
              <w:rPr>
                <w:rFonts w:ascii="Arial" w:cs="Arial" w:eastAsia="Arial" w:hAnsi="Arial"/>
                <w:sz w:val="18"/>
                <w:szCs w:val="18"/>
                <w:color w:val="auto"/>
              </w:rPr>
              <w:t>Restricted stock (whether or not vested)</w:t>
            </w:r>
          </w:p>
        </w:tc>
        <w:tc>
          <w:tcPr>
            <w:tcW w:w="840" w:type="dxa"/>
            <w:vAlign w:val="bottom"/>
            <w:tcBorders>
              <w:bottom w:val="single" w:sz="8" w:color="0067B3"/>
            </w:tcBorders>
          </w:tcPr>
          <w:p>
            <w:pPr>
              <w:ind w:left="740"/>
              <w:spacing w:after="0"/>
              <w:rPr>
                <w:sz w:val="20"/>
                <w:szCs w:val="20"/>
                <w:color w:val="auto"/>
              </w:rPr>
            </w:pPr>
            <w:r>
              <w:rPr>
                <w:rFonts w:ascii="Arial" w:cs="Arial" w:eastAsia="Arial" w:hAnsi="Arial"/>
                <w:sz w:val="13"/>
                <w:szCs w:val="13"/>
                <w:color w:val="0067B3"/>
              </w:rPr>
              <w:t>u</w:t>
            </w:r>
          </w:p>
        </w:tc>
        <w:tc>
          <w:tcPr>
            <w:tcW w:w="6140" w:type="dxa"/>
            <w:vAlign w:val="bottom"/>
            <w:tcBorders>
              <w:bottom w:val="single" w:sz="8" w:color="0067B3"/>
            </w:tcBorders>
          </w:tcPr>
          <w:p>
            <w:pPr>
              <w:ind w:left="40"/>
              <w:spacing w:after="0"/>
              <w:rPr>
                <w:sz w:val="20"/>
                <w:szCs w:val="20"/>
                <w:color w:val="auto"/>
              </w:rPr>
            </w:pPr>
            <w:r>
              <w:rPr>
                <w:rFonts w:ascii="Arial" w:cs="Arial" w:eastAsia="Arial" w:hAnsi="Arial"/>
                <w:sz w:val="18"/>
                <w:szCs w:val="18"/>
                <w:color w:val="auto"/>
              </w:rPr>
              <w:t>Any shares that have been pledged as collateral for a loan</w:t>
            </w:r>
            <w:r>
              <w:rPr>
                <w:rFonts w:ascii="Arial" w:cs="Arial" w:eastAsia="Arial" w:hAnsi="Arial"/>
                <w:sz w:val="23"/>
                <w:szCs w:val="23"/>
                <w:color w:val="auto"/>
                <w:vertAlign w:val="superscript"/>
              </w:rPr>
              <w:t>(1)</w:t>
            </w:r>
          </w:p>
        </w:tc>
      </w:tr>
    </w:tbl>
    <w:p>
      <w:pPr>
        <w:spacing w:after="0" w:line="108" w:lineRule="exact"/>
        <w:rPr>
          <w:sz w:val="20"/>
          <w:szCs w:val="20"/>
          <w:color w:val="auto"/>
        </w:rPr>
      </w:pPr>
    </w:p>
    <w:p>
      <w:pPr>
        <w:ind w:left="220" w:hanging="212"/>
        <w:spacing w:after="0"/>
        <w:tabs>
          <w:tab w:leader="none" w:pos="220" w:val="left"/>
        </w:tabs>
        <w:numPr>
          <w:ilvl w:val="0"/>
          <w:numId w:val="73"/>
        </w:numPr>
        <w:rPr>
          <w:rFonts w:ascii="Arial" w:cs="Arial" w:eastAsia="Arial" w:hAnsi="Arial"/>
          <w:sz w:val="21"/>
          <w:szCs w:val="21"/>
          <w:color w:val="auto"/>
          <w:vertAlign w:val="superscript"/>
        </w:rPr>
      </w:pPr>
      <w:r>
        <w:rPr>
          <w:rFonts w:ascii="Arial" w:cs="Arial" w:eastAsia="Arial" w:hAnsi="Arial"/>
          <w:sz w:val="16"/>
          <w:szCs w:val="16"/>
          <w:color w:val="auto"/>
        </w:rPr>
        <w:t>Since January 2013, we have prohibited our directors and executive officers from future pledging of their company securities as collateral for a loan.</w:t>
      </w:r>
    </w:p>
    <w:p>
      <w:pPr>
        <w:spacing w:after="0" w:line="78" w:lineRule="exact"/>
        <w:rPr>
          <w:sz w:val="20"/>
          <w:szCs w:val="20"/>
          <w:color w:val="auto"/>
        </w:rPr>
      </w:pPr>
    </w:p>
    <w:p>
      <w:pPr>
        <w:spacing w:after="0" w:line="262" w:lineRule="auto"/>
        <w:rPr>
          <w:sz w:val="20"/>
          <w:szCs w:val="20"/>
          <w:color w:val="auto"/>
        </w:rPr>
      </w:pPr>
      <w:r>
        <w:rPr>
          <w:rFonts w:ascii="Arial" w:cs="Arial" w:eastAsia="Arial" w:hAnsi="Arial"/>
          <w:sz w:val="18"/>
          <w:szCs w:val="18"/>
          <w:color w:val="auto"/>
        </w:rPr>
        <w:t>All of our non-employee directors other than Dr. Matsuoka were in compliance with our stock ownership guidelines as of the end of fiscal year 2025. Dr. Matsuoka was appointed to the Board of Directors on January 20, 2026 and was not subject to our stock ownership guidelines as of the end of fiscal year 2025. Dr. Matsuoka is expected to meet the target share ownership within the first four years of her appointment to the Board of Directors.</w:t>
      </w:r>
    </w:p>
    <w:p>
      <w:pPr>
        <w:spacing w:after="0" w:line="251" w:lineRule="exact"/>
        <w:rPr>
          <w:sz w:val="20"/>
          <w:szCs w:val="20"/>
          <w:color w:val="auto"/>
        </w:rPr>
      </w:pPr>
    </w:p>
    <w:p>
      <w:pPr>
        <w:ind w:right="3300"/>
        <w:spacing w:after="0" w:line="276" w:lineRule="auto"/>
        <w:rPr>
          <w:sz w:val="20"/>
          <w:szCs w:val="20"/>
          <w:color w:val="auto"/>
        </w:rPr>
      </w:pPr>
      <w:r>
        <w:rPr>
          <w:rFonts w:ascii="Arial" w:cs="Arial" w:eastAsia="Arial" w:hAnsi="Arial"/>
          <w:sz w:val="41"/>
          <w:szCs w:val="41"/>
          <w:b w:val="1"/>
          <w:bCs w:val="1"/>
          <w:color w:val="0067B3"/>
        </w:rPr>
        <w:t>Equity Award Grant Date Policy for Non-Employee Directors</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Pursuant to our Equity Award Grant Date Policy:</w:t>
      </w:r>
    </w:p>
    <w:p>
      <w:pPr>
        <w:spacing w:after="0" w:line="117" w:lineRule="exact"/>
        <w:rPr>
          <w:sz w:val="20"/>
          <w:szCs w:val="20"/>
          <w:color w:val="auto"/>
        </w:rPr>
      </w:pPr>
    </w:p>
    <w:p>
      <w:pPr>
        <w:jc w:val="both"/>
        <w:ind w:left="200" w:right="140" w:hanging="192"/>
        <w:spacing w:after="0" w:line="262" w:lineRule="auto"/>
        <w:tabs>
          <w:tab w:leader="none" w:pos="157" w:val="left"/>
        </w:tabs>
        <w:numPr>
          <w:ilvl w:val="0"/>
          <w:numId w:val="74"/>
        </w:numPr>
        <w:rPr>
          <w:rFonts w:ascii="Arial" w:cs="Arial" w:eastAsia="Arial" w:hAnsi="Arial"/>
          <w:sz w:val="13"/>
          <w:szCs w:val="13"/>
          <w:color w:val="0067B3"/>
        </w:rPr>
      </w:pPr>
      <w:r>
        <w:rPr>
          <w:rFonts w:ascii="Arial" w:cs="Arial" w:eastAsia="Arial" w:hAnsi="Arial"/>
          <w:sz w:val="18"/>
          <w:szCs w:val="18"/>
          <w:color w:val="auto"/>
        </w:rPr>
        <w:t>Each newly appointed non-employee director newly appointed by our Board of Directors (other than non-employee directors elected at an annual meeting of shareholders) was granted under the 2020 Plan an RSU award for a number of shares of our common stock approved by the Board of Directors, on the 15th day of the month following the month of the date of initial appointment as a director, or if Nasdaq is closed on that day, the next succeeding business day that Nasdaq is open.</w:t>
      </w:r>
    </w:p>
    <w:p>
      <w:pPr>
        <w:spacing w:after="0" w:line="27" w:lineRule="exact"/>
        <w:rPr>
          <w:rFonts w:ascii="Arial" w:cs="Arial" w:eastAsia="Arial" w:hAnsi="Arial"/>
          <w:sz w:val="13"/>
          <w:szCs w:val="13"/>
          <w:color w:val="0067B3"/>
        </w:rPr>
      </w:pPr>
    </w:p>
    <w:p>
      <w:pPr>
        <w:ind w:left="200" w:right="40" w:hanging="192"/>
        <w:spacing w:after="0" w:line="268" w:lineRule="auto"/>
        <w:tabs>
          <w:tab w:leader="none" w:pos="157" w:val="left"/>
        </w:tabs>
        <w:numPr>
          <w:ilvl w:val="0"/>
          <w:numId w:val="74"/>
        </w:numPr>
        <w:rPr>
          <w:rFonts w:ascii="Arial" w:cs="Arial" w:eastAsia="Arial" w:hAnsi="Arial"/>
          <w:sz w:val="13"/>
          <w:szCs w:val="13"/>
          <w:color w:val="0067B3"/>
        </w:rPr>
      </w:pPr>
      <w:r>
        <w:rPr>
          <w:rFonts w:ascii="Arial" w:cs="Arial" w:eastAsia="Arial" w:hAnsi="Arial"/>
          <w:sz w:val="18"/>
          <w:szCs w:val="18"/>
          <w:color w:val="auto"/>
        </w:rPr>
        <w:t>On an annual basis, each non-employee director elected or re-elected at an annual meeting of shareholders is granted under the 2020 Plan an RSU award for a number of shares of our common stock approved by the Board of Directors, on the date of our annual meeting of shareholders, or if Nasdaq is closed on that day, the next succeeding business day that Nasdaq is open.</w:t>
      </w:r>
    </w:p>
    <w:p>
      <w:pPr>
        <w:spacing w:after="0" w:line="63" w:lineRule="exact"/>
        <w:rPr>
          <w:sz w:val="20"/>
          <w:szCs w:val="20"/>
          <w:color w:val="auto"/>
        </w:rPr>
      </w:pPr>
    </w:p>
    <w:p>
      <w:pPr>
        <w:ind w:right="120"/>
        <w:spacing w:after="0" w:line="287" w:lineRule="auto"/>
        <w:rPr>
          <w:sz w:val="20"/>
          <w:szCs w:val="20"/>
          <w:color w:val="auto"/>
        </w:rPr>
      </w:pPr>
      <w:r>
        <w:rPr>
          <w:rFonts w:ascii="Arial" w:cs="Arial" w:eastAsia="Arial" w:hAnsi="Arial"/>
          <w:sz w:val="18"/>
          <w:szCs w:val="18"/>
          <w:color w:val="auto"/>
        </w:rPr>
        <w:t>For fiscal year 2025, RSUs granted to our non-employee directors under the 2020 Plan vest on the earlier of the date of the Annual Meeting and the first anniversary of the date of grant, subject to acceleration as described below.</w:t>
      </w:r>
    </w:p>
    <w:p>
      <w:pPr>
        <w:spacing w:after="0" w:line="45"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The RSU awards vest in full upon the occurrence of a Change in Control Event (as defined in the 2020 Plan) or the director’s death. If the director ceases to serve as a director by reason of his or her disability, as determined by the Board of Directors, each outstanding and unvested RSU will vest in full at the time he or she ceases to be a director. In addition, upon the occurrence of a Change in Control Event or in the event of the director’s death, disability, or retirement after age 60, any vested stock options held by a director will continue to be exercisable for the remainder of their term.</w:t>
      </w:r>
    </w:p>
    <w:p>
      <w:pPr>
        <w:spacing w:after="0" w:line="200" w:lineRule="exact"/>
        <w:rPr>
          <w:sz w:val="20"/>
          <w:szCs w:val="20"/>
          <w:color w:val="auto"/>
        </w:rPr>
      </w:pP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278"/>
        </w:trPr>
        <w:tc>
          <w:tcPr>
            <w:tcW w:w="10800" w:type="dxa"/>
            <w:vAlign w:val="bottom"/>
          </w:tcPr>
          <w:p>
            <w:pPr>
              <w:ind w:left="8980"/>
              <w:spacing w:after="0"/>
              <w:rPr>
                <w:sz w:val="20"/>
                <w:szCs w:val="20"/>
                <w:color w:val="auto"/>
              </w:rPr>
            </w:pPr>
            <w:r>
              <w:rPr>
                <w:rFonts w:ascii="Arial" w:cs="Arial" w:eastAsia="Arial" w:hAnsi="Arial"/>
                <w:sz w:val="16"/>
                <w:szCs w:val="16"/>
                <w:color w:val="0067B3"/>
              </w:rPr>
              <w:t>2026 Proxy Statement</w:t>
            </w:r>
          </w:p>
        </w:tc>
        <w:tc>
          <w:tcPr>
            <w:tcW w:w="440" w:type="dxa"/>
            <w:vAlign w:val="bottom"/>
          </w:tcPr>
          <w:p>
            <w:pPr>
              <w:jc w:val="right"/>
              <w:spacing w:after="0"/>
              <w:rPr>
                <w:sz w:val="20"/>
                <w:szCs w:val="20"/>
                <w:color w:val="auto"/>
              </w:rPr>
            </w:pPr>
            <w:r>
              <w:rPr>
                <w:rFonts w:ascii="Arial" w:cs="Arial" w:eastAsia="Arial" w:hAnsi="Arial"/>
                <w:sz w:val="20"/>
                <w:szCs w:val="20"/>
                <w:b w:val="1"/>
                <w:bCs w:val="1"/>
                <w:color w:val="auto"/>
              </w:rPr>
              <w:t>37</w:t>
            </w:r>
          </w:p>
        </w:tc>
      </w:tr>
      <w:tr>
        <w:trPr>
          <w:trHeight w:val="333"/>
        </w:trPr>
        <w:tc>
          <w:tcPr>
            <w:tcW w:w="1080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356" w:right="339" w:bottom="1440" w:gutter="0" w:footer="0" w:header="0"/>
        </w:sectPr>
      </w:pPr>
    </w:p>
    <w:bookmarkStart w:id="45" w:name="page46"/>
    <w:bookmarkEnd w:id="45"/>
    <w:p>
      <w:pPr>
        <w:spacing w:after="0"/>
        <w:rPr>
          <w:sz w:val="20"/>
          <w:szCs w:val="20"/>
          <w:color w:val="auto"/>
        </w:rPr>
      </w:pPr>
      <w:r>
        <w:rPr>
          <w:rFonts w:ascii="Arial" w:cs="Arial" w:eastAsia="Arial" w:hAnsi="Arial"/>
          <w:sz w:val="58"/>
          <w:szCs w:val="58"/>
          <w:color w:val="auto"/>
        </w:rPr>
        <w:t>Management Team</w:t>
      </w:r>
    </w:p>
    <w:p>
      <w:pPr>
        <w:spacing w:after="0" w:line="200" w:lineRule="exact"/>
        <w:rPr>
          <w:sz w:val="20"/>
          <w:szCs w:val="20"/>
          <w:color w:val="auto"/>
        </w:rPr>
      </w:pPr>
    </w:p>
    <w:p>
      <w:pPr>
        <w:spacing w:after="0" w:line="306" w:lineRule="exact"/>
        <w:rPr>
          <w:sz w:val="20"/>
          <w:szCs w:val="20"/>
          <w:color w:val="auto"/>
        </w:rPr>
      </w:pPr>
    </w:p>
    <w:p>
      <w:pPr>
        <w:ind w:right="260"/>
        <w:spacing w:after="0" w:line="275" w:lineRule="auto"/>
        <w:rPr>
          <w:sz w:val="20"/>
          <w:szCs w:val="20"/>
          <w:color w:val="auto"/>
        </w:rPr>
      </w:pPr>
      <w:r>
        <w:rPr>
          <w:rFonts w:ascii="Arial" w:cs="Arial" w:eastAsia="Arial" w:hAnsi="Arial"/>
          <w:sz w:val="16"/>
          <w:szCs w:val="16"/>
          <w:color w:val="auto"/>
        </w:rPr>
        <w:t>The following table sets forth (i) the name, age, and position of our CEO and other members of our management team as of January 23, 2026 and (ii) the business experience of each person named in the table during at least the past five years. Each of Messrs. Roche, Cotter, Jain, and Puccio and Dr. Nakamura is an “executive officer” as defined by Rule 3b-7 of the Exchange 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61595</wp:posOffset>
            </wp:positionV>
            <wp:extent cx="7132320" cy="825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44" w:lineRule="exact"/>
        <w:rPr>
          <w:sz w:val="20"/>
          <w:szCs w:val="20"/>
          <w:color w:val="auto"/>
        </w:rPr>
      </w:pPr>
    </w:p>
    <w:p>
      <w:pPr>
        <w:ind w:left="2000"/>
        <w:spacing w:after="0"/>
        <w:rPr>
          <w:sz w:val="20"/>
          <w:szCs w:val="20"/>
          <w:color w:val="auto"/>
        </w:rPr>
      </w:pPr>
      <w:r>
        <w:rPr>
          <w:rFonts w:ascii="Arial" w:cs="Arial" w:eastAsia="Arial" w:hAnsi="Arial"/>
          <w:sz w:val="16"/>
          <w:szCs w:val="16"/>
          <w:b w:val="1"/>
          <w:bCs w:val="1"/>
          <w:color w:val="0067B3"/>
        </w:rPr>
        <w:t xml:space="preserve">VINCENT ROCHE, 65, </w:t>
      </w:r>
      <w:r>
        <w:rPr>
          <w:rFonts w:ascii="Arial" w:cs="Arial" w:eastAsia="Arial" w:hAnsi="Arial"/>
          <w:sz w:val="16"/>
          <w:szCs w:val="16"/>
          <w:color w:val="0067B3"/>
        </w:rPr>
        <w:t>Chief Executive Officer and Chair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-107315</wp:posOffset>
            </wp:positionV>
            <wp:extent cx="951230" cy="95123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951230" cy="951230"/>
                    </a:xfrm>
                    <a:prstGeom prst="rect">
                      <a:avLst/>
                    </a:prstGeom>
                    <a:noFill/>
                  </pic:spPr>
                </pic:pic>
              </a:graphicData>
            </a:graphic>
          </wp:anchor>
        </w:drawing>
      </w:r>
    </w:p>
    <w:p>
      <w:pPr>
        <w:spacing w:after="0" w:line="53" w:lineRule="exact"/>
        <w:rPr>
          <w:sz w:val="20"/>
          <w:szCs w:val="20"/>
          <w:color w:val="auto"/>
        </w:rPr>
      </w:pPr>
    </w:p>
    <w:p>
      <w:pPr>
        <w:ind w:left="2000" w:right="160"/>
        <w:spacing w:after="0" w:line="261" w:lineRule="auto"/>
        <w:rPr>
          <w:sz w:val="20"/>
          <w:szCs w:val="20"/>
          <w:color w:val="auto"/>
        </w:rPr>
      </w:pPr>
      <w:r>
        <w:rPr>
          <w:rFonts w:ascii="Arial" w:cs="Arial" w:eastAsia="Arial" w:hAnsi="Arial"/>
          <w:sz w:val="16"/>
          <w:szCs w:val="16"/>
          <w:color w:val="auto"/>
        </w:rPr>
        <w:t>Mr. Roche was elected as Chair of our Board of Directors in March 2022. Mr. Roche has served as our President since 2012, and was appointed CEO and elected as a director in May 2013. Mr. Roche began his career with us in 1988 and has served in key positions spanning corporate leadership, worldwide sales, strategic marketing, business development, and product management over his more than 30-year tenure. Mr. Roche was recognized by Forbes in 2019 as one of America’s Most Innovative Leaders while also being a recipient of the 2021 SFI St. Patrick’s Day Science Medal for his contributions in support of the ecosystems in Ireland.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146685</wp:posOffset>
            </wp:positionV>
            <wp:extent cx="7132320" cy="825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78" w:lineRule="exact"/>
        <w:rPr>
          <w:sz w:val="20"/>
          <w:szCs w:val="20"/>
          <w:color w:val="auto"/>
        </w:rPr>
      </w:pPr>
    </w:p>
    <w:p>
      <w:pPr>
        <w:ind w:left="2000"/>
        <w:spacing w:after="0"/>
        <w:rPr>
          <w:sz w:val="20"/>
          <w:szCs w:val="20"/>
          <w:color w:val="auto"/>
        </w:rPr>
      </w:pPr>
      <w:r>
        <w:rPr>
          <w:rFonts w:ascii="Arial" w:cs="Arial" w:eastAsia="Arial" w:hAnsi="Arial"/>
          <w:sz w:val="16"/>
          <w:szCs w:val="16"/>
          <w:b w:val="1"/>
          <w:bCs w:val="1"/>
          <w:color w:val="0067B3"/>
        </w:rPr>
        <w:t xml:space="preserve">JANENE ASGEIRSSON, 55, </w:t>
      </w:r>
      <w:r>
        <w:rPr>
          <w:rFonts w:ascii="Arial" w:cs="Arial" w:eastAsia="Arial" w:hAnsi="Arial"/>
          <w:sz w:val="16"/>
          <w:szCs w:val="16"/>
          <w:color w:val="0067B3"/>
        </w:rPr>
        <w:t>Senior Vice President, Chief Legal Officer, and Corporate 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-107315</wp:posOffset>
            </wp:positionV>
            <wp:extent cx="951230" cy="95186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951230" cy="951865"/>
                    </a:xfrm>
                    <a:prstGeom prst="rect">
                      <a:avLst/>
                    </a:prstGeom>
                    <a:noFill/>
                  </pic:spPr>
                </pic:pic>
              </a:graphicData>
            </a:graphic>
          </wp:anchor>
        </w:drawing>
      </w:r>
    </w:p>
    <w:p>
      <w:pPr>
        <w:spacing w:after="0" w:line="53" w:lineRule="exact"/>
        <w:rPr>
          <w:sz w:val="20"/>
          <w:szCs w:val="20"/>
          <w:color w:val="auto"/>
        </w:rPr>
      </w:pPr>
    </w:p>
    <w:p>
      <w:pPr>
        <w:ind w:left="2000"/>
        <w:spacing w:after="0" w:line="255" w:lineRule="auto"/>
        <w:rPr>
          <w:sz w:val="20"/>
          <w:szCs w:val="20"/>
          <w:color w:val="auto"/>
        </w:rPr>
      </w:pPr>
      <w:r>
        <w:rPr>
          <w:rFonts w:ascii="Arial" w:cs="Arial" w:eastAsia="Arial" w:hAnsi="Arial"/>
          <w:sz w:val="16"/>
          <w:szCs w:val="16"/>
          <w:color w:val="auto"/>
        </w:rPr>
        <w:t>Ms. Asgeirsson has served as our Senior Vice President, Chief Legal Officer, and Corporate Secretary since August 2021. Ms. Asgeirsson leads our worldwide legal, governance, trade, regulatory, government affairs, risk, and compliance functions, including mergers and acquisitions, litigation, intellectual property, and corporate matters, as well as internal audit, enterprise risk and the governance aspect of our ESG programs. Ms. Asgeirsson also acts as a strategic advisor to ADI’s executive leadership team and Board of Directors. Ms. Asgeirsson has over two decades of combined experience in private practice at American Lawyer-ranked international law firms and in senior and executive level roles at publicly traded technology companies. Prior to joining ADI, Ms. Asgeirsson worked at Acacia Communications, Inc., an optical networking and strategy technology company, from April 2015 to August 2021, as its Vice President, General Counsel and Secretary from April 2015 to January 2019, and then as its Chief Legal Officer, Chief Compliance Officer, and Secretary, from February 2019 to August 2021, leading global teams with diverse responsibilities. During her tenure at Acacia, she accomplished several significant strategic projects and transactions, including Acacia’s initial public offering (IPO), the best-performing U.S. IPO of 2016, and Acacia’s multi-billion-dollar sale to Cisco Systems. While in private practice, Ms. Asgeirsson provided strategic and legal counsel to several companies across multiple industries, ranging in size from start-ups to multi-billion-dollar, complex global organizations. Ms. Asgeirsson holds a Bachelor’s degree in Accountancy, summa cum laude, from the University of San Diego and a Juris Doctor from Northeastern University School of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132320" cy="889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20" w:lineRule="exact"/>
        <w:rPr>
          <w:sz w:val="20"/>
          <w:szCs w:val="20"/>
          <w:color w:val="auto"/>
        </w:rPr>
      </w:pPr>
    </w:p>
    <w:p>
      <w:pPr>
        <w:ind w:left="2000"/>
        <w:spacing w:after="0"/>
        <w:rPr>
          <w:sz w:val="20"/>
          <w:szCs w:val="20"/>
          <w:color w:val="auto"/>
        </w:rPr>
      </w:pPr>
      <w:r>
        <w:rPr>
          <w:rFonts w:ascii="Arial" w:cs="Arial" w:eastAsia="Arial" w:hAnsi="Arial"/>
          <w:sz w:val="16"/>
          <w:szCs w:val="16"/>
          <w:b w:val="1"/>
          <w:bCs w:val="1"/>
          <w:color w:val="0067B3"/>
        </w:rPr>
        <w:t xml:space="preserve">MARTIN COTTER, 60, </w:t>
      </w:r>
      <w:r>
        <w:rPr>
          <w:rFonts w:ascii="Arial" w:cs="Arial" w:eastAsia="Arial" w:hAnsi="Arial"/>
          <w:sz w:val="16"/>
          <w:szCs w:val="16"/>
          <w:color w:val="0067B3"/>
        </w:rPr>
        <w:t>Senior Vice President, Vertical Business Units and President, Analog Devices EMEA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-90170</wp:posOffset>
            </wp:positionV>
            <wp:extent cx="951230" cy="95123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951230" cy="951230"/>
                    </a:xfrm>
                    <a:prstGeom prst="rect">
                      <a:avLst/>
                    </a:prstGeom>
                    <a:noFill/>
                  </pic:spPr>
                </pic:pic>
              </a:graphicData>
            </a:graphic>
          </wp:anchor>
        </w:drawing>
      </w:r>
    </w:p>
    <w:p>
      <w:pPr>
        <w:spacing w:after="0" w:line="53" w:lineRule="exact"/>
        <w:rPr>
          <w:sz w:val="20"/>
          <w:szCs w:val="20"/>
          <w:color w:val="auto"/>
        </w:rPr>
      </w:pPr>
    </w:p>
    <w:p>
      <w:pPr>
        <w:ind w:left="2000" w:right="20"/>
        <w:spacing w:after="0" w:line="257" w:lineRule="auto"/>
        <w:rPr>
          <w:sz w:val="20"/>
          <w:szCs w:val="20"/>
          <w:color w:val="auto"/>
        </w:rPr>
      </w:pPr>
      <w:r>
        <w:rPr>
          <w:rFonts w:ascii="Arial" w:cs="Arial" w:eastAsia="Arial" w:hAnsi="Arial"/>
          <w:sz w:val="16"/>
          <w:szCs w:val="16"/>
          <w:color w:val="auto"/>
        </w:rPr>
        <w:t>Mr. Cotter has served as our Senior Vice President, Vertical Business Units (VBU) since December 2024 and also serves as President of Analog Devices EMEA. He oversees key sectors including Industrial &amp; Multi-Markets, Automotive, Aerospace, Defense &amp; Communications, Healthcare, and Consumer. His role focuses on driving business growth and aligning the company’s strategic goals with current technology trends and market needs. As President of ADI EMEA, Mr. Cotter also leads regional engagements with customers, government bodies, industry associations, universities, and communities. He is responsible for strategic growth, investment, and the development of precision and power products that enable smart factory and sustainable building technologies. Mr. Cotter joined ADI in 1986 as a design engineer. In his 39-year career, he has led some of ADI’s highest-growth business segments, in addition to holding a variety of roles in engineering and product line management. Prior to his current role, Mr. Cotter served as ADI’s Global Sales and Digital Marketing, fostering collaborative partnerships with customers. He holds a Bachelor of Engineering, Master of Engineering, and a Master of Business Administration degrees from the University of Limerick.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73025</wp:posOffset>
            </wp:positionV>
            <wp:extent cx="7132320" cy="98552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132320" cy="985520"/>
                    </a:xfrm>
                    <a:prstGeom prst="rect">
                      <a:avLst/>
                    </a:prstGeom>
                    <a:noFill/>
                  </pic:spPr>
                </pic:pic>
              </a:graphicData>
            </a:graphic>
          </wp:anchor>
        </w:drawing>
      </w:r>
    </w:p>
    <w:p>
      <w:pPr>
        <w:spacing w:after="0" w:line="162" w:lineRule="exact"/>
        <w:rPr>
          <w:sz w:val="20"/>
          <w:szCs w:val="20"/>
          <w:color w:val="auto"/>
        </w:rPr>
      </w:pPr>
    </w:p>
    <w:p>
      <w:pPr>
        <w:ind w:left="2000"/>
        <w:spacing w:after="0"/>
        <w:rPr>
          <w:sz w:val="20"/>
          <w:szCs w:val="20"/>
          <w:color w:val="auto"/>
        </w:rPr>
      </w:pPr>
      <w:r>
        <w:rPr>
          <w:rFonts w:ascii="Arial" w:cs="Arial" w:eastAsia="Arial" w:hAnsi="Arial"/>
          <w:sz w:val="16"/>
          <w:szCs w:val="16"/>
          <w:b w:val="1"/>
          <w:bCs w:val="1"/>
          <w:color w:val="0067B3"/>
        </w:rPr>
        <w:t xml:space="preserve">VENU GOPINATHAN, 62, </w:t>
      </w:r>
      <w:r>
        <w:rPr>
          <w:rFonts w:ascii="Arial" w:cs="Arial" w:eastAsia="Arial" w:hAnsi="Arial"/>
          <w:sz w:val="16"/>
          <w:szCs w:val="16"/>
          <w:color w:val="0067B3"/>
        </w:rPr>
        <w:t>ADI Fellow and Vice President, Emerging Business and Innovation</w:t>
      </w:r>
    </w:p>
    <w:p>
      <w:pPr>
        <w:spacing w:after="0" w:line="73" w:lineRule="exact"/>
        <w:rPr>
          <w:sz w:val="20"/>
          <w:szCs w:val="20"/>
          <w:color w:val="auto"/>
        </w:rPr>
      </w:pPr>
    </w:p>
    <w:p>
      <w:pPr>
        <w:ind w:left="2000" w:right="80"/>
        <w:spacing w:after="0" w:line="257" w:lineRule="auto"/>
        <w:rPr>
          <w:sz w:val="20"/>
          <w:szCs w:val="20"/>
          <w:color w:val="auto"/>
        </w:rPr>
      </w:pPr>
      <w:r>
        <w:rPr>
          <w:rFonts w:ascii="Arial" w:cs="Arial" w:eastAsia="Arial" w:hAnsi="Arial"/>
          <w:sz w:val="16"/>
          <w:szCs w:val="16"/>
          <w:color w:val="auto"/>
        </w:rPr>
        <w:t>Dr. Gopinathan has served as our Vice President of Emerging Business and Innovation since November 2024. He oversees the generation, growth, and graduation of innovative new business models that leverage combinatorial innovation from ADI's technology portfolio. Previously, he served as the Managing Director of Medical Products at ADI, where he was responsible for bringing ADI’s first FDA-cleared medical device into the market for the management of chronic diseases. Dr. Gopinathan holds the position of ADI Fellow, which recognizes his significant contributions to the company’s success. His expertise spans analog circuit design and signal processing and medical devices, evident through his numerous published papers and extensive patent portfolio. He has also made notable contributions as a technical program committee member at ISSCC and as a guest editor for the IEEE Journal of Solid-State Circuits. Dr. Gopinathan began his career at TI Research Labs and later Bell Labs, where he designed analog circuits. He later joined Broadcom Corporation where he focused on signal processing and circuit design for digital equalization of optical channels and high-speed SerDes. Following these roles, Dr. Gopinathan served as director of wireless connectivity at TI Bangalore, director of Kilby Labs, TI-India and in several positions at Angiometrix Corp, including executive vice president, chief technologist, co-founder, and board member. Dr. Gopinathan holds a B.Tech. degree in electronics engineering from IIT Madras, India, and a M.S and Ph.D. in electrical engineering from Columbia University, 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62865</wp:posOffset>
            </wp:positionV>
            <wp:extent cx="7132320" cy="889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1126"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640" w:hanging="614"/>
        <w:spacing w:after="0"/>
        <w:tabs>
          <w:tab w:leader="none" w:pos="640" w:val="left"/>
        </w:tabs>
        <w:numPr>
          <w:ilvl w:val="0"/>
          <w:numId w:val="75"/>
        </w:numPr>
        <w:rPr>
          <w:rFonts w:ascii="Arial" w:cs="Arial" w:eastAsia="Arial" w:hAnsi="Arial"/>
          <w:sz w:val="20"/>
          <w:szCs w:val="20"/>
          <w:b w:val="1"/>
          <w:bCs w:val="1"/>
          <w:color w:val="auto"/>
        </w:rPr>
      </w:pPr>
      <w:r>
        <w:rPr>
          <w:rFonts w:ascii="Arial" w:cs="Arial" w:eastAsia="Arial" w:hAnsi="Arial"/>
          <w:sz w:val="16"/>
          <w:szCs w:val="16"/>
          <w:color w:val="6D6E71"/>
        </w:rPr>
        <w:t>Management Team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194310</wp:posOffset>
            </wp:positionV>
            <wp:extent cx="7157720" cy="4254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26" w:right="359" w:bottom="1440" w:gutter="0" w:footer="0" w:header="0"/>
          <w:type w:val="continuous"/>
        </w:sectPr>
      </w:pPr>
    </w:p>
    <w:bookmarkStart w:id="46" w:name="page47"/>
    <w:bookmarkEnd w:id="46"/>
    <w:p>
      <w:pPr>
        <w:ind w:left="880"/>
        <w:spacing w:after="0"/>
        <w:rPr>
          <w:sz w:val="20"/>
          <w:szCs w:val="20"/>
          <w:color w:val="auto"/>
        </w:rPr>
      </w:pPr>
      <w:r>
        <w:rPr>
          <w:rFonts w:ascii="Arial" w:cs="Arial" w:eastAsia="Arial" w:hAnsi="Arial"/>
          <w:sz w:val="16"/>
          <w:szCs w:val="16"/>
          <w:b w:val="1"/>
          <w:bCs w:val="1"/>
          <w:color w:val="0067B3"/>
        </w:rPr>
        <w:drawing>
          <wp:anchor simplePos="0" relativeHeight="251657728" behindDoc="1" locked="0" layoutInCell="0" allowOverlap="1">
            <wp:simplePos x="0" y="0"/>
            <wp:positionH relativeFrom="page">
              <wp:posOffset>208280</wp:posOffset>
            </wp:positionH>
            <wp:positionV relativeFrom="page">
              <wp:posOffset>774700</wp:posOffset>
            </wp:positionV>
            <wp:extent cx="7132320" cy="98552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7132320" cy="985520"/>
                    </a:xfrm>
                    <a:prstGeom prst="rect">
                      <a:avLst/>
                    </a:prstGeom>
                    <a:noFill/>
                  </pic:spPr>
                </pic:pic>
              </a:graphicData>
            </a:graphic>
          </wp:anchor>
        </w:drawing>
        <w:t xml:space="preserve">VIVEK JAIN, 66, </w:t>
      </w:r>
      <w:r>
        <w:rPr>
          <w:rFonts w:ascii="Arial" w:cs="Arial" w:eastAsia="Arial" w:hAnsi="Arial"/>
          <w:sz w:val="16"/>
          <w:szCs w:val="16"/>
          <w:color w:val="0067B3"/>
        </w:rPr>
        <w:t>Executive Vice President, Global Operations and Technology</w:t>
      </w:r>
    </w:p>
    <w:p>
      <w:pPr>
        <w:spacing w:after="0" w:line="73" w:lineRule="exact"/>
        <w:rPr>
          <w:sz w:val="20"/>
          <w:szCs w:val="20"/>
          <w:color w:val="auto"/>
        </w:rPr>
      </w:pPr>
    </w:p>
    <w:p>
      <w:pPr>
        <w:ind w:left="880" w:right="80"/>
        <w:spacing w:after="0" w:line="257" w:lineRule="auto"/>
        <w:rPr>
          <w:sz w:val="20"/>
          <w:szCs w:val="20"/>
          <w:color w:val="auto"/>
        </w:rPr>
      </w:pPr>
      <w:r>
        <w:rPr>
          <w:rFonts w:ascii="Arial" w:cs="Arial" w:eastAsia="Arial" w:hAnsi="Arial"/>
          <w:sz w:val="16"/>
          <w:szCs w:val="16"/>
          <w:color w:val="auto"/>
        </w:rPr>
        <w:t>Mr. Jain has served as our Executive Vice President of Global Operations and Technology since May 2022, where he is responsible for global manufacturing and supply chain operation, and previously served as our Senior Vice President of Global Operations and Technology from August 2021 to May 2022. Mr. Jain assumed this position following our acquisition of Maxim, where he served in a similar capacity as the Senior Vice President of the Technology and Manufacturing Group from June 2009 to August 2021. After joining Maxim in 2007 as Vice President of Fab Operations, Mr. Jain led the transformation of many aspects of Maxim’s manufacturing supply chain to make it more flexible, nimble, and resilient. Mr. Jain’s additional experience includes serving as a Plant Manager at Intel's Technology Development and Manufacturing facility, where he oversaw the process technology development and high-volume manufacturing of deep sub-micron logic and Flash memory technologies. Mr. Jain holds a Bachelor of Science degree in Chemical Engineering from the Indian Institute of Technology Delhi, a Master of Science degree in Chemical Engineering from Penn State University, and a Master’s degree in Electrical Engineering from Stanford University. He is also a 2014 graduate of the Stanford Graduate School of Business Executive Program.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73025</wp:posOffset>
            </wp:positionV>
            <wp:extent cx="7132320" cy="825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62" w:lineRule="exact"/>
        <w:rPr>
          <w:sz w:val="20"/>
          <w:szCs w:val="20"/>
          <w:color w:val="auto"/>
        </w:rPr>
      </w:pPr>
    </w:p>
    <w:p>
      <w:pPr>
        <w:ind w:left="880"/>
        <w:spacing w:after="0"/>
        <w:rPr>
          <w:sz w:val="20"/>
          <w:szCs w:val="20"/>
          <w:color w:val="auto"/>
        </w:rPr>
      </w:pPr>
      <w:r>
        <w:rPr>
          <w:rFonts w:ascii="Arial" w:cs="Arial" w:eastAsia="Arial" w:hAnsi="Arial"/>
          <w:sz w:val="16"/>
          <w:szCs w:val="16"/>
          <w:b w:val="1"/>
          <w:bCs w:val="1"/>
          <w:color w:val="0067B3"/>
        </w:rPr>
        <w:t xml:space="preserve">KATSU NAKAMURA, 60, </w:t>
      </w:r>
      <w:r>
        <w:rPr>
          <w:rFonts w:ascii="Arial" w:cs="Arial" w:eastAsia="Arial" w:hAnsi="Arial"/>
          <w:sz w:val="16"/>
          <w:szCs w:val="16"/>
          <w:color w:val="0067B3"/>
        </w:rPr>
        <w:t>Senior Vice President and Chief Customer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-697230</wp:posOffset>
            </wp:positionH>
            <wp:positionV relativeFrom="paragraph">
              <wp:posOffset>-55880</wp:posOffset>
            </wp:positionV>
            <wp:extent cx="951230" cy="951230"/>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951230" cy="951230"/>
                    </a:xfrm>
                    <a:prstGeom prst="rect">
                      <a:avLst/>
                    </a:prstGeom>
                    <a:noFill/>
                  </pic:spPr>
                </pic:pic>
              </a:graphicData>
            </a:graphic>
          </wp:anchor>
        </w:drawing>
      </w:r>
    </w:p>
    <w:p>
      <w:pPr>
        <w:spacing w:after="0" w:line="53" w:lineRule="exact"/>
        <w:rPr>
          <w:sz w:val="20"/>
          <w:szCs w:val="20"/>
          <w:color w:val="auto"/>
        </w:rPr>
      </w:pPr>
    </w:p>
    <w:p>
      <w:pPr>
        <w:ind w:left="880"/>
        <w:spacing w:after="0" w:line="255" w:lineRule="auto"/>
        <w:rPr>
          <w:sz w:val="20"/>
          <w:szCs w:val="20"/>
          <w:color w:val="auto"/>
        </w:rPr>
      </w:pPr>
      <w:r>
        <w:rPr>
          <w:rFonts w:ascii="Arial" w:cs="Arial" w:eastAsia="Arial" w:hAnsi="Arial"/>
          <w:sz w:val="16"/>
          <w:szCs w:val="16"/>
          <w:color w:val="auto"/>
        </w:rPr>
        <w:t>Dr. Nakamura has served as our Senior Vice President and Chief Customer Officer since November 2024 where he is responsible for ADI’s customer strategy, enabling frictionless delivery of ADI’s cutting-edge solutions to a diverse, global customer base, and delivering and capturing value for ADI’s technology. Dr. Nakamura oversees our global sales, marketing, and digital go-to-market, with a focus on delivering a superior end-to-end customer experience and expanding ADI’s selling strategies across channels and ecosystems. Dr. Nakamura joined ADI in 1994 as a design engineer, developing ADI’s early technologies in CMOS data converters for embedded applications. He subsequently led ADI’s technology development for digital imaging before assuming the role of the Product Line Director for ADI’s Consumer Product Group in 2011. He later became the leader for ADI’s Healthcare and Consumer technology strategy, and in 2019 was appointed to lead ADI’s sales and marketing in Japan before his appointment as Chief Customer Officer. Dr. Nakamura is an ADI Fellow, ADI’s highest engineering recognition for technological impact. Over his career, Dr. Nakamura has served as a committee member for several IEEE conferences, including the Symposium on VLSI Circuits and International Solid-State Circuits Conference, and is the past Editor of the IEEE Journal of Solid-State Circuits. He is currently on the Executive Committee of the Symposia on VLSI Technology and Circuits. Dr. Nakamura was a co-recipient of SRC Inventor’s Recognition Award in 1992 and holds several U.S. patents. He was also one of the finalists of the 2006 EE Times ACE Innovator of the Year Award and has been an IEEE Fellow since 2019. Dr. Nakamura received B.S., M.S., and Ph.D. degrees in Electrical and Computer Engineering from Carnegie Mellon University.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75565</wp:posOffset>
            </wp:positionV>
            <wp:extent cx="7132320" cy="985520"/>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7132320" cy="985520"/>
                    </a:xfrm>
                    <a:prstGeom prst="rect">
                      <a:avLst/>
                    </a:prstGeom>
                    <a:noFill/>
                  </pic:spPr>
                </pic:pic>
              </a:graphicData>
            </a:graphic>
          </wp:anchor>
        </w:drawing>
      </w:r>
    </w:p>
    <w:p>
      <w:pPr>
        <w:spacing w:after="0" w:line="166" w:lineRule="exact"/>
        <w:rPr>
          <w:sz w:val="20"/>
          <w:szCs w:val="20"/>
          <w:color w:val="auto"/>
        </w:rPr>
      </w:pPr>
    </w:p>
    <w:p>
      <w:pPr>
        <w:ind w:left="880"/>
        <w:spacing w:after="0"/>
        <w:rPr>
          <w:sz w:val="20"/>
          <w:szCs w:val="20"/>
          <w:color w:val="auto"/>
        </w:rPr>
      </w:pPr>
      <w:r>
        <w:rPr>
          <w:rFonts w:ascii="Arial" w:cs="Arial" w:eastAsia="Arial" w:hAnsi="Arial"/>
          <w:sz w:val="16"/>
          <w:szCs w:val="16"/>
          <w:b w:val="1"/>
          <w:bCs w:val="1"/>
          <w:color w:val="0067B3"/>
        </w:rPr>
        <w:t xml:space="preserve">ROB OSHANA, 65, </w:t>
      </w:r>
      <w:r>
        <w:rPr>
          <w:rFonts w:ascii="Arial" w:cs="Arial" w:eastAsia="Arial" w:hAnsi="Arial"/>
          <w:sz w:val="16"/>
          <w:szCs w:val="16"/>
          <w:color w:val="0067B3"/>
        </w:rPr>
        <w:t>Senior Vice President, Software and Digital Platforms Group</w:t>
      </w:r>
    </w:p>
    <w:p>
      <w:pPr>
        <w:spacing w:after="0" w:line="73" w:lineRule="exact"/>
        <w:rPr>
          <w:sz w:val="20"/>
          <w:szCs w:val="20"/>
          <w:color w:val="auto"/>
        </w:rPr>
      </w:pPr>
    </w:p>
    <w:p>
      <w:pPr>
        <w:ind w:left="880" w:right="20"/>
        <w:spacing w:after="0" w:line="256" w:lineRule="auto"/>
        <w:rPr>
          <w:sz w:val="20"/>
          <w:szCs w:val="20"/>
          <w:color w:val="auto"/>
        </w:rPr>
      </w:pPr>
      <w:r>
        <w:rPr>
          <w:rFonts w:ascii="Arial" w:cs="Arial" w:eastAsia="Arial" w:hAnsi="Arial"/>
          <w:sz w:val="16"/>
          <w:szCs w:val="16"/>
          <w:color w:val="auto"/>
        </w:rPr>
        <w:t>Mr. Oshana has served as our Senior Vice President of the Software and Digital Platforms group since November 2024 where he is responsible for leading and developing ADI’s embedded systems and application software strategy, as well as executing the digital and software roadmap. Prior to this role, he was the Senior Vice President of our Software and Security Group. Before joining ADI, Mr. Oshana served as the Vice President of Software Engineering Research and Development at NXP Semiconductors where he led software development and enablement for the company's Industrial, IoT, Networking, and Automotive Infotainment businesses. His more than 30 years of experience in software leadership also includes companies such as Texas Instruments, Raytheon, and Freescale. Mr. Oshana holds a Bachelor of Electrical Engineering degree from Worcester Polytechnic Institute, a Master of Electrical Engineering from the University of Texas at Arlington, a Master of Business Administration from the University of Dallas, and a PhD in Computer Science from Southern Methodist University (SMU). He is a Senior Member of IEEE and serves on the Corporate Advisory Boards for SMU and the University of Texas at Austin, where he is also an adjunct professor. Previously, he served on several research boards, including RISC-V International, Linaro, Design Automation Executive Committee and openHW Group.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73660</wp:posOffset>
            </wp:positionV>
            <wp:extent cx="7132320" cy="985520"/>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7132320" cy="985520"/>
                    </a:xfrm>
                    <a:prstGeom prst="rect">
                      <a:avLst/>
                    </a:prstGeom>
                    <a:noFill/>
                  </pic:spPr>
                </pic:pic>
              </a:graphicData>
            </a:graphic>
          </wp:anchor>
        </w:drawing>
      </w:r>
    </w:p>
    <w:p>
      <w:pPr>
        <w:spacing w:after="0" w:line="163" w:lineRule="exact"/>
        <w:rPr>
          <w:sz w:val="20"/>
          <w:szCs w:val="20"/>
          <w:color w:val="auto"/>
        </w:rPr>
      </w:pPr>
    </w:p>
    <w:p>
      <w:pPr>
        <w:ind w:left="880"/>
        <w:spacing w:after="0"/>
        <w:rPr>
          <w:sz w:val="20"/>
          <w:szCs w:val="20"/>
          <w:color w:val="auto"/>
        </w:rPr>
      </w:pPr>
      <w:r>
        <w:rPr>
          <w:rFonts w:ascii="Arial" w:cs="Arial" w:eastAsia="Arial" w:hAnsi="Arial"/>
          <w:sz w:val="16"/>
          <w:szCs w:val="16"/>
          <w:b w:val="1"/>
          <w:bCs w:val="1"/>
          <w:color w:val="0067B3"/>
        </w:rPr>
        <w:t xml:space="preserve">RICHARD C. PUCCIO, JR., 58, </w:t>
      </w:r>
      <w:r>
        <w:rPr>
          <w:rFonts w:ascii="Arial" w:cs="Arial" w:eastAsia="Arial" w:hAnsi="Arial"/>
          <w:sz w:val="16"/>
          <w:szCs w:val="16"/>
          <w:color w:val="0067B3"/>
        </w:rPr>
        <w:t>Executive Vice President and Chief Financial Officer</w:t>
      </w:r>
    </w:p>
    <w:p>
      <w:pPr>
        <w:spacing w:after="0" w:line="73" w:lineRule="exact"/>
        <w:rPr>
          <w:sz w:val="20"/>
          <w:szCs w:val="20"/>
          <w:color w:val="auto"/>
        </w:rPr>
      </w:pPr>
    </w:p>
    <w:p>
      <w:pPr>
        <w:ind w:left="880" w:right="40"/>
        <w:spacing w:after="0" w:line="256" w:lineRule="auto"/>
        <w:rPr>
          <w:sz w:val="20"/>
          <w:szCs w:val="20"/>
          <w:color w:val="auto"/>
        </w:rPr>
      </w:pPr>
      <w:r>
        <w:rPr>
          <w:rFonts w:ascii="Arial" w:cs="Arial" w:eastAsia="Arial" w:hAnsi="Arial"/>
          <w:sz w:val="16"/>
          <w:szCs w:val="16"/>
          <w:color w:val="auto"/>
        </w:rPr>
        <w:t>Mr. Puccio has served as our Executive Vice President and Chief Financial Officer (CFO) since February 2024 where he is responsible for setting ADI's financial strategy and leading our global finance operation. Before joining ADI, Mr. Puccio served as CFO of Amazon Web Services (AWS), an $88B revenue business, since 2021. There, he partnered with AWS's CEO to deliver revenue growth and profitability by leading and managing all short- and long-term strategic financial objectives, supporting the AWS executive team with key financial information and operational analytics, and driving performance and accountability. As CFO for AWS, Mr. Puccio partnered closely with the business to manage more than 200 fully featured services, including compute, storage, databases, robotics, machine learning and AI, Internet of Things (IoT), mobile, security, among many other technologies. Prior to AWS, Mr. Puccio started his career at PricewaterhouseCoopers (PwC) in 1990. He stepped away from PwC for two years to take on corporate finance roles with Hanover Insurance and Digital Equipment. He returned to PwC and was named Partner in 2000. During his 21 years as a Partner at PwC, Mr. Puccio primarily served clients in the global technology, semiconductor, and semiconductor capital equipment industries, and later led a large team supporting Dell. Mr. Puccio earned his AB in Economics from Harvard University and an MBA from Boston University.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73660</wp:posOffset>
            </wp:positionV>
            <wp:extent cx="7132320" cy="8890"/>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00"/>
          </w:cols>
          <w:pgMar w:left="1440" w:top="1286" w:right="359" w:bottom="1440" w:gutter="0" w:footer="0" w:header="0"/>
        </w:sectPr>
      </w:pPr>
    </w:p>
    <w:p>
      <w:pPr>
        <w:spacing w:after="0" w:line="200" w:lineRule="exact"/>
        <w:rPr>
          <w:sz w:val="20"/>
          <w:szCs w:val="20"/>
          <w:color w:val="auto"/>
        </w:rPr>
      </w:pPr>
    </w:p>
    <w:p>
      <w:pPr>
        <w:spacing w:after="0" w:line="378" w:lineRule="exact"/>
        <w:rPr>
          <w:sz w:val="20"/>
          <w:szCs w:val="20"/>
          <w:color w:val="auto"/>
        </w:rPr>
      </w:pPr>
    </w:p>
    <w:p>
      <w:pPr>
        <w:ind w:left="7860"/>
        <w:spacing w:after="0"/>
        <w:tabs>
          <w:tab w:leader="none" w:pos="9860" w:val="left"/>
        </w:tabs>
        <w:rPr>
          <w:sz w:val="20"/>
          <w:szCs w:val="20"/>
          <w:color w:val="auto"/>
        </w:rPr>
      </w:pPr>
      <w:r>
        <w:rPr>
          <w:rFonts w:ascii="Arial" w:cs="Arial" w:eastAsia="Arial" w:hAnsi="Arial"/>
          <w:sz w:val="16"/>
          <w:szCs w:val="16"/>
          <w:color w:val="0067B3"/>
        </w:rPr>
        <w:t>2026 Proxy Statement</w:t>
      </w:r>
      <w:r>
        <w:rPr>
          <w:sz w:val="20"/>
          <w:szCs w:val="20"/>
          <w:color w:val="auto"/>
        </w:rPr>
        <w:tab/>
      </w:r>
      <w:r>
        <w:rPr>
          <w:rFonts w:ascii="Arial" w:cs="Arial" w:eastAsia="Arial" w:hAnsi="Arial"/>
          <w:sz w:val="19"/>
          <w:szCs w:val="19"/>
          <w:b w:val="1"/>
          <w:bCs w:val="1"/>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223520</wp:posOffset>
            </wp:positionV>
            <wp:extent cx="7157720" cy="4254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00"/>
          </w:cols>
          <w:pgMar w:left="1440" w:top="1286" w:right="359" w:bottom="1440" w:gutter="0" w:footer="0" w:header="0"/>
          <w:type w:val="continuous"/>
        </w:sectPr>
      </w:pPr>
    </w:p>
    <w:bookmarkStart w:id="47" w:name="page48"/>
    <w:bookmarkEnd w:id="47"/>
    <w:p>
      <w:pPr>
        <w:ind w:left="1974"/>
        <w:spacing w:after="0"/>
        <w:rPr>
          <w:sz w:val="20"/>
          <w:szCs w:val="20"/>
          <w:color w:val="auto"/>
        </w:rPr>
      </w:pPr>
      <w:r>
        <w:rPr>
          <w:rFonts w:ascii="Arial" w:cs="Arial" w:eastAsia="Arial" w:hAnsi="Arial"/>
          <w:sz w:val="16"/>
          <w:szCs w:val="16"/>
          <w:b w:val="1"/>
          <w:bCs w:val="1"/>
          <w:color w:val="0067B3"/>
        </w:rPr>
        <w:drawing>
          <wp:anchor simplePos="0" relativeHeight="251657728" behindDoc="1" locked="0" layoutInCell="0" allowOverlap="1">
            <wp:simplePos x="0" y="0"/>
            <wp:positionH relativeFrom="page">
              <wp:posOffset>208280</wp:posOffset>
            </wp:positionH>
            <wp:positionV relativeFrom="page">
              <wp:posOffset>774700</wp:posOffset>
            </wp:positionV>
            <wp:extent cx="7132320" cy="985520"/>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7132320" cy="985520"/>
                    </a:xfrm>
                    <a:prstGeom prst="rect">
                      <a:avLst/>
                    </a:prstGeom>
                    <a:noFill/>
                  </pic:spPr>
                </pic:pic>
              </a:graphicData>
            </a:graphic>
          </wp:anchor>
        </w:drawing>
        <w:t xml:space="preserve">STEPHANIE SIDELKO, 41, </w:t>
      </w:r>
      <w:r>
        <w:rPr>
          <w:rFonts w:ascii="Arial" w:cs="Arial" w:eastAsia="Arial" w:hAnsi="Arial"/>
          <w:sz w:val="16"/>
          <w:szCs w:val="16"/>
          <w:color w:val="0067B3"/>
        </w:rPr>
        <w:t>Vice President, Head of Strategy and Chief of Staff to the Chief Executive Officer</w:t>
      </w:r>
    </w:p>
    <w:p>
      <w:pPr>
        <w:spacing w:after="0" w:line="73" w:lineRule="exact"/>
        <w:rPr>
          <w:sz w:val="20"/>
          <w:szCs w:val="20"/>
          <w:color w:val="auto"/>
        </w:rPr>
      </w:pPr>
    </w:p>
    <w:p>
      <w:pPr>
        <w:ind w:left="1974"/>
        <w:spacing w:after="0" w:line="256" w:lineRule="auto"/>
        <w:rPr>
          <w:sz w:val="20"/>
          <w:szCs w:val="20"/>
          <w:color w:val="auto"/>
        </w:rPr>
      </w:pPr>
      <w:r>
        <w:rPr>
          <w:rFonts w:ascii="Arial" w:cs="Arial" w:eastAsia="Arial" w:hAnsi="Arial"/>
          <w:sz w:val="16"/>
          <w:szCs w:val="16"/>
          <w:color w:val="auto"/>
        </w:rPr>
        <w:t>Ms. Sidelko has served as our Vice President, Head of Strategy since November 2022 and Chief of Staff to the Chief Executive Officer since November 2021. She guides ADI’s vision and strategy, positioning the company to maximize its potential impact for all stakeholders. In this role, she is responsible for optimizing and strengthening operational execution, M&amp;A strategy, and ESG objectives across the business. She drives alignment on cross-functional enterprise initiatives which enable ADI’s continued competitive advantages, value creation, and acceleration of human breakthroughs. Ms. Sidelko has more than 15 years of experience across engineering, corporate finance, and business strategy, and has held multiple leadership roles across the organization since joining ADI in 2019. As Treasurer, she was responsible for treasury and M&amp;A, playing an integral part in the acquisition of Maxim and leading the issuance of the semiconductor industry’s inaugural green bond financing to fund ADI’s ESG initiatives. Most recently, she was CFO for the Automotive, Communications, and Aerospace Business Units. Additionally, Ms. Sidelko served as President of the Analog Devices Foundation from its founding. Her prior experience includes more than a decade of investment and corporate banking focused on the technology sector at JPMorgan Chase and Deutsche Bank. She holds a Bachelor of Science in mechanical engineering from the Massachusetts Institute of Technology.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73660</wp:posOffset>
            </wp:positionV>
            <wp:extent cx="7132320" cy="825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63" w:lineRule="exact"/>
        <w:rPr>
          <w:sz w:val="20"/>
          <w:szCs w:val="20"/>
          <w:color w:val="auto"/>
        </w:rPr>
      </w:pPr>
    </w:p>
    <w:p>
      <w:pPr>
        <w:ind w:left="1974"/>
        <w:spacing w:after="0"/>
        <w:rPr>
          <w:sz w:val="20"/>
          <w:szCs w:val="20"/>
          <w:color w:val="auto"/>
        </w:rPr>
      </w:pPr>
      <w:r>
        <w:rPr>
          <w:rFonts w:ascii="Arial" w:cs="Arial" w:eastAsia="Arial" w:hAnsi="Arial"/>
          <w:sz w:val="16"/>
          <w:szCs w:val="16"/>
          <w:b w:val="1"/>
          <w:bCs w:val="1"/>
          <w:color w:val="0067B3"/>
        </w:rPr>
        <w:t xml:space="preserve">MARIYA TRICKETT, 43, </w:t>
      </w:r>
      <w:r>
        <w:rPr>
          <w:rFonts w:ascii="Arial" w:cs="Arial" w:eastAsia="Arial" w:hAnsi="Arial"/>
          <w:sz w:val="16"/>
          <w:szCs w:val="16"/>
          <w:color w:val="0067B3"/>
        </w:rPr>
        <w:t>Senior Vice President and Chief People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-107315</wp:posOffset>
            </wp:positionV>
            <wp:extent cx="951230" cy="951230"/>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951230" cy="951230"/>
                    </a:xfrm>
                    <a:prstGeom prst="rect">
                      <a:avLst/>
                    </a:prstGeom>
                    <a:noFill/>
                  </pic:spPr>
                </pic:pic>
              </a:graphicData>
            </a:graphic>
          </wp:anchor>
        </w:drawing>
      </w:r>
    </w:p>
    <w:p>
      <w:pPr>
        <w:spacing w:after="0" w:line="53" w:lineRule="exact"/>
        <w:rPr>
          <w:sz w:val="20"/>
          <w:szCs w:val="20"/>
          <w:color w:val="auto"/>
        </w:rPr>
      </w:pPr>
    </w:p>
    <w:p>
      <w:pPr>
        <w:ind w:left="1974"/>
        <w:spacing w:after="0" w:line="255" w:lineRule="auto"/>
        <w:rPr>
          <w:sz w:val="20"/>
          <w:szCs w:val="20"/>
          <w:color w:val="auto"/>
        </w:rPr>
      </w:pPr>
      <w:r>
        <w:rPr>
          <w:rFonts w:ascii="Arial" w:cs="Arial" w:eastAsia="Arial" w:hAnsi="Arial"/>
          <w:sz w:val="16"/>
          <w:szCs w:val="16"/>
          <w:color w:val="auto"/>
        </w:rPr>
        <w:t>Ms. Trickett has served as our Senior Vice President and Chief People Officer since May 2022. Ms. Trickett is responsible for supporting ADI’s growth and evolution, driving best practices across all aspects of human resources. In this role, she leads the human resources and talent functions, including employee engagement, talent acquisition, talent management, learning and development, total rewards, succession planning, and organizational development. For nearly 20 years, Ms. Trickett has successfully led business and cultural transformations across a wide range of organizations. She has extensive experience building global high-performance companies focused on innovation, agility, and customer-centricity across technology, software, R&amp;D, manufacturing, and services. From September 2018 to April 2022, Ms. Trickett was Senior Vice President and Chief Human Resources Officer at Aptiv, PLC, an industrial-tech company with over 180,000 employees, spanning 44 countries and 221 sites. Prior to Aptiv, she was Senior Vice President of Human Resources at Dana Incorporated, a drive train and EV supplier with more than 35,000 employees. Ms. Trickett holds a Bachelor of Science degree in history and law from Kirovograd State University in Ukraine and a Master of Science degree in Human Resource Management from Temple University in Philadelphia. She is also a graduate of the Advanced Management Program at the University of Navarra’s IESE Business School in Barcelona.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199390</wp:posOffset>
            </wp:positionV>
            <wp:extent cx="7132320" cy="8890"/>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614" w:hanging="614"/>
        <w:spacing w:after="0"/>
        <w:tabs>
          <w:tab w:leader="none" w:pos="614" w:val="left"/>
        </w:tabs>
        <w:numPr>
          <w:ilvl w:val="0"/>
          <w:numId w:val="76"/>
        </w:numPr>
        <w:rPr>
          <w:rFonts w:ascii="Arial" w:cs="Arial" w:eastAsia="Arial" w:hAnsi="Arial"/>
          <w:sz w:val="20"/>
          <w:szCs w:val="20"/>
          <w:b w:val="1"/>
          <w:bCs w:val="1"/>
          <w:color w:val="auto"/>
        </w:rPr>
      </w:pPr>
      <w:r>
        <w:rPr>
          <w:rFonts w:ascii="Arial" w:cs="Arial" w:eastAsia="Arial" w:hAnsi="Arial"/>
          <w:sz w:val="16"/>
          <w:szCs w:val="16"/>
          <w:color w:val="6D6E71"/>
        </w:rPr>
        <w:t>Management Team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-23495</wp:posOffset>
            </wp:positionH>
            <wp:positionV relativeFrom="paragraph">
              <wp:posOffset>186055</wp:posOffset>
            </wp:positionV>
            <wp:extent cx="7157720" cy="4254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74"/>
          </w:cols>
          <w:pgMar w:left="346" w:top="1286" w:right="379" w:bottom="1440" w:gutter="0" w:footer="0" w:header="0"/>
        </w:sectPr>
      </w:pPr>
    </w:p>
    <w:bookmarkStart w:id="48" w:name="page49"/>
    <w:bookmarkEnd w:id="48"/>
    <w:p>
      <w:pPr>
        <w:spacing w:after="0"/>
        <w:rPr>
          <w:sz w:val="20"/>
          <w:szCs w:val="20"/>
          <w:color w:val="auto"/>
        </w:rPr>
      </w:pPr>
      <w:r>
        <w:rPr>
          <w:rFonts w:ascii="Arial" w:cs="Arial" w:eastAsia="Arial" w:hAnsi="Arial"/>
          <w:sz w:val="58"/>
          <w:szCs w:val="58"/>
          <w:color w:val="auto"/>
        </w:rPr>
        <w:t>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347345</wp:posOffset>
            </wp:positionV>
            <wp:extent cx="7132320" cy="690943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7132320" cy="69094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220"/>
        <w:spacing w:after="0"/>
        <w:rPr>
          <w:sz w:val="20"/>
          <w:szCs w:val="20"/>
          <w:color w:val="auto"/>
        </w:rPr>
      </w:pPr>
      <w:r>
        <w:rPr>
          <w:rFonts w:ascii="Arial" w:cs="Arial" w:eastAsia="Arial" w:hAnsi="Arial"/>
          <w:sz w:val="18"/>
          <w:szCs w:val="18"/>
          <w:b w:val="1"/>
          <w:bCs w:val="1"/>
          <w:color w:val="0067B3"/>
        </w:rPr>
        <w:t>PROPOSAL 2</w:t>
      </w:r>
    </w:p>
    <w:p>
      <w:pPr>
        <w:spacing w:after="0" w:line="106" w:lineRule="exact"/>
        <w:rPr>
          <w:sz w:val="20"/>
          <w:szCs w:val="20"/>
          <w:color w:val="auto"/>
        </w:rPr>
      </w:pPr>
    </w:p>
    <w:p>
      <w:pPr>
        <w:ind w:left="220" w:right="740"/>
        <w:spacing w:after="0" w:line="307" w:lineRule="auto"/>
        <w:rPr>
          <w:sz w:val="20"/>
          <w:szCs w:val="20"/>
          <w:color w:val="auto"/>
        </w:rPr>
      </w:pPr>
      <w:r>
        <w:rPr>
          <w:rFonts w:ascii="Arial" w:cs="Arial" w:eastAsia="Arial" w:hAnsi="Arial"/>
          <w:sz w:val="32"/>
          <w:szCs w:val="32"/>
          <w:b w:val="1"/>
          <w:bCs w:val="1"/>
          <w:color w:val="auto"/>
        </w:rPr>
        <w:t>Advisory Approval of the Compensation of ADI’s Named Executive Officers</w:t>
      </w:r>
    </w:p>
    <w:p>
      <w:pPr>
        <w:spacing w:after="0" w:line="177" w:lineRule="exact"/>
        <w:rPr>
          <w:sz w:val="20"/>
          <w:szCs w:val="20"/>
          <w:color w:val="auto"/>
        </w:rPr>
      </w:pPr>
    </w:p>
    <w:p>
      <w:pPr>
        <w:ind w:left="220" w:right="300"/>
        <w:spacing w:after="0" w:line="256" w:lineRule="auto"/>
        <w:rPr>
          <w:sz w:val="20"/>
          <w:szCs w:val="20"/>
          <w:color w:val="auto"/>
        </w:rPr>
      </w:pPr>
      <w:r>
        <w:rPr>
          <w:rFonts w:ascii="Arial" w:cs="Arial" w:eastAsia="Arial" w:hAnsi="Arial"/>
          <w:sz w:val="18"/>
          <w:szCs w:val="18"/>
          <w:color w:val="auto"/>
        </w:rPr>
        <w:t xml:space="preserve">We are requesting shareholder approval of the compensation of the executive officers named in our </w:t>
      </w:r>
      <w:r>
        <w:rPr>
          <w:rFonts w:ascii="Arial" w:cs="Arial" w:eastAsia="Arial" w:hAnsi="Arial"/>
          <w:sz w:val="18"/>
          <w:szCs w:val="18"/>
          <w:i w:val="1"/>
          <w:iCs w:val="1"/>
          <w:color w:val="auto"/>
        </w:rPr>
        <w:t>Summary Compensation Table</w:t>
      </w:r>
      <w:r>
        <w:rPr>
          <w:rFonts w:ascii="Arial" w:cs="Arial" w:eastAsia="Arial" w:hAnsi="Arial"/>
          <w:sz w:val="18"/>
          <w:szCs w:val="18"/>
          <w:color w:val="auto"/>
        </w:rPr>
        <w:t xml:space="preserve"> below, who we refer to as our NEOs. We are required to provide our shareholders with the opportunity to vote to approve, on an advisory (non-binding) basis, the compensation of our NEOs as disclosed in this Proxy Statement in accordance with the SEC’s rules. At the 2023 annual meeting of shareholders, our shareholders voted in favor of holding future “say-on-pay” votes every year. In accordance with the results of that vote, our Board of Directors determined to submit “say-on-pay” proposals to our shareholders every year until the next vote on the preferred frequency of advisory votes on the compensation of our NEOs, which will occur at the 2029 annual meeting of shareholders.</w:t>
      </w:r>
    </w:p>
    <w:p>
      <w:pPr>
        <w:spacing w:after="0" w:line="75" w:lineRule="exact"/>
        <w:rPr>
          <w:sz w:val="20"/>
          <w:szCs w:val="20"/>
          <w:color w:val="auto"/>
        </w:rPr>
      </w:pPr>
    </w:p>
    <w:p>
      <w:pPr>
        <w:ind w:left="220"/>
        <w:spacing w:after="0"/>
        <w:rPr>
          <w:sz w:val="20"/>
          <w:szCs w:val="20"/>
          <w:color w:val="auto"/>
        </w:rPr>
      </w:pPr>
      <w:r>
        <w:rPr>
          <w:rFonts w:ascii="Arial" w:cs="Arial" w:eastAsia="Arial" w:hAnsi="Arial"/>
          <w:sz w:val="18"/>
          <w:szCs w:val="18"/>
          <w:color w:val="auto"/>
        </w:rPr>
        <w:t>Our Board of Directors is asking shareholders to approve the following non-binding advisory vote:</w:t>
      </w:r>
    </w:p>
    <w:p>
      <w:pPr>
        <w:spacing w:after="0" w:line="117" w:lineRule="exact"/>
        <w:rPr>
          <w:sz w:val="20"/>
          <w:szCs w:val="20"/>
          <w:color w:val="auto"/>
        </w:rPr>
      </w:pPr>
    </w:p>
    <w:p>
      <w:pPr>
        <w:ind w:left="220" w:right="420"/>
        <w:spacing w:after="0" w:line="273" w:lineRule="auto"/>
        <w:rPr>
          <w:sz w:val="20"/>
          <w:szCs w:val="20"/>
          <w:color w:val="auto"/>
        </w:rPr>
      </w:pPr>
      <w:r>
        <w:rPr>
          <w:rFonts w:ascii="Arial" w:cs="Arial" w:eastAsia="Arial" w:hAnsi="Arial"/>
          <w:sz w:val="18"/>
          <w:szCs w:val="18"/>
          <w:b w:val="1"/>
          <w:bCs w:val="1"/>
          <w:color w:val="auto"/>
        </w:rPr>
        <w:t>VOTED, that the compensation paid to the company’s NEOs, as disclosed pursuant to Item 402 of Regulation S-K, including the Compensation Discussion and Analysis, compensation tables, and accompanying narrative disclosures in this Proxy Statement, is hereby approved.</w:t>
      </w:r>
    </w:p>
    <w:p>
      <w:pPr>
        <w:spacing w:after="0" w:line="50" w:lineRule="exact"/>
        <w:rPr>
          <w:sz w:val="20"/>
          <w:szCs w:val="20"/>
          <w:color w:val="auto"/>
        </w:rPr>
      </w:pPr>
    </w:p>
    <w:p>
      <w:pPr>
        <w:ind w:left="220" w:right="200"/>
        <w:spacing w:after="0" w:line="255" w:lineRule="auto"/>
        <w:rPr>
          <w:sz w:val="20"/>
          <w:szCs w:val="20"/>
          <w:color w:val="auto"/>
        </w:rPr>
      </w:pPr>
      <w:r>
        <w:rPr>
          <w:rFonts w:ascii="Arial" w:cs="Arial" w:eastAsia="Arial" w:hAnsi="Arial"/>
          <w:sz w:val="18"/>
          <w:szCs w:val="18"/>
          <w:color w:val="auto"/>
        </w:rPr>
        <w:t xml:space="preserve">As required by Section 14A of the Exchange Act, this is an advisory vote, which means that this proposal is not binding on us. Our Compensation and Talent Committee, however, values the opinions expressed by our shareholders and will carefully consider the outcome of the vote when making future compensation decisions for our NEOs. You may vote for, against, or abstain from voting on this matter. At our 2025 Annual Meeting, our compensation program for our NEOs received the support of approximately 90.1% of the total votes cast. Given the positive feedback we heard and in light of our say-on-pay vote receiving the support from holders of a significant majority of our outstanding shares, the Compensation and Talent Committee determined not to make significant changes to the overall design and framework of our executive compensation programs in fiscal year 2025. For additional information about the feedback we received from shareholders and the actions we took in response, please see the </w:t>
      </w:r>
      <w:r>
        <w:rPr>
          <w:rFonts w:ascii="Arial" w:cs="Arial" w:eastAsia="Arial" w:hAnsi="Arial"/>
          <w:sz w:val="18"/>
          <w:szCs w:val="18"/>
          <w:i w:val="1"/>
          <w:iCs w:val="1"/>
          <w:color w:val="auto"/>
        </w:rPr>
        <w:t>Shareholder Engagement</w:t>
      </w:r>
      <w:r>
        <w:rPr>
          <w:rFonts w:ascii="Arial" w:cs="Arial" w:eastAsia="Arial" w:hAnsi="Arial"/>
          <w:sz w:val="18"/>
          <w:szCs w:val="18"/>
          <w:color w:val="auto"/>
        </w:rPr>
        <w:t xml:space="preserve"> section beginning on page 31 of this Proxy Statement.</w:t>
      </w:r>
    </w:p>
    <w:p>
      <w:pPr>
        <w:spacing w:after="0" w:line="73" w:lineRule="exact"/>
        <w:rPr>
          <w:sz w:val="20"/>
          <w:szCs w:val="20"/>
          <w:color w:val="auto"/>
        </w:rPr>
      </w:pPr>
    </w:p>
    <w:p>
      <w:pPr>
        <w:ind w:left="220" w:right="240"/>
        <w:spacing w:after="0" w:line="259" w:lineRule="auto"/>
        <w:rPr>
          <w:sz w:val="20"/>
          <w:szCs w:val="20"/>
          <w:color w:val="auto"/>
        </w:rPr>
      </w:pPr>
      <w:r>
        <w:rPr>
          <w:rFonts w:ascii="Arial" w:cs="Arial" w:eastAsia="Arial" w:hAnsi="Arial"/>
          <w:sz w:val="18"/>
          <w:szCs w:val="18"/>
          <w:color w:val="auto"/>
        </w:rPr>
        <w:t xml:space="preserve">As described in detail in the </w:t>
      </w:r>
      <w:r>
        <w:rPr>
          <w:rFonts w:ascii="Arial" w:cs="Arial" w:eastAsia="Arial" w:hAnsi="Arial"/>
          <w:sz w:val="18"/>
          <w:szCs w:val="18"/>
          <w:i w:val="1"/>
          <w:iCs w:val="1"/>
          <w:color w:val="auto"/>
        </w:rPr>
        <w:t>Compensation Discussion and Analysis</w:t>
      </w:r>
      <w:r>
        <w:rPr>
          <w:rFonts w:ascii="Arial" w:cs="Arial" w:eastAsia="Arial" w:hAnsi="Arial"/>
          <w:sz w:val="18"/>
          <w:szCs w:val="18"/>
          <w:color w:val="auto"/>
        </w:rPr>
        <w:t xml:space="preserve"> section of this Proxy Statement, ADI’s executive compensation programs are significantly performance-based and designed to attract, retain, and motivate high caliber executives to lead our complex, global organization and to align their interests with those of our shareholders. We seek to provide total compensation to our executive officers, including our NEOs, that is competitive with our peers, and we believe that our executive compensation program is designed to encourage the most talented individuals to grow their careers at ADI.</w:t>
      </w:r>
    </w:p>
    <w:p>
      <w:pPr>
        <w:spacing w:after="0" w:line="71" w:lineRule="exact"/>
        <w:rPr>
          <w:sz w:val="20"/>
          <w:szCs w:val="20"/>
          <w:color w:val="auto"/>
        </w:rPr>
      </w:pPr>
    </w:p>
    <w:p>
      <w:pPr>
        <w:ind w:left="220" w:right="280"/>
        <w:spacing w:after="0" w:line="257" w:lineRule="auto"/>
        <w:rPr>
          <w:sz w:val="20"/>
          <w:szCs w:val="20"/>
          <w:color w:val="auto"/>
        </w:rPr>
      </w:pPr>
      <w:r>
        <w:rPr>
          <w:rFonts w:ascii="Arial" w:cs="Arial" w:eastAsia="Arial" w:hAnsi="Arial"/>
          <w:sz w:val="18"/>
          <w:szCs w:val="18"/>
          <w:color w:val="auto"/>
        </w:rPr>
        <w:t>ADI has a longstanding philosophy and practice of pay for performance. In order to align our pay practices with shareholder interests, we tie a significant percentage of each executive’s compensation to ADI’s performance, in the form of executive performance incentive plan payments and equity awards that are subject to performance vesting and rise in value only if our stock price increases. For fiscal year 2025 the variable cash incentive payout factor under our executive performance incentive plan was approximately 161% of target, compared to approximately 27% for fiscal year 2024 and approximately 182% for the fiscal year ended October 29, 2023 (fiscal year 2023).</w:t>
      </w:r>
    </w:p>
    <w:p>
      <w:pPr>
        <w:spacing w:after="0" w:line="74" w:lineRule="exact"/>
        <w:rPr>
          <w:sz w:val="20"/>
          <w:szCs w:val="20"/>
          <w:color w:val="auto"/>
        </w:rPr>
      </w:pPr>
    </w:p>
    <w:p>
      <w:pPr>
        <w:ind w:left="220" w:right="1320"/>
        <w:spacing w:after="0" w:line="287" w:lineRule="auto"/>
        <w:rPr>
          <w:sz w:val="20"/>
          <w:szCs w:val="20"/>
          <w:color w:val="auto"/>
        </w:rPr>
      </w:pPr>
      <w:r>
        <w:rPr>
          <w:rFonts w:ascii="Arial" w:cs="Arial" w:eastAsia="Arial" w:hAnsi="Arial"/>
          <w:sz w:val="18"/>
          <w:szCs w:val="18"/>
          <w:color w:val="auto"/>
        </w:rPr>
        <w:t>We believe that our executive compensation programs are working as intended and appropriately align executive pay with company performance and shareholder value creation.</w:t>
      </w:r>
    </w:p>
    <w:p>
      <w:pPr>
        <w:spacing w:after="0" w:line="48" w:lineRule="exact"/>
        <w:rPr>
          <w:sz w:val="20"/>
          <w:szCs w:val="20"/>
          <w:color w:val="auto"/>
        </w:rPr>
      </w:pPr>
    </w:p>
    <w:p>
      <w:pPr>
        <w:ind w:left="220" w:right="1900"/>
        <w:spacing w:after="0" w:line="274" w:lineRule="auto"/>
        <w:rPr>
          <w:sz w:val="20"/>
          <w:szCs w:val="20"/>
          <w:color w:val="auto"/>
        </w:rPr>
      </w:pPr>
      <w:r>
        <w:rPr>
          <w:rFonts w:ascii="Arial" w:cs="Arial" w:eastAsia="Arial" w:hAnsi="Arial"/>
          <w:sz w:val="27"/>
          <w:szCs w:val="27"/>
          <w:b w:val="1"/>
          <w:bCs w:val="1"/>
          <w:color w:val="0067B3"/>
        </w:rPr>
        <w:t>Our Board of Directors recommends that you vote FOR approval of the compensation of our named executive officers as disclosed in this Proxy Statement.</w:t>
      </w:r>
    </w:p>
    <w:p>
      <w:pPr>
        <w:sectPr>
          <w:pgSz w:w="11900" w:h="16838" w:orient="portrait"/>
          <w:cols w:equalWidth="0" w:num="1">
            <w:col w:w="11220"/>
          </w:cols>
          <w:pgMar w:left="320" w:top="1126"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ind w:left="8980"/>
        <w:spacing w:after="0"/>
        <w:tabs>
          <w:tab w:leader="none" w:pos="10980" w:val="left"/>
        </w:tabs>
        <w:rPr>
          <w:sz w:val="20"/>
          <w:szCs w:val="20"/>
          <w:color w:val="auto"/>
        </w:rPr>
      </w:pPr>
      <w:r>
        <w:rPr>
          <w:rFonts w:ascii="Arial" w:cs="Arial" w:eastAsia="Arial" w:hAnsi="Arial"/>
          <w:sz w:val="16"/>
          <w:szCs w:val="16"/>
          <w:color w:val="0067B3"/>
        </w:rPr>
        <w:t>2026 Proxy Statement</w:t>
      </w:r>
      <w:r>
        <w:rPr>
          <w:sz w:val="20"/>
          <w:szCs w:val="20"/>
          <w:color w:val="auto"/>
        </w:rPr>
        <w:tab/>
      </w:r>
      <w:r>
        <w:rPr>
          <w:rFonts w:ascii="Arial" w:cs="Arial" w:eastAsia="Arial" w:hAnsi="Arial"/>
          <w:sz w:val="19"/>
          <w:szCs w:val="19"/>
          <w:b w:val="1"/>
          <w:bCs w:val="1"/>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223520</wp:posOffset>
            </wp:positionV>
            <wp:extent cx="7157720" cy="4254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26" w:right="359" w:bottom="1440" w:gutter="0" w:footer="0" w:header="0"/>
          <w:type w:val="continuous"/>
        </w:sectPr>
      </w:pPr>
    </w:p>
    <w:bookmarkStart w:id="49" w:name="page50"/>
    <w:bookmarkEnd w:id="49"/>
    <w:p>
      <w:pPr>
        <w:spacing w:after="0"/>
        <w:rPr>
          <w:sz w:val="20"/>
          <w:szCs w:val="20"/>
          <w:color w:val="auto"/>
        </w:rPr>
      </w:pPr>
      <w:r>
        <w:rPr>
          <w:rFonts w:ascii="Arial" w:cs="Arial" w:eastAsia="Arial" w:hAnsi="Arial"/>
          <w:sz w:val="41"/>
          <w:szCs w:val="41"/>
          <w:b w:val="1"/>
          <w:bCs w:val="1"/>
          <w:color w:val="0067B3"/>
        </w:rPr>
        <w:t>Compensation Discussion and Analysis</w:t>
      </w:r>
    </w:p>
    <w:p>
      <w:pPr>
        <w:spacing w:after="0" w:line="169" w:lineRule="exact"/>
        <w:rPr>
          <w:sz w:val="20"/>
          <w:szCs w:val="20"/>
          <w:color w:val="auto"/>
        </w:rPr>
      </w:pPr>
    </w:p>
    <w:p>
      <w:pPr>
        <w:ind w:right="60"/>
        <w:spacing w:after="0" w:line="262" w:lineRule="auto"/>
        <w:rPr>
          <w:sz w:val="20"/>
          <w:szCs w:val="20"/>
          <w:color w:val="auto"/>
        </w:rPr>
      </w:pPr>
      <w:r>
        <w:rPr>
          <w:rFonts w:ascii="Arial" w:cs="Arial" w:eastAsia="Arial" w:hAnsi="Arial"/>
          <w:sz w:val="18"/>
          <w:szCs w:val="18"/>
          <w:color w:val="auto"/>
        </w:rPr>
        <w:t>This Compensation Discussion and Analysis (CD&amp;A) describes our fiscal year 2025 executive compensation philosophies, goals, and program design, including the Compensation and Talent Committee’s process for determining compensation, the various components of pay, and how our fiscal year 2025 financial results affected performance-based compensation. As used in this Proxy Statement, NEOs refers to the individuals shown below who served as executive officers during fiscal year 2025.</w:t>
      </w:r>
    </w:p>
    <w:p>
      <w:pPr>
        <w:spacing w:after="0" w:line="94" w:lineRule="exact"/>
        <w:rPr>
          <w:sz w:val="20"/>
          <w:szCs w:val="20"/>
          <w:color w:val="auto"/>
        </w:rPr>
      </w:pPr>
    </w:p>
    <w:tbl>
      <w:tblPr>
        <w:tblLayout w:type="fixed"/>
        <w:tblInd w:w="10" w:type="dxa"/>
        <w:tblCellMar>
          <w:top w:w="0" w:type="dxa"/>
          <w:left w:w="0" w:type="dxa"/>
          <w:bottom w:w="0" w:type="dxa"/>
          <w:right w:w="0" w:type="dxa"/>
        </w:tblCellMar>
      </w:tblPr>
      <w:tr>
        <w:trPr>
          <w:trHeight w:val="1526"/>
        </w:trPr>
        <w:tc>
          <w:tcPr>
            <w:tcW w:w="2260" w:type="dxa"/>
            <w:vAlign w:val="bottom"/>
            <w:tcBorders>
              <w:top w:val="single" w:sz="8" w:color="0067B3"/>
              <w:left w:val="single" w:sz="8" w:color="E2E6F4"/>
              <w:right w:val="single" w:sz="8" w:color="E2E6F4"/>
            </w:tcBorders>
            <w:shd w:val="clear" w:color="auto" w:fill="E2E6F4"/>
          </w:tcPr>
          <w:p>
            <w:pPr>
              <w:spacing w:after="0"/>
              <w:rPr>
                <w:sz w:val="24"/>
                <w:szCs w:val="24"/>
                <w:color w:val="auto"/>
              </w:rPr>
            </w:pPr>
          </w:p>
        </w:tc>
        <w:tc>
          <w:tcPr>
            <w:tcW w:w="2240" w:type="dxa"/>
            <w:vAlign w:val="bottom"/>
            <w:tcBorders>
              <w:top w:val="single" w:sz="8" w:color="0067B3"/>
              <w:right w:val="single" w:sz="8" w:color="E2E6F4"/>
            </w:tcBorders>
            <w:shd w:val="clear" w:color="auto" w:fill="E2E6F4"/>
          </w:tcPr>
          <w:p>
            <w:pPr>
              <w:spacing w:after="0"/>
              <w:rPr>
                <w:sz w:val="24"/>
                <w:szCs w:val="24"/>
                <w:color w:val="auto"/>
              </w:rPr>
            </w:pPr>
          </w:p>
        </w:tc>
        <w:tc>
          <w:tcPr>
            <w:tcW w:w="2260" w:type="dxa"/>
            <w:vAlign w:val="bottom"/>
            <w:tcBorders>
              <w:top w:val="single" w:sz="8" w:color="0067B3"/>
              <w:right w:val="single" w:sz="8" w:color="E2E6F4"/>
            </w:tcBorders>
            <w:shd w:val="clear" w:color="auto" w:fill="E2E6F4"/>
          </w:tcPr>
          <w:p>
            <w:pPr>
              <w:spacing w:after="0"/>
              <w:rPr>
                <w:sz w:val="24"/>
                <w:szCs w:val="24"/>
                <w:color w:val="auto"/>
              </w:rPr>
            </w:pPr>
          </w:p>
        </w:tc>
        <w:tc>
          <w:tcPr>
            <w:tcW w:w="2240" w:type="dxa"/>
            <w:vAlign w:val="bottom"/>
            <w:tcBorders>
              <w:top w:val="single" w:sz="8" w:color="0067B3"/>
              <w:right w:val="single" w:sz="8" w:color="E2E6F4"/>
            </w:tcBorders>
            <w:shd w:val="clear" w:color="auto" w:fill="E2E6F4"/>
          </w:tcPr>
          <w:p>
            <w:pPr>
              <w:spacing w:after="0"/>
              <w:rPr>
                <w:sz w:val="24"/>
                <w:szCs w:val="24"/>
                <w:color w:val="auto"/>
              </w:rPr>
            </w:pPr>
          </w:p>
        </w:tc>
        <w:tc>
          <w:tcPr>
            <w:tcW w:w="2260" w:type="dxa"/>
            <w:vAlign w:val="bottom"/>
            <w:tcBorders>
              <w:top w:val="single" w:sz="8" w:color="0067B3"/>
              <w:right w:val="single" w:sz="8" w:color="0067B3"/>
            </w:tcBorders>
            <w:shd w:val="clear" w:color="auto" w:fill="E2E6F4"/>
          </w:tcPr>
          <w:p>
            <w:pPr>
              <w:spacing w:after="0"/>
              <w:rPr>
                <w:sz w:val="24"/>
                <w:szCs w:val="24"/>
                <w:color w:val="auto"/>
              </w:rPr>
            </w:pPr>
          </w:p>
        </w:tc>
      </w:tr>
      <w:tr>
        <w:trPr>
          <w:trHeight w:val="363"/>
        </w:trPr>
        <w:tc>
          <w:tcPr>
            <w:tcW w:w="2260" w:type="dxa"/>
            <w:vAlign w:val="bottom"/>
            <w:tcBorders>
              <w:left w:val="single" w:sz="8" w:color="0067B3"/>
              <w:right w:val="single" w:sz="8" w:color="0067B3"/>
            </w:tcBorders>
          </w:tcPr>
          <w:p>
            <w:pPr>
              <w:jc w:val="center"/>
              <w:spacing w:after="0"/>
              <w:rPr>
                <w:sz w:val="20"/>
                <w:szCs w:val="20"/>
                <w:color w:val="auto"/>
              </w:rPr>
            </w:pPr>
            <w:r>
              <w:rPr>
                <w:rFonts w:ascii="Arial" w:cs="Arial" w:eastAsia="Arial" w:hAnsi="Arial"/>
                <w:sz w:val="18"/>
                <w:szCs w:val="18"/>
                <w:b w:val="1"/>
                <w:bCs w:val="1"/>
                <w:color w:val="0067B3"/>
              </w:rPr>
              <w:t>VINCENT ROCHE</w:t>
            </w:r>
          </w:p>
        </w:tc>
        <w:tc>
          <w:tcPr>
            <w:tcW w:w="2240" w:type="dxa"/>
            <w:vAlign w:val="bottom"/>
            <w:tcBorders>
              <w:right w:val="single" w:sz="8" w:color="0067B3"/>
            </w:tcBorders>
          </w:tcPr>
          <w:p>
            <w:pPr>
              <w:jc w:val="center"/>
              <w:spacing w:after="0"/>
              <w:rPr>
                <w:sz w:val="20"/>
                <w:szCs w:val="20"/>
                <w:color w:val="auto"/>
              </w:rPr>
            </w:pPr>
            <w:r>
              <w:rPr>
                <w:rFonts w:ascii="Arial" w:cs="Arial" w:eastAsia="Arial" w:hAnsi="Arial"/>
                <w:sz w:val="18"/>
                <w:szCs w:val="18"/>
                <w:b w:val="1"/>
                <w:bCs w:val="1"/>
                <w:color w:val="0067B3"/>
                <w:w w:val="99"/>
              </w:rPr>
              <w:t>RICHARD C. PUCCIO, JR.</w:t>
            </w:r>
          </w:p>
        </w:tc>
        <w:tc>
          <w:tcPr>
            <w:tcW w:w="2260" w:type="dxa"/>
            <w:vAlign w:val="bottom"/>
            <w:tcBorders>
              <w:right w:val="single" w:sz="8" w:color="0067B3"/>
            </w:tcBorders>
          </w:tcPr>
          <w:p>
            <w:pPr>
              <w:jc w:val="center"/>
              <w:spacing w:after="0"/>
              <w:rPr>
                <w:sz w:val="20"/>
                <w:szCs w:val="20"/>
                <w:color w:val="auto"/>
              </w:rPr>
            </w:pPr>
            <w:r>
              <w:rPr>
                <w:rFonts w:ascii="Arial" w:cs="Arial" w:eastAsia="Arial" w:hAnsi="Arial"/>
                <w:sz w:val="18"/>
                <w:szCs w:val="18"/>
                <w:b w:val="1"/>
                <w:bCs w:val="1"/>
                <w:color w:val="0067B3"/>
                <w:w w:val="99"/>
              </w:rPr>
              <w:t>MARTIN COTTER</w:t>
            </w:r>
          </w:p>
        </w:tc>
        <w:tc>
          <w:tcPr>
            <w:tcW w:w="2240" w:type="dxa"/>
            <w:vAlign w:val="bottom"/>
            <w:tcBorders>
              <w:right w:val="single" w:sz="8" w:color="0067B3"/>
            </w:tcBorders>
          </w:tcPr>
          <w:p>
            <w:pPr>
              <w:jc w:val="center"/>
              <w:spacing w:after="0"/>
              <w:rPr>
                <w:sz w:val="20"/>
                <w:szCs w:val="20"/>
                <w:color w:val="auto"/>
              </w:rPr>
            </w:pPr>
            <w:r>
              <w:rPr>
                <w:rFonts w:ascii="Arial" w:cs="Arial" w:eastAsia="Arial" w:hAnsi="Arial"/>
                <w:sz w:val="18"/>
                <w:szCs w:val="18"/>
                <w:b w:val="1"/>
                <w:bCs w:val="1"/>
                <w:color w:val="0067B3"/>
                <w:w w:val="99"/>
              </w:rPr>
              <w:t>VIVEK JAIN</w:t>
            </w:r>
          </w:p>
        </w:tc>
        <w:tc>
          <w:tcPr>
            <w:tcW w:w="2260" w:type="dxa"/>
            <w:vAlign w:val="bottom"/>
            <w:tcBorders>
              <w:right w:val="single" w:sz="8" w:color="0067B3"/>
            </w:tcBorders>
          </w:tcPr>
          <w:p>
            <w:pPr>
              <w:jc w:val="center"/>
              <w:spacing w:after="0"/>
              <w:rPr>
                <w:sz w:val="20"/>
                <w:szCs w:val="20"/>
                <w:color w:val="auto"/>
              </w:rPr>
            </w:pPr>
            <w:r>
              <w:rPr>
                <w:rFonts w:ascii="Arial" w:cs="Arial" w:eastAsia="Arial" w:hAnsi="Arial"/>
                <w:sz w:val="18"/>
                <w:szCs w:val="18"/>
                <w:b w:val="1"/>
                <w:bCs w:val="1"/>
                <w:color w:val="0067B3"/>
                <w:w w:val="99"/>
              </w:rPr>
              <w:t>KATSU NAKAMURA</w:t>
            </w:r>
          </w:p>
        </w:tc>
      </w:tr>
      <w:tr>
        <w:trPr>
          <w:trHeight w:val="293"/>
        </w:trPr>
        <w:tc>
          <w:tcPr>
            <w:tcW w:w="2260" w:type="dxa"/>
            <w:vAlign w:val="bottom"/>
            <w:tcBorders>
              <w:left w:val="single" w:sz="8" w:color="0067B3"/>
              <w:right w:val="single" w:sz="8" w:color="0067B3"/>
            </w:tcBorders>
          </w:tcPr>
          <w:p>
            <w:pPr>
              <w:jc w:val="center"/>
              <w:spacing w:after="0"/>
              <w:rPr>
                <w:sz w:val="20"/>
                <w:szCs w:val="20"/>
                <w:color w:val="auto"/>
              </w:rPr>
            </w:pPr>
            <w:r>
              <w:rPr>
                <w:rFonts w:ascii="Arial" w:cs="Arial" w:eastAsia="Arial" w:hAnsi="Arial"/>
                <w:sz w:val="18"/>
                <w:szCs w:val="18"/>
                <w:color w:val="auto"/>
                <w:w w:val="99"/>
              </w:rPr>
              <w:t>Chief Executive Officer</w:t>
            </w:r>
          </w:p>
        </w:tc>
        <w:tc>
          <w:tcPr>
            <w:tcW w:w="2240" w:type="dxa"/>
            <w:vAlign w:val="bottom"/>
            <w:tcBorders>
              <w:right w:val="single" w:sz="8" w:color="0067B3"/>
            </w:tcBorders>
          </w:tcPr>
          <w:p>
            <w:pPr>
              <w:jc w:val="center"/>
              <w:spacing w:after="0"/>
              <w:rPr>
                <w:sz w:val="20"/>
                <w:szCs w:val="20"/>
                <w:color w:val="auto"/>
              </w:rPr>
            </w:pPr>
            <w:r>
              <w:rPr>
                <w:rFonts w:ascii="Arial" w:cs="Arial" w:eastAsia="Arial" w:hAnsi="Arial"/>
                <w:sz w:val="18"/>
                <w:szCs w:val="18"/>
                <w:color w:val="auto"/>
                <w:w w:val="99"/>
              </w:rPr>
              <w:t>Executive Vice</w:t>
            </w:r>
          </w:p>
        </w:tc>
        <w:tc>
          <w:tcPr>
            <w:tcW w:w="2260" w:type="dxa"/>
            <w:vAlign w:val="bottom"/>
            <w:tcBorders>
              <w:right w:val="single" w:sz="8" w:color="0067B3"/>
            </w:tcBorders>
          </w:tcPr>
          <w:p>
            <w:pPr>
              <w:jc w:val="center"/>
              <w:spacing w:after="0"/>
              <w:rPr>
                <w:sz w:val="20"/>
                <w:szCs w:val="20"/>
                <w:color w:val="auto"/>
              </w:rPr>
            </w:pPr>
            <w:r>
              <w:rPr>
                <w:rFonts w:ascii="Arial" w:cs="Arial" w:eastAsia="Arial" w:hAnsi="Arial"/>
                <w:sz w:val="18"/>
                <w:szCs w:val="18"/>
                <w:color w:val="auto"/>
                <w:w w:val="99"/>
              </w:rPr>
              <w:t>Senior Vice President,</w:t>
            </w:r>
          </w:p>
        </w:tc>
        <w:tc>
          <w:tcPr>
            <w:tcW w:w="2240" w:type="dxa"/>
            <w:vAlign w:val="bottom"/>
            <w:tcBorders>
              <w:right w:val="single" w:sz="8" w:color="0067B3"/>
            </w:tcBorders>
          </w:tcPr>
          <w:p>
            <w:pPr>
              <w:jc w:val="center"/>
              <w:spacing w:after="0"/>
              <w:rPr>
                <w:sz w:val="20"/>
                <w:szCs w:val="20"/>
                <w:color w:val="auto"/>
              </w:rPr>
            </w:pPr>
            <w:r>
              <w:rPr>
                <w:rFonts w:ascii="Arial" w:cs="Arial" w:eastAsia="Arial" w:hAnsi="Arial"/>
                <w:sz w:val="18"/>
                <w:szCs w:val="18"/>
                <w:color w:val="auto"/>
                <w:w w:val="99"/>
              </w:rPr>
              <w:t>Executive Vice President,</w:t>
            </w:r>
          </w:p>
        </w:tc>
        <w:tc>
          <w:tcPr>
            <w:tcW w:w="2260" w:type="dxa"/>
            <w:vAlign w:val="bottom"/>
            <w:tcBorders>
              <w:right w:val="single" w:sz="8" w:color="0067B3"/>
            </w:tcBorders>
          </w:tcPr>
          <w:p>
            <w:pPr>
              <w:jc w:val="center"/>
              <w:spacing w:after="0"/>
              <w:rPr>
                <w:sz w:val="20"/>
                <w:szCs w:val="20"/>
                <w:color w:val="auto"/>
              </w:rPr>
            </w:pPr>
            <w:r>
              <w:rPr>
                <w:rFonts w:ascii="Arial" w:cs="Arial" w:eastAsia="Arial" w:hAnsi="Arial"/>
                <w:sz w:val="18"/>
                <w:szCs w:val="18"/>
                <w:color w:val="auto"/>
                <w:w w:val="99"/>
              </w:rPr>
              <w:t>Senior Vice President</w:t>
            </w:r>
          </w:p>
        </w:tc>
      </w:tr>
      <w:tr>
        <w:trPr>
          <w:trHeight w:val="216"/>
        </w:trPr>
        <w:tc>
          <w:tcPr>
            <w:tcW w:w="2260" w:type="dxa"/>
            <w:vAlign w:val="bottom"/>
            <w:tcBorders>
              <w:left w:val="single" w:sz="8" w:color="0067B3"/>
              <w:right w:val="single" w:sz="8" w:color="0067B3"/>
            </w:tcBorders>
          </w:tcPr>
          <w:p>
            <w:pPr>
              <w:jc w:val="center"/>
              <w:spacing w:after="0"/>
              <w:rPr>
                <w:sz w:val="20"/>
                <w:szCs w:val="20"/>
                <w:color w:val="auto"/>
              </w:rPr>
            </w:pPr>
            <w:r>
              <w:rPr>
                <w:rFonts w:ascii="Arial" w:cs="Arial" w:eastAsia="Arial" w:hAnsi="Arial"/>
                <w:sz w:val="18"/>
                <w:szCs w:val="18"/>
                <w:color w:val="auto"/>
              </w:rPr>
              <w:t>and Chair of the Board</w:t>
            </w:r>
          </w:p>
        </w:tc>
        <w:tc>
          <w:tcPr>
            <w:tcW w:w="2240" w:type="dxa"/>
            <w:vAlign w:val="bottom"/>
            <w:tcBorders>
              <w:right w:val="single" w:sz="8" w:color="0067B3"/>
            </w:tcBorders>
          </w:tcPr>
          <w:p>
            <w:pPr>
              <w:jc w:val="center"/>
              <w:spacing w:after="0"/>
              <w:rPr>
                <w:sz w:val="20"/>
                <w:szCs w:val="20"/>
                <w:color w:val="auto"/>
              </w:rPr>
            </w:pPr>
            <w:r>
              <w:rPr>
                <w:rFonts w:ascii="Arial" w:cs="Arial" w:eastAsia="Arial" w:hAnsi="Arial"/>
                <w:sz w:val="18"/>
                <w:szCs w:val="18"/>
                <w:color w:val="auto"/>
                <w:w w:val="99"/>
              </w:rPr>
              <w:t>President and</w:t>
            </w:r>
          </w:p>
        </w:tc>
        <w:tc>
          <w:tcPr>
            <w:tcW w:w="2260" w:type="dxa"/>
            <w:vAlign w:val="bottom"/>
            <w:tcBorders>
              <w:right w:val="single" w:sz="8" w:color="0067B3"/>
            </w:tcBorders>
          </w:tcPr>
          <w:p>
            <w:pPr>
              <w:jc w:val="center"/>
              <w:spacing w:after="0"/>
              <w:rPr>
                <w:sz w:val="20"/>
                <w:szCs w:val="20"/>
                <w:color w:val="auto"/>
              </w:rPr>
            </w:pPr>
            <w:r>
              <w:rPr>
                <w:rFonts w:ascii="Arial" w:cs="Arial" w:eastAsia="Arial" w:hAnsi="Arial"/>
                <w:sz w:val="18"/>
                <w:szCs w:val="18"/>
                <w:color w:val="auto"/>
                <w:w w:val="99"/>
              </w:rPr>
              <w:t>Vertical Business Units</w:t>
            </w:r>
          </w:p>
        </w:tc>
        <w:tc>
          <w:tcPr>
            <w:tcW w:w="2240" w:type="dxa"/>
            <w:vAlign w:val="bottom"/>
            <w:tcBorders>
              <w:right w:val="single" w:sz="8" w:color="0067B3"/>
            </w:tcBorders>
          </w:tcPr>
          <w:p>
            <w:pPr>
              <w:jc w:val="center"/>
              <w:spacing w:after="0"/>
              <w:rPr>
                <w:sz w:val="20"/>
                <w:szCs w:val="20"/>
                <w:color w:val="auto"/>
              </w:rPr>
            </w:pPr>
            <w:r>
              <w:rPr>
                <w:rFonts w:ascii="Arial" w:cs="Arial" w:eastAsia="Arial" w:hAnsi="Arial"/>
                <w:sz w:val="18"/>
                <w:szCs w:val="18"/>
                <w:color w:val="auto"/>
              </w:rPr>
              <w:t>Global Operations</w:t>
            </w:r>
          </w:p>
        </w:tc>
        <w:tc>
          <w:tcPr>
            <w:tcW w:w="2260" w:type="dxa"/>
            <w:vAlign w:val="bottom"/>
            <w:tcBorders>
              <w:right w:val="single" w:sz="8" w:color="0067B3"/>
            </w:tcBorders>
          </w:tcPr>
          <w:p>
            <w:pPr>
              <w:jc w:val="center"/>
              <w:spacing w:after="0"/>
              <w:rPr>
                <w:sz w:val="20"/>
                <w:szCs w:val="20"/>
                <w:color w:val="auto"/>
              </w:rPr>
            </w:pPr>
            <w:r>
              <w:rPr>
                <w:rFonts w:ascii="Arial" w:cs="Arial" w:eastAsia="Arial" w:hAnsi="Arial"/>
                <w:sz w:val="18"/>
                <w:szCs w:val="18"/>
                <w:color w:val="auto"/>
                <w:w w:val="99"/>
              </w:rPr>
              <w:t>and Chief Customer</w:t>
            </w:r>
          </w:p>
        </w:tc>
      </w:tr>
      <w:tr>
        <w:trPr>
          <w:trHeight w:val="239"/>
        </w:trPr>
        <w:tc>
          <w:tcPr>
            <w:tcW w:w="2260" w:type="dxa"/>
            <w:vAlign w:val="bottom"/>
            <w:tcBorders>
              <w:left w:val="single" w:sz="8" w:color="0067B3"/>
              <w:right w:val="single" w:sz="8" w:color="0067B3"/>
            </w:tcBorders>
          </w:tcPr>
          <w:p>
            <w:pPr>
              <w:jc w:val="center"/>
              <w:spacing w:after="0"/>
              <w:rPr>
                <w:sz w:val="20"/>
                <w:szCs w:val="20"/>
                <w:color w:val="auto"/>
              </w:rPr>
            </w:pPr>
            <w:r>
              <w:rPr>
                <w:rFonts w:ascii="Arial" w:cs="Arial" w:eastAsia="Arial" w:hAnsi="Arial"/>
                <w:sz w:val="18"/>
                <w:szCs w:val="18"/>
                <w:color w:val="auto"/>
                <w:w w:val="99"/>
              </w:rPr>
              <w:t>of Directors</w:t>
            </w:r>
          </w:p>
        </w:tc>
        <w:tc>
          <w:tcPr>
            <w:tcW w:w="2240" w:type="dxa"/>
            <w:vAlign w:val="bottom"/>
            <w:tcBorders>
              <w:right w:val="single" w:sz="8" w:color="0067B3"/>
            </w:tcBorders>
          </w:tcPr>
          <w:p>
            <w:pPr>
              <w:jc w:val="center"/>
              <w:spacing w:after="0"/>
              <w:rPr>
                <w:sz w:val="20"/>
                <w:szCs w:val="20"/>
                <w:color w:val="auto"/>
              </w:rPr>
            </w:pPr>
            <w:r>
              <w:rPr>
                <w:rFonts w:ascii="Arial" w:cs="Arial" w:eastAsia="Arial" w:hAnsi="Arial"/>
                <w:sz w:val="18"/>
                <w:szCs w:val="18"/>
                <w:color w:val="auto"/>
              </w:rPr>
              <w:t>Chief Financial Officer</w:t>
            </w:r>
          </w:p>
        </w:tc>
        <w:tc>
          <w:tcPr>
            <w:tcW w:w="2260" w:type="dxa"/>
            <w:vAlign w:val="bottom"/>
            <w:tcBorders>
              <w:right w:val="single" w:sz="8" w:color="0067B3"/>
            </w:tcBorders>
          </w:tcPr>
          <w:p>
            <w:pPr>
              <w:spacing w:after="0"/>
              <w:rPr>
                <w:sz w:val="20"/>
                <w:szCs w:val="20"/>
                <w:color w:val="auto"/>
              </w:rPr>
            </w:pPr>
          </w:p>
        </w:tc>
        <w:tc>
          <w:tcPr>
            <w:tcW w:w="2240" w:type="dxa"/>
            <w:vAlign w:val="bottom"/>
            <w:tcBorders>
              <w:right w:val="single" w:sz="8" w:color="0067B3"/>
            </w:tcBorders>
          </w:tcPr>
          <w:p>
            <w:pPr>
              <w:jc w:val="center"/>
              <w:spacing w:after="0"/>
              <w:rPr>
                <w:sz w:val="20"/>
                <w:szCs w:val="20"/>
                <w:color w:val="auto"/>
              </w:rPr>
            </w:pPr>
            <w:r>
              <w:rPr>
                <w:rFonts w:ascii="Arial" w:cs="Arial" w:eastAsia="Arial" w:hAnsi="Arial"/>
                <w:sz w:val="18"/>
                <w:szCs w:val="18"/>
                <w:color w:val="auto"/>
                <w:w w:val="98"/>
              </w:rPr>
              <w:t>and Technology</w:t>
            </w:r>
          </w:p>
        </w:tc>
        <w:tc>
          <w:tcPr>
            <w:tcW w:w="2260" w:type="dxa"/>
            <w:vAlign w:val="bottom"/>
            <w:tcBorders>
              <w:right w:val="single" w:sz="8" w:color="0067B3"/>
            </w:tcBorders>
          </w:tcPr>
          <w:p>
            <w:pPr>
              <w:jc w:val="center"/>
              <w:spacing w:after="0"/>
              <w:rPr>
                <w:sz w:val="20"/>
                <w:szCs w:val="20"/>
                <w:color w:val="auto"/>
              </w:rPr>
            </w:pPr>
            <w:r>
              <w:rPr>
                <w:rFonts w:ascii="Arial" w:cs="Arial" w:eastAsia="Arial" w:hAnsi="Arial"/>
                <w:sz w:val="18"/>
                <w:szCs w:val="18"/>
                <w:color w:val="auto"/>
                <w:w w:val="98"/>
              </w:rPr>
              <w:t>Officer</w:t>
            </w:r>
          </w:p>
        </w:tc>
      </w:tr>
      <w:tr>
        <w:trPr>
          <w:trHeight w:val="23"/>
        </w:trPr>
        <w:tc>
          <w:tcPr>
            <w:tcW w:w="2260" w:type="dxa"/>
            <w:vAlign w:val="bottom"/>
            <w:tcBorders>
              <w:left w:val="single" w:sz="8" w:color="0067B3"/>
              <w:bottom w:val="single" w:sz="8" w:color="0067B3"/>
              <w:right w:val="single" w:sz="8" w:color="0067B3"/>
            </w:tcBorders>
          </w:tcPr>
          <w:p>
            <w:pPr>
              <w:spacing w:after="0"/>
              <w:rPr>
                <w:sz w:val="2"/>
                <w:szCs w:val="2"/>
                <w:color w:val="auto"/>
              </w:rPr>
            </w:pPr>
          </w:p>
        </w:tc>
        <w:tc>
          <w:tcPr>
            <w:tcW w:w="2240" w:type="dxa"/>
            <w:vAlign w:val="bottom"/>
            <w:tcBorders>
              <w:bottom w:val="single" w:sz="8" w:color="0067B3"/>
              <w:right w:val="single" w:sz="8" w:color="0067B3"/>
            </w:tcBorders>
          </w:tcPr>
          <w:p>
            <w:pPr>
              <w:spacing w:after="0"/>
              <w:rPr>
                <w:sz w:val="2"/>
                <w:szCs w:val="2"/>
                <w:color w:val="auto"/>
              </w:rPr>
            </w:pPr>
          </w:p>
        </w:tc>
        <w:tc>
          <w:tcPr>
            <w:tcW w:w="2260" w:type="dxa"/>
            <w:vAlign w:val="bottom"/>
            <w:tcBorders>
              <w:bottom w:val="single" w:sz="8" w:color="0067B3"/>
              <w:right w:val="single" w:sz="8" w:color="0067B3"/>
            </w:tcBorders>
          </w:tcPr>
          <w:p>
            <w:pPr>
              <w:spacing w:after="0"/>
              <w:rPr>
                <w:sz w:val="2"/>
                <w:szCs w:val="2"/>
                <w:color w:val="auto"/>
              </w:rPr>
            </w:pPr>
          </w:p>
        </w:tc>
        <w:tc>
          <w:tcPr>
            <w:tcW w:w="2240" w:type="dxa"/>
            <w:vAlign w:val="bottom"/>
            <w:tcBorders>
              <w:bottom w:val="single" w:sz="8" w:color="0067B3"/>
              <w:right w:val="single" w:sz="8" w:color="0067B3"/>
            </w:tcBorders>
          </w:tcPr>
          <w:p>
            <w:pPr>
              <w:spacing w:after="0"/>
              <w:rPr>
                <w:sz w:val="2"/>
                <w:szCs w:val="2"/>
                <w:color w:val="auto"/>
              </w:rPr>
            </w:pPr>
          </w:p>
        </w:tc>
        <w:tc>
          <w:tcPr>
            <w:tcW w:w="2260" w:type="dxa"/>
            <w:vAlign w:val="bottom"/>
            <w:tcBorders>
              <w:bottom w:val="single" w:sz="8" w:color="0067B3"/>
              <w:right w:val="single" w:sz="8" w:color="0067B3"/>
            </w:tcBorders>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219075</wp:posOffset>
            </wp:positionH>
            <wp:positionV relativeFrom="paragraph">
              <wp:posOffset>-1619885</wp:posOffset>
            </wp:positionV>
            <wp:extent cx="6703695" cy="745490"/>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6703695" cy="745490"/>
                    </a:xfrm>
                    <a:prstGeom prst="rect">
                      <a:avLst/>
                    </a:prstGeom>
                    <a:noFill/>
                  </pic:spPr>
                </pic:pic>
              </a:graphicData>
            </a:graphic>
          </wp:anchor>
        </w:drawing>
      </w:r>
    </w:p>
    <w:p>
      <w:pPr>
        <w:spacing w:after="0" w:line="287" w:lineRule="exact"/>
        <w:rPr>
          <w:sz w:val="20"/>
          <w:szCs w:val="20"/>
          <w:color w:val="auto"/>
        </w:rPr>
      </w:pPr>
    </w:p>
    <w:p>
      <w:pPr>
        <w:spacing w:after="0"/>
        <w:rPr>
          <w:sz w:val="20"/>
          <w:szCs w:val="20"/>
          <w:color w:val="auto"/>
        </w:rPr>
      </w:pPr>
      <w:r>
        <w:rPr>
          <w:rFonts w:ascii="Arial" w:cs="Arial" w:eastAsia="Arial" w:hAnsi="Arial"/>
          <w:sz w:val="32"/>
          <w:szCs w:val="32"/>
          <w:b w:val="1"/>
          <w:bCs w:val="1"/>
          <w:color w:val="auto"/>
        </w:rPr>
        <w:t>Executive Summary</w:t>
      </w:r>
    </w:p>
    <w:p>
      <w:pPr>
        <w:spacing w:after="0" w:line="227" w:lineRule="exact"/>
        <w:rPr>
          <w:sz w:val="20"/>
          <w:szCs w:val="20"/>
          <w:color w:val="auto"/>
        </w:rPr>
      </w:pPr>
    </w:p>
    <w:p>
      <w:pPr>
        <w:spacing w:after="0"/>
        <w:rPr>
          <w:sz w:val="20"/>
          <w:szCs w:val="20"/>
          <w:color w:val="auto"/>
        </w:rPr>
      </w:pPr>
      <w:r>
        <w:rPr>
          <w:rFonts w:ascii="Arial" w:cs="Arial" w:eastAsia="Arial" w:hAnsi="Arial"/>
          <w:sz w:val="27"/>
          <w:szCs w:val="27"/>
          <w:b w:val="1"/>
          <w:bCs w:val="1"/>
          <w:color w:val="0067B3"/>
        </w:rPr>
        <w:t>Fiscal Year 2025 Performance</w:t>
      </w:r>
    </w:p>
    <w:p>
      <w:pPr>
        <w:spacing w:after="0" w:line="132"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Fiscal year 2025 marked a return to revenue growth for ADI. Our commitment to innovation and customer success resulted in over $11.0 billion in revenue despite persistent macroeconomic and geopolitical headwinds. We invested a record amount to research and development in fiscal year 2025 to further extend the technical and market leadership of our core analog, mixed signal, and power portfolio, while intensifying our focus on software, digital, and AI. We believe we are positioned to solve our customers’ most complex engineering challenges while streamlining and accelerating their time to market. We also demonstrated our commitment to deliver strong shareholder returns during fiscal year 2025, returning more than $4 billion to our shareholders in the form of dividends and share buybacks. ADI’s total shareholder return over the 10-year period ending November 1, 2025 was over 375%, outpacing the S&amp;P 500 return of 292% over that same time period.</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0067B3"/>
        </w:rPr>
        <w:t>Fiscal Year 2025 Performance Highlights*</w:t>
      </w:r>
    </w:p>
    <w:p>
      <w:pPr>
        <w:spacing w:after="0" w:line="251" w:lineRule="exact"/>
        <w:rPr>
          <w:sz w:val="20"/>
          <w:szCs w:val="20"/>
          <w:color w:val="auto"/>
        </w:rPr>
      </w:pPr>
    </w:p>
    <w:tbl>
      <w:tblPr>
        <w:tblLayout w:type="fixed"/>
        <w:tblInd w:w="10" w:type="dxa"/>
        <w:tblCellMar>
          <w:top w:w="0" w:type="dxa"/>
          <w:left w:w="0" w:type="dxa"/>
          <w:bottom w:w="0" w:type="dxa"/>
          <w:right w:w="0" w:type="dxa"/>
        </w:tblCellMar>
      </w:tblPr>
      <w:tr>
        <w:trPr>
          <w:trHeight w:val="818"/>
        </w:trPr>
        <w:tc>
          <w:tcPr>
            <w:tcW w:w="2120" w:type="dxa"/>
            <w:vAlign w:val="bottom"/>
            <w:tcBorders>
              <w:top w:val="single" w:sz="8" w:color="0067B3"/>
              <w:left w:val="single" w:sz="8" w:color="0067B3"/>
              <w:right w:val="single" w:sz="8" w:color="auto"/>
            </w:tcBorders>
          </w:tcPr>
          <w:p>
            <w:pPr>
              <w:ind w:left="120"/>
              <w:spacing w:after="0"/>
              <w:rPr>
                <w:sz w:val="20"/>
                <w:szCs w:val="20"/>
                <w:color w:val="auto"/>
              </w:rPr>
            </w:pPr>
            <w:r>
              <w:rPr>
                <w:rFonts w:ascii="Arial" w:cs="Arial" w:eastAsia="Arial" w:hAnsi="Arial"/>
                <w:sz w:val="41"/>
                <w:szCs w:val="41"/>
                <w:b w:val="1"/>
                <w:bCs w:val="1"/>
                <w:color w:val="0067B3"/>
              </w:rPr>
              <w:t>$11.0B</w:t>
            </w:r>
          </w:p>
        </w:tc>
        <w:tc>
          <w:tcPr>
            <w:tcW w:w="1620" w:type="dxa"/>
            <w:vAlign w:val="bottom"/>
            <w:tcBorders>
              <w:top w:val="single" w:sz="8" w:color="0067B3"/>
            </w:tcBorders>
          </w:tcPr>
          <w:p>
            <w:pPr>
              <w:ind w:left="80"/>
              <w:spacing w:after="0"/>
              <w:rPr>
                <w:sz w:val="20"/>
                <w:szCs w:val="20"/>
                <w:color w:val="auto"/>
              </w:rPr>
            </w:pPr>
            <w:r>
              <w:rPr>
                <w:rFonts w:ascii="Arial" w:cs="Arial" w:eastAsia="Arial" w:hAnsi="Arial"/>
                <w:sz w:val="41"/>
                <w:szCs w:val="41"/>
                <w:b w:val="1"/>
                <w:bCs w:val="1"/>
                <w:color w:val="0067B3"/>
              </w:rPr>
              <w:t>61.5%</w:t>
            </w:r>
          </w:p>
        </w:tc>
        <w:tc>
          <w:tcPr>
            <w:tcW w:w="640" w:type="dxa"/>
            <w:vAlign w:val="bottom"/>
            <w:tcBorders>
              <w:top w:val="single" w:sz="8" w:color="0067B3"/>
              <w:right w:val="single" w:sz="8" w:color="auto"/>
            </w:tcBorders>
          </w:tcPr>
          <w:p>
            <w:pPr>
              <w:spacing w:after="0"/>
              <w:rPr>
                <w:sz w:val="24"/>
                <w:szCs w:val="24"/>
                <w:color w:val="auto"/>
              </w:rPr>
            </w:pPr>
          </w:p>
        </w:tc>
        <w:tc>
          <w:tcPr>
            <w:tcW w:w="2340" w:type="dxa"/>
            <w:vAlign w:val="bottom"/>
            <w:tcBorders>
              <w:top w:val="single" w:sz="8" w:color="0067B3"/>
              <w:right w:val="single" w:sz="8" w:color="auto"/>
            </w:tcBorders>
          </w:tcPr>
          <w:p>
            <w:pPr>
              <w:ind w:left="80"/>
              <w:spacing w:after="0"/>
              <w:rPr>
                <w:sz w:val="20"/>
                <w:szCs w:val="20"/>
                <w:color w:val="auto"/>
              </w:rPr>
            </w:pPr>
            <w:r>
              <w:rPr>
                <w:rFonts w:ascii="Arial" w:cs="Arial" w:eastAsia="Arial" w:hAnsi="Arial"/>
                <w:sz w:val="41"/>
                <w:szCs w:val="41"/>
                <w:b w:val="1"/>
                <w:bCs w:val="1"/>
                <w:color w:val="0067B3"/>
              </w:rPr>
              <w:t>26.6%</w:t>
            </w:r>
          </w:p>
        </w:tc>
        <w:tc>
          <w:tcPr>
            <w:tcW w:w="2360" w:type="dxa"/>
            <w:vAlign w:val="bottom"/>
            <w:tcBorders>
              <w:top w:val="single" w:sz="8" w:color="0067B3"/>
              <w:right w:val="single" w:sz="8" w:color="auto"/>
            </w:tcBorders>
            <w:gridSpan w:val="2"/>
          </w:tcPr>
          <w:p>
            <w:pPr>
              <w:ind w:left="80"/>
              <w:spacing w:after="0"/>
              <w:rPr>
                <w:sz w:val="20"/>
                <w:szCs w:val="20"/>
                <w:color w:val="auto"/>
              </w:rPr>
            </w:pPr>
            <w:r>
              <w:rPr>
                <w:rFonts w:ascii="Arial" w:cs="Arial" w:eastAsia="Arial" w:hAnsi="Arial"/>
                <w:sz w:val="41"/>
                <w:szCs w:val="41"/>
                <w:b w:val="1"/>
                <w:bCs w:val="1"/>
                <w:color w:val="0067B3"/>
              </w:rPr>
              <w:t>$4.56</w:t>
            </w:r>
          </w:p>
        </w:tc>
        <w:tc>
          <w:tcPr>
            <w:tcW w:w="2180" w:type="dxa"/>
            <w:vAlign w:val="bottom"/>
            <w:tcBorders>
              <w:top w:val="single" w:sz="8" w:color="0067B3"/>
              <w:right w:val="single" w:sz="8" w:color="0067B3"/>
            </w:tcBorders>
          </w:tcPr>
          <w:p>
            <w:pPr>
              <w:ind w:left="80"/>
              <w:spacing w:after="0"/>
              <w:rPr>
                <w:sz w:val="20"/>
                <w:szCs w:val="20"/>
                <w:color w:val="auto"/>
              </w:rPr>
            </w:pPr>
            <w:r>
              <w:rPr>
                <w:rFonts w:ascii="Arial" w:cs="Arial" w:eastAsia="Arial" w:hAnsi="Arial"/>
                <w:sz w:val="41"/>
                <w:szCs w:val="41"/>
                <w:b w:val="1"/>
                <w:bCs w:val="1"/>
                <w:color w:val="0067B3"/>
              </w:rPr>
              <w:t>$4.8B</w:t>
            </w:r>
          </w:p>
        </w:tc>
        <w:tc>
          <w:tcPr>
            <w:tcW w:w="0" w:type="dxa"/>
            <w:vAlign w:val="bottom"/>
          </w:tcPr>
          <w:p>
            <w:pPr>
              <w:spacing w:after="0"/>
              <w:rPr>
                <w:sz w:val="1"/>
                <w:szCs w:val="1"/>
                <w:color w:val="auto"/>
              </w:rPr>
            </w:pPr>
          </w:p>
        </w:tc>
      </w:tr>
      <w:tr>
        <w:trPr>
          <w:trHeight w:val="216"/>
        </w:trPr>
        <w:tc>
          <w:tcPr>
            <w:tcW w:w="2120" w:type="dxa"/>
            <w:vAlign w:val="bottom"/>
            <w:tcBorders>
              <w:left w:val="single" w:sz="8" w:color="0067B3"/>
              <w:right w:val="single" w:sz="8" w:color="auto"/>
            </w:tcBorders>
          </w:tcPr>
          <w:p>
            <w:pPr>
              <w:ind w:left="120"/>
              <w:spacing w:after="0"/>
              <w:rPr>
                <w:sz w:val="20"/>
                <w:szCs w:val="20"/>
                <w:color w:val="auto"/>
              </w:rPr>
            </w:pPr>
            <w:r>
              <w:rPr>
                <w:rFonts w:ascii="Arial" w:cs="Arial" w:eastAsia="Arial" w:hAnsi="Arial"/>
                <w:sz w:val="18"/>
                <w:szCs w:val="18"/>
                <w:color w:val="auto"/>
              </w:rPr>
              <w:t>Revenue</w:t>
            </w:r>
          </w:p>
        </w:tc>
        <w:tc>
          <w:tcPr>
            <w:tcW w:w="2260" w:type="dxa"/>
            <w:vAlign w:val="bottom"/>
            <w:tcBorders>
              <w:right w:val="single" w:sz="8" w:color="auto"/>
            </w:tcBorders>
            <w:gridSpan w:val="2"/>
          </w:tcPr>
          <w:p>
            <w:pPr>
              <w:ind w:left="80"/>
              <w:spacing w:after="0"/>
              <w:rPr>
                <w:sz w:val="20"/>
                <w:szCs w:val="20"/>
                <w:color w:val="auto"/>
              </w:rPr>
            </w:pPr>
            <w:r>
              <w:rPr>
                <w:rFonts w:ascii="Arial" w:cs="Arial" w:eastAsia="Arial" w:hAnsi="Arial"/>
                <w:sz w:val="18"/>
                <w:szCs w:val="18"/>
                <w:color w:val="auto"/>
              </w:rPr>
              <w:t>Gross Margin</w:t>
            </w:r>
          </w:p>
        </w:tc>
        <w:tc>
          <w:tcPr>
            <w:tcW w:w="234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Operating Margin</w:t>
            </w:r>
          </w:p>
        </w:tc>
        <w:tc>
          <w:tcPr>
            <w:tcW w:w="2360" w:type="dxa"/>
            <w:vAlign w:val="bottom"/>
            <w:tcBorders>
              <w:right w:val="single" w:sz="8" w:color="auto"/>
            </w:tcBorders>
            <w:gridSpan w:val="2"/>
          </w:tcPr>
          <w:p>
            <w:pPr>
              <w:ind w:left="80"/>
              <w:spacing w:after="0"/>
              <w:rPr>
                <w:sz w:val="20"/>
                <w:szCs w:val="20"/>
                <w:color w:val="auto"/>
              </w:rPr>
            </w:pPr>
            <w:r>
              <w:rPr>
                <w:rFonts w:ascii="Arial" w:cs="Arial" w:eastAsia="Arial" w:hAnsi="Arial"/>
                <w:sz w:val="18"/>
                <w:szCs w:val="18"/>
                <w:color w:val="auto"/>
              </w:rPr>
              <w:t>Diluted Earnings per</w:t>
            </w:r>
          </w:p>
        </w:tc>
        <w:tc>
          <w:tcPr>
            <w:tcW w:w="2180" w:type="dxa"/>
            <w:vAlign w:val="bottom"/>
            <w:tcBorders>
              <w:right w:val="single" w:sz="8" w:color="0067B3"/>
            </w:tcBorders>
          </w:tcPr>
          <w:p>
            <w:pPr>
              <w:ind w:left="80"/>
              <w:spacing w:after="0"/>
              <w:rPr>
                <w:sz w:val="20"/>
                <w:szCs w:val="20"/>
                <w:color w:val="auto"/>
              </w:rPr>
            </w:pPr>
            <w:r>
              <w:rPr>
                <w:rFonts w:ascii="Arial" w:cs="Arial" w:eastAsia="Arial" w:hAnsi="Arial"/>
                <w:sz w:val="18"/>
                <w:szCs w:val="18"/>
                <w:color w:val="auto"/>
              </w:rPr>
              <w:t>Operating Cash Flow</w:t>
            </w:r>
          </w:p>
        </w:tc>
        <w:tc>
          <w:tcPr>
            <w:tcW w:w="0" w:type="dxa"/>
            <w:vAlign w:val="bottom"/>
          </w:tcPr>
          <w:p>
            <w:pPr>
              <w:spacing w:after="0"/>
              <w:rPr>
                <w:sz w:val="1"/>
                <w:szCs w:val="1"/>
                <w:color w:val="auto"/>
              </w:rPr>
            </w:pPr>
          </w:p>
        </w:tc>
      </w:tr>
      <w:tr>
        <w:trPr>
          <w:trHeight w:val="239"/>
        </w:trPr>
        <w:tc>
          <w:tcPr>
            <w:tcW w:w="2120" w:type="dxa"/>
            <w:vAlign w:val="bottom"/>
            <w:tcBorders>
              <w:left w:val="single" w:sz="8" w:color="0067B3"/>
              <w:right w:val="single" w:sz="8" w:color="auto"/>
            </w:tcBorders>
          </w:tcPr>
          <w:p>
            <w:pPr>
              <w:spacing w:after="0"/>
              <w:rPr>
                <w:sz w:val="20"/>
                <w:szCs w:val="20"/>
                <w:color w:val="auto"/>
              </w:rPr>
            </w:pPr>
          </w:p>
        </w:tc>
        <w:tc>
          <w:tcPr>
            <w:tcW w:w="1620" w:type="dxa"/>
            <w:vAlign w:val="bottom"/>
          </w:tcPr>
          <w:p>
            <w:pPr>
              <w:spacing w:after="0"/>
              <w:rPr>
                <w:sz w:val="20"/>
                <w:szCs w:val="20"/>
                <w:color w:val="auto"/>
              </w:rPr>
            </w:pPr>
          </w:p>
        </w:tc>
        <w:tc>
          <w:tcPr>
            <w:tcW w:w="640" w:type="dxa"/>
            <w:vAlign w:val="bottom"/>
            <w:tcBorders>
              <w:right w:val="single" w:sz="8" w:color="auto"/>
            </w:tcBorders>
          </w:tcPr>
          <w:p>
            <w:pPr>
              <w:spacing w:after="0"/>
              <w:rPr>
                <w:sz w:val="20"/>
                <w:szCs w:val="20"/>
                <w:color w:val="auto"/>
              </w:rPr>
            </w:pPr>
          </w:p>
        </w:tc>
        <w:tc>
          <w:tcPr>
            <w:tcW w:w="2340" w:type="dxa"/>
            <w:vAlign w:val="bottom"/>
            <w:tcBorders>
              <w:right w:val="single" w:sz="8" w:color="auto"/>
            </w:tcBorders>
          </w:tcPr>
          <w:p>
            <w:pPr>
              <w:spacing w:after="0"/>
              <w:rPr>
                <w:sz w:val="20"/>
                <w:szCs w:val="20"/>
                <w:color w:val="auto"/>
              </w:rPr>
            </w:pPr>
          </w:p>
        </w:tc>
        <w:tc>
          <w:tcPr>
            <w:tcW w:w="2360" w:type="dxa"/>
            <w:vAlign w:val="bottom"/>
            <w:tcBorders>
              <w:right w:val="single" w:sz="8" w:color="auto"/>
            </w:tcBorders>
            <w:gridSpan w:val="2"/>
          </w:tcPr>
          <w:p>
            <w:pPr>
              <w:ind w:left="80"/>
              <w:spacing w:after="0"/>
              <w:rPr>
                <w:sz w:val="20"/>
                <w:szCs w:val="20"/>
                <w:color w:val="auto"/>
              </w:rPr>
            </w:pPr>
            <w:r>
              <w:rPr>
                <w:rFonts w:ascii="Arial" w:cs="Arial" w:eastAsia="Arial" w:hAnsi="Arial"/>
                <w:sz w:val="18"/>
                <w:szCs w:val="18"/>
                <w:color w:val="auto"/>
              </w:rPr>
              <w:t>Share</w:t>
            </w:r>
          </w:p>
        </w:tc>
        <w:tc>
          <w:tcPr>
            <w:tcW w:w="2180" w:type="dxa"/>
            <w:vAlign w:val="bottom"/>
            <w:tcBorders>
              <w:right w:val="single" w:sz="8" w:color="0067B3"/>
            </w:tcBorders>
          </w:tcPr>
          <w:p>
            <w:pPr>
              <w:spacing w:after="0"/>
              <w:rPr>
                <w:sz w:val="20"/>
                <w:szCs w:val="20"/>
                <w:color w:val="auto"/>
              </w:rPr>
            </w:pPr>
          </w:p>
        </w:tc>
        <w:tc>
          <w:tcPr>
            <w:tcW w:w="0" w:type="dxa"/>
            <w:vAlign w:val="bottom"/>
          </w:tcPr>
          <w:p>
            <w:pPr>
              <w:spacing w:after="0"/>
              <w:rPr>
                <w:sz w:val="1"/>
                <w:szCs w:val="1"/>
                <w:color w:val="auto"/>
              </w:rPr>
            </w:pPr>
          </w:p>
        </w:tc>
      </w:tr>
      <w:tr>
        <w:trPr>
          <w:trHeight w:val="828"/>
        </w:trPr>
        <w:tc>
          <w:tcPr>
            <w:tcW w:w="2120" w:type="dxa"/>
            <w:vAlign w:val="bottom"/>
            <w:tcBorders>
              <w:left w:val="single" w:sz="8" w:color="0067B3"/>
              <w:right w:val="single" w:sz="8" w:color="auto"/>
            </w:tcBorders>
          </w:tcPr>
          <w:p>
            <w:pPr>
              <w:ind w:left="120"/>
              <w:spacing w:after="0"/>
              <w:rPr>
                <w:sz w:val="20"/>
                <w:szCs w:val="20"/>
                <w:color w:val="auto"/>
              </w:rPr>
            </w:pPr>
            <w:r>
              <w:rPr>
                <w:rFonts w:ascii="Arial" w:cs="Arial" w:eastAsia="Arial" w:hAnsi="Arial"/>
                <w:sz w:val="41"/>
                <w:szCs w:val="41"/>
                <w:b w:val="1"/>
                <w:bCs w:val="1"/>
                <w:color w:val="0067B3"/>
              </w:rPr>
              <w:t>~87%</w:t>
            </w:r>
          </w:p>
        </w:tc>
        <w:tc>
          <w:tcPr>
            <w:tcW w:w="1620" w:type="dxa"/>
            <w:vAlign w:val="bottom"/>
          </w:tcPr>
          <w:p>
            <w:pPr>
              <w:ind w:left="80"/>
              <w:spacing w:after="0"/>
              <w:rPr>
                <w:sz w:val="20"/>
                <w:szCs w:val="20"/>
                <w:color w:val="auto"/>
              </w:rPr>
            </w:pPr>
            <w:r>
              <w:rPr>
                <w:rFonts w:ascii="Arial" w:cs="Arial" w:eastAsia="Arial" w:hAnsi="Arial"/>
                <w:sz w:val="41"/>
                <w:szCs w:val="41"/>
                <w:b w:val="1"/>
                <w:bCs w:val="1"/>
                <w:color w:val="0067B3"/>
              </w:rPr>
              <w:t>69.3%</w:t>
            </w:r>
          </w:p>
        </w:tc>
        <w:tc>
          <w:tcPr>
            <w:tcW w:w="640" w:type="dxa"/>
            <w:vAlign w:val="bottom"/>
            <w:tcBorders>
              <w:right w:val="single" w:sz="8" w:color="auto"/>
            </w:tcBorders>
          </w:tcPr>
          <w:p>
            <w:pPr>
              <w:spacing w:after="0"/>
              <w:rPr>
                <w:sz w:val="24"/>
                <w:szCs w:val="24"/>
                <w:color w:val="auto"/>
              </w:rPr>
            </w:pPr>
          </w:p>
        </w:tc>
        <w:tc>
          <w:tcPr>
            <w:tcW w:w="2340" w:type="dxa"/>
            <w:vAlign w:val="bottom"/>
            <w:tcBorders>
              <w:right w:val="single" w:sz="8" w:color="auto"/>
            </w:tcBorders>
          </w:tcPr>
          <w:p>
            <w:pPr>
              <w:ind w:left="80"/>
              <w:spacing w:after="0"/>
              <w:rPr>
                <w:sz w:val="20"/>
                <w:szCs w:val="20"/>
                <w:color w:val="auto"/>
              </w:rPr>
            </w:pPr>
            <w:r>
              <w:rPr>
                <w:rFonts w:ascii="Arial" w:cs="Arial" w:eastAsia="Arial" w:hAnsi="Arial"/>
                <w:sz w:val="41"/>
                <w:szCs w:val="41"/>
                <w:b w:val="1"/>
                <w:bCs w:val="1"/>
                <w:color w:val="0067B3"/>
              </w:rPr>
              <w:t>41.9%</w:t>
            </w:r>
          </w:p>
        </w:tc>
        <w:tc>
          <w:tcPr>
            <w:tcW w:w="2360" w:type="dxa"/>
            <w:vAlign w:val="bottom"/>
            <w:tcBorders>
              <w:right w:val="single" w:sz="8" w:color="auto"/>
            </w:tcBorders>
            <w:gridSpan w:val="2"/>
          </w:tcPr>
          <w:p>
            <w:pPr>
              <w:ind w:left="80"/>
              <w:spacing w:after="0"/>
              <w:rPr>
                <w:sz w:val="20"/>
                <w:szCs w:val="20"/>
                <w:color w:val="auto"/>
              </w:rPr>
            </w:pPr>
            <w:r>
              <w:rPr>
                <w:rFonts w:ascii="Arial" w:cs="Arial" w:eastAsia="Arial" w:hAnsi="Arial"/>
                <w:sz w:val="41"/>
                <w:szCs w:val="41"/>
                <w:b w:val="1"/>
                <w:bCs w:val="1"/>
                <w:color w:val="0067B3"/>
              </w:rPr>
              <w:t>$7.79</w:t>
            </w:r>
          </w:p>
        </w:tc>
        <w:tc>
          <w:tcPr>
            <w:tcW w:w="2180" w:type="dxa"/>
            <w:vAlign w:val="bottom"/>
            <w:tcBorders>
              <w:right w:val="single" w:sz="8" w:color="0067B3"/>
            </w:tcBorders>
          </w:tcPr>
          <w:p>
            <w:pPr>
              <w:ind w:left="80"/>
              <w:spacing w:after="0"/>
              <w:rPr>
                <w:sz w:val="20"/>
                <w:szCs w:val="20"/>
                <w:color w:val="auto"/>
              </w:rPr>
            </w:pPr>
            <w:r>
              <w:rPr>
                <w:rFonts w:ascii="Arial" w:cs="Arial" w:eastAsia="Arial" w:hAnsi="Arial"/>
                <w:sz w:val="41"/>
                <w:szCs w:val="41"/>
                <w:b w:val="1"/>
                <w:bCs w:val="1"/>
                <w:color w:val="0067B3"/>
              </w:rPr>
              <w:t>$4.3B</w:t>
            </w:r>
          </w:p>
        </w:tc>
        <w:tc>
          <w:tcPr>
            <w:tcW w:w="0" w:type="dxa"/>
            <w:vAlign w:val="bottom"/>
          </w:tcPr>
          <w:p>
            <w:pPr>
              <w:spacing w:after="0"/>
              <w:rPr>
                <w:sz w:val="1"/>
                <w:szCs w:val="1"/>
                <w:color w:val="auto"/>
              </w:rPr>
            </w:pPr>
          </w:p>
        </w:tc>
      </w:tr>
      <w:tr>
        <w:trPr>
          <w:trHeight w:val="216"/>
        </w:trPr>
        <w:tc>
          <w:tcPr>
            <w:tcW w:w="2120" w:type="dxa"/>
            <w:vAlign w:val="bottom"/>
            <w:tcBorders>
              <w:left w:val="single" w:sz="8" w:color="0067B3"/>
              <w:right w:val="single" w:sz="8" w:color="auto"/>
            </w:tcBorders>
          </w:tcPr>
          <w:p>
            <w:pPr>
              <w:ind w:left="120"/>
              <w:spacing w:after="0"/>
              <w:rPr>
                <w:sz w:val="20"/>
                <w:szCs w:val="20"/>
                <w:color w:val="auto"/>
              </w:rPr>
            </w:pPr>
            <w:r>
              <w:rPr>
                <w:rFonts w:ascii="Arial" w:cs="Arial" w:eastAsia="Arial" w:hAnsi="Arial"/>
                <w:sz w:val="18"/>
                <w:szCs w:val="18"/>
                <w:color w:val="auto"/>
              </w:rPr>
              <w:t>Business-to-Business</w:t>
            </w:r>
          </w:p>
        </w:tc>
        <w:tc>
          <w:tcPr>
            <w:tcW w:w="2260" w:type="dxa"/>
            <w:vAlign w:val="bottom"/>
            <w:tcBorders>
              <w:right w:val="single" w:sz="8" w:color="auto"/>
            </w:tcBorders>
            <w:gridSpan w:val="2"/>
          </w:tcPr>
          <w:p>
            <w:pPr>
              <w:ind w:left="80"/>
              <w:spacing w:after="0"/>
              <w:rPr>
                <w:sz w:val="20"/>
                <w:szCs w:val="20"/>
                <w:color w:val="auto"/>
              </w:rPr>
            </w:pPr>
            <w:r>
              <w:rPr>
                <w:rFonts w:ascii="Arial" w:cs="Arial" w:eastAsia="Arial" w:hAnsi="Arial"/>
                <w:sz w:val="18"/>
                <w:szCs w:val="18"/>
                <w:color w:val="auto"/>
              </w:rPr>
              <w:t>Adjusted Gross Margin*</w:t>
            </w:r>
          </w:p>
        </w:tc>
        <w:tc>
          <w:tcPr>
            <w:tcW w:w="234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Adjusted Operating</w:t>
            </w:r>
          </w:p>
        </w:tc>
        <w:tc>
          <w:tcPr>
            <w:tcW w:w="2360" w:type="dxa"/>
            <w:vAlign w:val="bottom"/>
            <w:tcBorders>
              <w:right w:val="single" w:sz="8" w:color="auto"/>
            </w:tcBorders>
            <w:gridSpan w:val="2"/>
          </w:tcPr>
          <w:p>
            <w:pPr>
              <w:ind w:left="80"/>
              <w:spacing w:after="0"/>
              <w:rPr>
                <w:sz w:val="20"/>
                <w:szCs w:val="20"/>
                <w:color w:val="auto"/>
              </w:rPr>
            </w:pPr>
            <w:r>
              <w:rPr>
                <w:rFonts w:ascii="Arial" w:cs="Arial" w:eastAsia="Arial" w:hAnsi="Arial"/>
                <w:sz w:val="18"/>
                <w:szCs w:val="18"/>
                <w:color w:val="auto"/>
              </w:rPr>
              <w:t>Adjusted Diluted Earnings</w:t>
            </w:r>
          </w:p>
        </w:tc>
        <w:tc>
          <w:tcPr>
            <w:tcW w:w="2180" w:type="dxa"/>
            <w:vAlign w:val="bottom"/>
            <w:tcBorders>
              <w:right w:val="single" w:sz="8" w:color="0067B3"/>
            </w:tcBorders>
          </w:tcPr>
          <w:p>
            <w:pPr>
              <w:ind w:left="80"/>
              <w:spacing w:after="0"/>
              <w:rPr>
                <w:sz w:val="20"/>
                <w:szCs w:val="20"/>
                <w:color w:val="auto"/>
              </w:rPr>
            </w:pPr>
            <w:r>
              <w:rPr>
                <w:rFonts w:ascii="Arial" w:cs="Arial" w:eastAsia="Arial" w:hAnsi="Arial"/>
                <w:sz w:val="18"/>
                <w:szCs w:val="18"/>
                <w:color w:val="auto"/>
              </w:rPr>
              <w:t>Free Cash Flow*</w:t>
            </w:r>
          </w:p>
        </w:tc>
        <w:tc>
          <w:tcPr>
            <w:tcW w:w="0" w:type="dxa"/>
            <w:vAlign w:val="bottom"/>
          </w:tcPr>
          <w:p>
            <w:pPr>
              <w:spacing w:after="0"/>
              <w:rPr>
                <w:sz w:val="1"/>
                <w:szCs w:val="1"/>
                <w:color w:val="auto"/>
              </w:rPr>
            </w:pPr>
          </w:p>
        </w:tc>
      </w:tr>
      <w:tr>
        <w:trPr>
          <w:trHeight w:val="239"/>
        </w:trPr>
        <w:tc>
          <w:tcPr>
            <w:tcW w:w="2120" w:type="dxa"/>
            <w:vAlign w:val="bottom"/>
            <w:tcBorders>
              <w:left w:val="single" w:sz="8" w:color="0067B3"/>
              <w:right w:val="single" w:sz="8" w:color="auto"/>
            </w:tcBorders>
          </w:tcPr>
          <w:p>
            <w:pPr>
              <w:ind w:left="120"/>
              <w:spacing w:after="0"/>
              <w:rPr>
                <w:sz w:val="20"/>
                <w:szCs w:val="20"/>
                <w:color w:val="auto"/>
              </w:rPr>
            </w:pPr>
            <w:r>
              <w:rPr>
                <w:rFonts w:ascii="Arial" w:cs="Arial" w:eastAsia="Arial" w:hAnsi="Arial"/>
                <w:sz w:val="18"/>
                <w:szCs w:val="18"/>
                <w:color w:val="auto"/>
              </w:rPr>
              <w:t>Revenue</w:t>
            </w:r>
          </w:p>
        </w:tc>
        <w:tc>
          <w:tcPr>
            <w:tcW w:w="1620" w:type="dxa"/>
            <w:vAlign w:val="bottom"/>
          </w:tcPr>
          <w:p>
            <w:pPr>
              <w:spacing w:after="0"/>
              <w:rPr>
                <w:sz w:val="20"/>
                <w:szCs w:val="20"/>
                <w:color w:val="auto"/>
              </w:rPr>
            </w:pPr>
          </w:p>
        </w:tc>
        <w:tc>
          <w:tcPr>
            <w:tcW w:w="640" w:type="dxa"/>
            <w:vAlign w:val="bottom"/>
            <w:tcBorders>
              <w:right w:val="single" w:sz="8" w:color="auto"/>
            </w:tcBorders>
          </w:tcPr>
          <w:p>
            <w:pPr>
              <w:spacing w:after="0"/>
              <w:rPr>
                <w:sz w:val="20"/>
                <w:szCs w:val="20"/>
                <w:color w:val="auto"/>
              </w:rPr>
            </w:pPr>
          </w:p>
        </w:tc>
        <w:tc>
          <w:tcPr>
            <w:tcW w:w="234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Margin*</w:t>
            </w:r>
          </w:p>
        </w:tc>
        <w:tc>
          <w:tcPr>
            <w:tcW w:w="2360" w:type="dxa"/>
            <w:vAlign w:val="bottom"/>
            <w:tcBorders>
              <w:right w:val="single" w:sz="8" w:color="auto"/>
            </w:tcBorders>
            <w:gridSpan w:val="2"/>
          </w:tcPr>
          <w:p>
            <w:pPr>
              <w:ind w:left="80"/>
              <w:spacing w:after="0"/>
              <w:rPr>
                <w:sz w:val="20"/>
                <w:szCs w:val="20"/>
                <w:color w:val="auto"/>
              </w:rPr>
            </w:pPr>
            <w:r>
              <w:rPr>
                <w:rFonts w:ascii="Arial" w:cs="Arial" w:eastAsia="Arial" w:hAnsi="Arial"/>
                <w:sz w:val="18"/>
                <w:szCs w:val="18"/>
                <w:color w:val="auto"/>
              </w:rPr>
              <w:t>per Share*</w:t>
            </w:r>
          </w:p>
        </w:tc>
        <w:tc>
          <w:tcPr>
            <w:tcW w:w="2180" w:type="dxa"/>
            <w:vAlign w:val="bottom"/>
            <w:tcBorders>
              <w:right w:val="single" w:sz="8" w:color="0067B3"/>
            </w:tcBorders>
          </w:tcPr>
          <w:p>
            <w:pPr>
              <w:spacing w:after="0"/>
              <w:rPr>
                <w:sz w:val="20"/>
                <w:szCs w:val="20"/>
                <w:color w:val="auto"/>
              </w:rPr>
            </w:pPr>
          </w:p>
        </w:tc>
        <w:tc>
          <w:tcPr>
            <w:tcW w:w="0" w:type="dxa"/>
            <w:vAlign w:val="bottom"/>
          </w:tcPr>
          <w:p>
            <w:pPr>
              <w:spacing w:after="0"/>
              <w:rPr>
                <w:sz w:val="1"/>
                <w:szCs w:val="1"/>
                <w:color w:val="auto"/>
              </w:rPr>
            </w:pPr>
          </w:p>
        </w:tc>
      </w:tr>
      <w:tr>
        <w:trPr>
          <w:trHeight w:val="347"/>
        </w:trPr>
        <w:tc>
          <w:tcPr>
            <w:tcW w:w="2120" w:type="dxa"/>
            <w:vAlign w:val="bottom"/>
            <w:tcBorders>
              <w:left w:val="single" w:sz="8" w:color="0067B3"/>
              <w:bottom w:val="single" w:sz="8" w:color="0067B3"/>
              <w:right w:val="single" w:sz="8" w:color="auto"/>
            </w:tcBorders>
          </w:tcPr>
          <w:p>
            <w:pPr>
              <w:spacing w:after="0"/>
              <w:rPr>
                <w:sz w:val="24"/>
                <w:szCs w:val="24"/>
                <w:color w:val="auto"/>
              </w:rPr>
            </w:pPr>
          </w:p>
        </w:tc>
        <w:tc>
          <w:tcPr>
            <w:tcW w:w="1620" w:type="dxa"/>
            <w:vAlign w:val="bottom"/>
            <w:tcBorders>
              <w:bottom w:val="single" w:sz="8" w:color="0067B3"/>
            </w:tcBorders>
          </w:tcPr>
          <w:p>
            <w:pPr>
              <w:spacing w:after="0"/>
              <w:rPr>
                <w:sz w:val="24"/>
                <w:szCs w:val="24"/>
                <w:color w:val="auto"/>
              </w:rPr>
            </w:pPr>
          </w:p>
        </w:tc>
        <w:tc>
          <w:tcPr>
            <w:tcW w:w="640" w:type="dxa"/>
            <w:vAlign w:val="bottom"/>
            <w:tcBorders>
              <w:bottom w:val="single" w:sz="8" w:color="0067B3"/>
              <w:right w:val="single" w:sz="8" w:color="auto"/>
            </w:tcBorders>
          </w:tcPr>
          <w:p>
            <w:pPr>
              <w:spacing w:after="0"/>
              <w:rPr>
                <w:sz w:val="24"/>
                <w:szCs w:val="24"/>
                <w:color w:val="auto"/>
              </w:rPr>
            </w:pPr>
          </w:p>
        </w:tc>
        <w:tc>
          <w:tcPr>
            <w:tcW w:w="2340" w:type="dxa"/>
            <w:vAlign w:val="bottom"/>
            <w:tcBorders>
              <w:bottom w:val="single" w:sz="8" w:color="0067B3"/>
              <w:right w:val="single" w:sz="8" w:color="auto"/>
            </w:tcBorders>
          </w:tcPr>
          <w:p>
            <w:pPr>
              <w:spacing w:after="0"/>
              <w:rPr>
                <w:sz w:val="24"/>
                <w:szCs w:val="24"/>
                <w:color w:val="auto"/>
              </w:rPr>
            </w:pPr>
          </w:p>
        </w:tc>
        <w:tc>
          <w:tcPr>
            <w:tcW w:w="780" w:type="dxa"/>
            <w:vAlign w:val="bottom"/>
            <w:tcBorders>
              <w:bottom w:val="single" w:sz="8" w:color="0067B3"/>
            </w:tcBorders>
          </w:tcPr>
          <w:p>
            <w:pPr>
              <w:spacing w:after="0"/>
              <w:rPr>
                <w:sz w:val="24"/>
                <w:szCs w:val="24"/>
                <w:color w:val="auto"/>
              </w:rPr>
            </w:pPr>
          </w:p>
        </w:tc>
        <w:tc>
          <w:tcPr>
            <w:tcW w:w="1580" w:type="dxa"/>
            <w:vAlign w:val="bottom"/>
            <w:tcBorders>
              <w:bottom w:val="single" w:sz="8" w:color="0067B3"/>
              <w:right w:val="single" w:sz="8" w:color="auto"/>
            </w:tcBorders>
          </w:tcPr>
          <w:p>
            <w:pPr>
              <w:spacing w:after="0"/>
              <w:rPr>
                <w:sz w:val="24"/>
                <w:szCs w:val="24"/>
                <w:color w:val="auto"/>
              </w:rPr>
            </w:pPr>
          </w:p>
        </w:tc>
        <w:tc>
          <w:tcPr>
            <w:tcW w:w="2180" w:type="dxa"/>
            <w:vAlign w:val="bottom"/>
            <w:tcBorders>
              <w:bottom w:val="single" w:sz="8" w:color="0067B3"/>
              <w:right w:val="single" w:sz="8" w:color="0067B3"/>
            </w:tcBorders>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3740" w:type="dxa"/>
            <w:vAlign w:val="bottom"/>
            <w:gridSpan w:val="2"/>
            <w:vMerge w:val="restart"/>
          </w:tcPr>
          <w:p>
            <w:pPr>
              <w:jc w:val="center"/>
              <w:spacing w:after="0"/>
              <w:rPr>
                <w:sz w:val="20"/>
                <w:szCs w:val="20"/>
                <w:color w:val="auto"/>
              </w:rPr>
            </w:pPr>
            <w:r>
              <w:rPr>
                <w:rFonts w:ascii="Arial" w:cs="Arial" w:eastAsia="Arial" w:hAnsi="Arial"/>
                <w:sz w:val="41"/>
                <w:szCs w:val="41"/>
                <w:b w:val="1"/>
                <w:bCs w:val="1"/>
                <w:color w:val="0067B3"/>
              </w:rPr>
              <w:t>&gt;$24B</w:t>
            </w:r>
          </w:p>
        </w:tc>
        <w:tc>
          <w:tcPr>
            <w:tcW w:w="640" w:type="dxa"/>
            <w:vAlign w:val="bottom"/>
          </w:tcPr>
          <w:p>
            <w:pPr>
              <w:spacing w:after="0"/>
              <w:rPr>
                <w:sz w:val="24"/>
                <w:szCs w:val="24"/>
                <w:color w:val="auto"/>
              </w:rPr>
            </w:pPr>
          </w:p>
        </w:tc>
        <w:tc>
          <w:tcPr>
            <w:tcW w:w="2340" w:type="dxa"/>
            <w:vAlign w:val="bottom"/>
            <w:vMerge w:val="restart"/>
          </w:tcPr>
          <w:p>
            <w:pPr>
              <w:ind w:left="780"/>
              <w:spacing w:after="0"/>
              <w:rPr>
                <w:sz w:val="20"/>
                <w:szCs w:val="20"/>
                <w:color w:val="auto"/>
              </w:rPr>
            </w:pPr>
            <w:r>
              <w:rPr>
                <w:rFonts w:ascii="Arial" w:cs="Arial" w:eastAsia="Arial" w:hAnsi="Arial"/>
                <w:sz w:val="41"/>
                <w:szCs w:val="41"/>
                <w:b w:val="1"/>
                <w:bCs w:val="1"/>
                <w:color w:val="0067B3"/>
              </w:rPr>
              <w:t>9.5%</w:t>
            </w:r>
          </w:p>
        </w:tc>
        <w:tc>
          <w:tcPr>
            <w:tcW w:w="4540" w:type="dxa"/>
            <w:vAlign w:val="bottom"/>
            <w:gridSpan w:val="3"/>
          </w:tcPr>
          <w:p>
            <w:pPr>
              <w:spacing w:after="0"/>
              <w:rPr>
                <w:sz w:val="24"/>
                <w:szCs w:val="24"/>
                <w:color w:val="auto"/>
              </w:rPr>
            </w:pPr>
          </w:p>
        </w:tc>
        <w:tc>
          <w:tcPr>
            <w:tcW w:w="0" w:type="dxa"/>
            <w:vAlign w:val="bottom"/>
          </w:tcPr>
          <w:p>
            <w:pPr>
              <w:spacing w:after="0"/>
              <w:rPr>
                <w:sz w:val="1"/>
                <w:szCs w:val="1"/>
                <w:color w:val="auto"/>
              </w:rPr>
            </w:pPr>
          </w:p>
        </w:tc>
      </w:tr>
      <w:tr>
        <w:trPr>
          <w:trHeight w:val="670"/>
        </w:trPr>
        <w:tc>
          <w:tcPr>
            <w:tcW w:w="3740" w:type="dxa"/>
            <w:vAlign w:val="bottom"/>
            <w:gridSpan w:val="2"/>
            <w:vMerge w:val="continue"/>
          </w:tcPr>
          <w:p>
            <w:pPr>
              <w:spacing w:after="0"/>
              <w:rPr>
                <w:sz w:val="24"/>
                <w:szCs w:val="24"/>
                <w:color w:val="auto"/>
              </w:rPr>
            </w:pPr>
          </w:p>
        </w:tc>
        <w:tc>
          <w:tcPr>
            <w:tcW w:w="640" w:type="dxa"/>
            <w:vAlign w:val="bottom"/>
            <w:tcBorders>
              <w:left w:val="single" w:sz="8" w:color="auto"/>
            </w:tcBorders>
          </w:tcPr>
          <w:p>
            <w:pPr>
              <w:spacing w:after="0"/>
              <w:rPr>
                <w:sz w:val="24"/>
                <w:szCs w:val="24"/>
                <w:color w:val="auto"/>
              </w:rPr>
            </w:pPr>
          </w:p>
        </w:tc>
        <w:tc>
          <w:tcPr>
            <w:tcW w:w="2340" w:type="dxa"/>
            <w:vAlign w:val="bottom"/>
            <w:vMerge w:val="continue"/>
          </w:tcPr>
          <w:p>
            <w:pPr>
              <w:spacing w:after="0"/>
              <w:rPr>
                <w:sz w:val="24"/>
                <w:szCs w:val="24"/>
                <w:color w:val="auto"/>
              </w:rPr>
            </w:pPr>
          </w:p>
        </w:tc>
        <w:tc>
          <w:tcPr>
            <w:tcW w:w="780" w:type="dxa"/>
            <w:vAlign w:val="bottom"/>
            <w:tcBorders>
              <w:right w:val="single" w:sz="8" w:color="auto"/>
            </w:tcBorders>
          </w:tcPr>
          <w:p>
            <w:pPr>
              <w:spacing w:after="0"/>
              <w:rPr>
                <w:sz w:val="24"/>
                <w:szCs w:val="24"/>
                <w:color w:val="auto"/>
              </w:rPr>
            </w:pPr>
          </w:p>
        </w:tc>
        <w:tc>
          <w:tcPr>
            <w:tcW w:w="3760" w:type="dxa"/>
            <w:vAlign w:val="bottom"/>
            <w:gridSpan w:val="2"/>
          </w:tcPr>
          <w:p>
            <w:pPr>
              <w:jc w:val="right"/>
              <w:ind w:right="1092"/>
              <w:spacing w:after="0"/>
              <w:rPr>
                <w:sz w:val="20"/>
                <w:szCs w:val="20"/>
                <w:color w:val="auto"/>
              </w:rPr>
            </w:pPr>
            <w:r>
              <w:rPr>
                <w:rFonts w:ascii="Arial" w:cs="Arial" w:eastAsia="Arial" w:hAnsi="Arial"/>
                <w:sz w:val="41"/>
                <w:szCs w:val="41"/>
                <w:b w:val="1"/>
                <w:bCs w:val="1"/>
                <w:color w:val="0067B3"/>
              </w:rPr>
              <w:t>&gt;375%</w:t>
            </w:r>
          </w:p>
        </w:tc>
        <w:tc>
          <w:tcPr>
            <w:tcW w:w="0" w:type="dxa"/>
            <w:vAlign w:val="bottom"/>
          </w:tcPr>
          <w:p>
            <w:pPr>
              <w:spacing w:after="0"/>
              <w:rPr>
                <w:sz w:val="1"/>
                <w:szCs w:val="1"/>
                <w:color w:val="auto"/>
              </w:rPr>
            </w:pPr>
          </w:p>
        </w:tc>
      </w:tr>
      <w:tr>
        <w:trPr>
          <w:trHeight w:val="216"/>
        </w:trPr>
        <w:tc>
          <w:tcPr>
            <w:tcW w:w="3740" w:type="dxa"/>
            <w:vAlign w:val="bottom"/>
            <w:gridSpan w:val="2"/>
          </w:tcPr>
          <w:p>
            <w:pPr>
              <w:jc w:val="center"/>
              <w:spacing w:after="0"/>
              <w:rPr>
                <w:sz w:val="20"/>
                <w:szCs w:val="20"/>
                <w:color w:val="auto"/>
              </w:rPr>
            </w:pPr>
            <w:r>
              <w:rPr>
                <w:rFonts w:ascii="Arial" w:cs="Arial" w:eastAsia="Arial" w:hAnsi="Arial"/>
                <w:sz w:val="18"/>
                <w:szCs w:val="18"/>
                <w:color w:val="auto"/>
              </w:rPr>
              <w:t>Cash Returned to Shareholders Over the</w:t>
            </w:r>
          </w:p>
        </w:tc>
        <w:tc>
          <w:tcPr>
            <w:tcW w:w="640" w:type="dxa"/>
            <w:vAlign w:val="bottom"/>
            <w:tcBorders>
              <w:left w:val="single" w:sz="8" w:color="auto"/>
            </w:tcBorders>
          </w:tcPr>
          <w:p>
            <w:pPr>
              <w:spacing w:after="0"/>
              <w:rPr>
                <w:sz w:val="18"/>
                <w:szCs w:val="18"/>
                <w:color w:val="auto"/>
              </w:rPr>
            </w:pPr>
          </w:p>
        </w:tc>
        <w:tc>
          <w:tcPr>
            <w:tcW w:w="2340" w:type="dxa"/>
            <w:vAlign w:val="bottom"/>
          </w:tcPr>
          <w:p>
            <w:pPr>
              <w:ind w:left="280"/>
              <w:spacing w:after="0"/>
              <w:rPr>
                <w:sz w:val="20"/>
                <w:szCs w:val="20"/>
                <w:color w:val="auto"/>
              </w:rPr>
            </w:pPr>
            <w:r>
              <w:rPr>
                <w:rFonts w:ascii="Arial" w:cs="Arial" w:eastAsia="Arial" w:hAnsi="Arial"/>
                <w:sz w:val="18"/>
                <w:szCs w:val="18"/>
                <w:color w:val="auto"/>
              </w:rPr>
              <w:t>10-Year Dividend CAGR</w:t>
            </w:r>
          </w:p>
        </w:tc>
        <w:tc>
          <w:tcPr>
            <w:tcW w:w="780" w:type="dxa"/>
            <w:vAlign w:val="bottom"/>
            <w:tcBorders>
              <w:right w:val="single" w:sz="8" w:color="auto"/>
            </w:tcBorders>
          </w:tcPr>
          <w:p>
            <w:pPr>
              <w:spacing w:after="0"/>
              <w:rPr>
                <w:sz w:val="18"/>
                <w:szCs w:val="18"/>
                <w:color w:val="auto"/>
              </w:rPr>
            </w:pPr>
          </w:p>
        </w:tc>
        <w:tc>
          <w:tcPr>
            <w:tcW w:w="3760" w:type="dxa"/>
            <w:vAlign w:val="bottom"/>
            <w:gridSpan w:val="2"/>
          </w:tcPr>
          <w:p>
            <w:pPr>
              <w:jc w:val="center"/>
              <w:spacing w:after="0"/>
              <w:rPr>
                <w:sz w:val="20"/>
                <w:szCs w:val="20"/>
                <w:color w:val="auto"/>
              </w:rPr>
            </w:pPr>
            <w:r>
              <w:rPr>
                <w:rFonts w:ascii="Arial" w:cs="Arial" w:eastAsia="Arial" w:hAnsi="Arial"/>
                <w:sz w:val="18"/>
                <w:szCs w:val="18"/>
                <w:color w:val="auto"/>
                <w:w w:val="98"/>
              </w:rPr>
              <w:t>10-Year Total Shareholder Return</w:t>
            </w:r>
          </w:p>
        </w:tc>
        <w:tc>
          <w:tcPr>
            <w:tcW w:w="0" w:type="dxa"/>
            <w:vAlign w:val="bottom"/>
          </w:tcPr>
          <w:p>
            <w:pPr>
              <w:spacing w:after="0"/>
              <w:rPr>
                <w:sz w:val="1"/>
                <w:szCs w:val="1"/>
                <w:color w:val="auto"/>
              </w:rPr>
            </w:pPr>
          </w:p>
        </w:tc>
      </w:tr>
      <w:tr>
        <w:trPr>
          <w:trHeight w:val="239"/>
        </w:trPr>
        <w:tc>
          <w:tcPr>
            <w:tcW w:w="3740" w:type="dxa"/>
            <w:vAlign w:val="bottom"/>
            <w:gridSpan w:val="2"/>
          </w:tcPr>
          <w:p>
            <w:pPr>
              <w:jc w:val="center"/>
              <w:spacing w:after="0"/>
              <w:rPr>
                <w:sz w:val="20"/>
                <w:szCs w:val="20"/>
                <w:color w:val="auto"/>
              </w:rPr>
            </w:pPr>
            <w:r>
              <w:rPr>
                <w:rFonts w:ascii="Arial" w:cs="Arial" w:eastAsia="Arial" w:hAnsi="Arial"/>
                <w:sz w:val="18"/>
                <w:szCs w:val="18"/>
                <w:color w:val="auto"/>
                <w:w w:val="97"/>
              </w:rPr>
              <w:t>Last 10 Years</w:t>
            </w:r>
          </w:p>
        </w:tc>
        <w:tc>
          <w:tcPr>
            <w:tcW w:w="640" w:type="dxa"/>
            <w:vAlign w:val="bottom"/>
            <w:tcBorders>
              <w:left w:val="single" w:sz="8" w:color="auto"/>
            </w:tcBorders>
          </w:tcPr>
          <w:p>
            <w:pPr>
              <w:spacing w:after="0"/>
              <w:rPr>
                <w:sz w:val="20"/>
                <w:szCs w:val="20"/>
                <w:color w:val="auto"/>
              </w:rPr>
            </w:pPr>
          </w:p>
        </w:tc>
        <w:tc>
          <w:tcPr>
            <w:tcW w:w="2340" w:type="dxa"/>
            <w:vAlign w:val="bottom"/>
          </w:tcPr>
          <w:p>
            <w:pPr>
              <w:spacing w:after="0"/>
              <w:rPr>
                <w:sz w:val="20"/>
                <w:szCs w:val="20"/>
                <w:color w:val="auto"/>
              </w:rPr>
            </w:pPr>
          </w:p>
        </w:tc>
        <w:tc>
          <w:tcPr>
            <w:tcW w:w="780" w:type="dxa"/>
            <w:vAlign w:val="bottom"/>
            <w:tcBorders>
              <w:right w:val="single" w:sz="8" w:color="auto"/>
            </w:tcBorders>
          </w:tcPr>
          <w:p>
            <w:pPr>
              <w:spacing w:after="0"/>
              <w:rPr>
                <w:sz w:val="20"/>
                <w:szCs w:val="20"/>
                <w:color w:val="auto"/>
              </w:rPr>
            </w:pPr>
          </w:p>
        </w:tc>
        <w:tc>
          <w:tcPr>
            <w:tcW w:w="1580" w:type="dxa"/>
            <w:vAlign w:val="bottom"/>
          </w:tcPr>
          <w:p>
            <w:pPr>
              <w:spacing w:after="0"/>
              <w:rPr>
                <w:sz w:val="20"/>
                <w:szCs w:val="20"/>
                <w:color w:val="auto"/>
              </w:rPr>
            </w:pPr>
          </w:p>
        </w:tc>
        <w:tc>
          <w:tcPr>
            <w:tcW w:w="2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9"/>
        </w:trPr>
        <w:tc>
          <w:tcPr>
            <w:tcW w:w="2120" w:type="dxa"/>
            <w:vAlign w:val="bottom"/>
            <w:tcBorders>
              <w:bottom w:val="single" w:sz="8" w:color="0067B3"/>
            </w:tcBorders>
          </w:tcPr>
          <w:p>
            <w:pPr>
              <w:spacing w:after="0"/>
              <w:rPr>
                <w:sz w:val="17"/>
                <w:szCs w:val="17"/>
                <w:color w:val="auto"/>
              </w:rPr>
            </w:pPr>
          </w:p>
        </w:tc>
        <w:tc>
          <w:tcPr>
            <w:tcW w:w="1620" w:type="dxa"/>
            <w:vAlign w:val="bottom"/>
            <w:tcBorders>
              <w:bottom w:val="single" w:sz="8" w:color="0067B3"/>
            </w:tcBorders>
          </w:tcPr>
          <w:p>
            <w:pPr>
              <w:spacing w:after="0"/>
              <w:rPr>
                <w:sz w:val="17"/>
                <w:szCs w:val="17"/>
                <w:color w:val="auto"/>
              </w:rPr>
            </w:pPr>
          </w:p>
        </w:tc>
        <w:tc>
          <w:tcPr>
            <w:tcW w:w="640" w:type="dxa"/>
            <w:vAlign w:val="bottom"/>
            <w:tcBorders>
              <w:left w:val="single" w:sz="8" w:color="auto"/>
              <w:bottom w:val="single" w:sz="8" w:color="0067B3"/>
            </w:tcBorders>
          </w:tcPr>
          <w:p>
            <w:pPr>
              <w:spacing w:after="0"/>
              <w:rPr>
                <w:sz w:val="17"/>
                <w:szCs w:val="17"/>
                <w:color w:val="auto"/>
              </w:rPr>
            </w:pPr>
          </w:p>
        </w:tc>
        <w:tc>
          <w:tcPr>
            <w:tcW w:w="2340" w:type="dxa"/>
            <w:vAlign w:val="bottom"/>
            <w:tcBorders>
              <w:bottom w:val="single" w:sz="8" w:color="0067B3"/>
            </w:tcBorders>
          </w:tcPr>
          <w:p>
            <w:pPr>
              <w:spacing w:after="0"/>
              <w:rPr>
                <w:sz w:val="17"/>
                <w:szCs w:val="17"/>
                <w:color w:val="auto"/>
              </w:rPr>
            </w:pPr>
          </w:p>
        </w:tc>
        <w:tc>
          <w:tcPr>
            <w:tcW w:w="780" w:type="dxa"/>
            <w:vAlign w:val="bottom"/>
            <w:tcBorders>
              <w:bottom w:val="single" w:sz="8" w:color="0067B3"/>
              <w:right w:val="single" w:sz="8" w:color="auto"/>
            </w:tcBorders>
          </w:tcPr>
          <w:p>
            <w:pPr>
              <w:spacing w:after="0"/>
              <w:rPr>
                <w:sz w:val="17"/>
                <w:szCs w:val="17"/>
                <w:color w:val="auto"/>
              </w:rPr>
            </w:pPr>
          </w:p>
        </w:tc>
        <w:tc>
          <w:tcPr>
            <w:tcW w:w="1580" w:type="dxa"/>
            <w:vAlign w:val="bottom"/>
            <w:tcBorders>
              <w:bottom w:val="single" w:sz="8" w:color="0067B3"/>
            </w:tcBorders>
          </w:tcPr>
          <w:p>
            <w:pPr>
              <w:spacing w:after="0"/>
              <w:rPr>
                <w:sz w:val="17"/>
                <w:szCs w:val="17"/>
                <w:color w:val="auto"/>
              </w:rPr>
            </w:pPr>
          </w:p>
        </w:tc>
        <w:tc>
          <w:tcPr>
            <w:tcW w:w="2180" w:type="dxa"/>
            <w:vAlign w:val="bottom"/>
            <w:tcBorders>
              <w:bottom w:val="single" w:sz="8" w:color="0067B3"/>
            </w:tcBorders>
          </w:tcPr>
          <w:p>
            <w:pPr>
              <w:spacing w:after="0"/>
              <w:rPr>
                <w:sz w:val="17"/>
                <w:szCs w:val="17"/>
                <w:color w:val="auto"/>
              </w:rPr>
            </w:pPr>
          </w:p>
        </w:tc>
        <w:tc>
          <w:tcPr>
            <w:tcW w:w="0" w:type="dxa"/>
            <w:vAlign w:val="bottom"/>
          </w:tcPr>
          <w:p>
            <w:pPr>
              <w:spacing w:after="0"/>
              <w:rPr>
                <w:sz w:val="1"/>
                <w:szCs w:val="1"/>
                <w:color w:val="auto"/>
              </w:rPr>
            </w:pPr>
          </w:p>
        </w:tc>
      </w:tr>
    </w:tbl>
    <w:p>
      <w:pPr>
        <w:spacing w:after="0" w:line="148" w:lineRule="exact"/>
        <w:rPr>
          <w:sz w:val="20"/>
          <w:szCs w:val="20"/>
          <w:color w:val="auto"/>
        </w:rPr>
      </w:pPr>
    </w:p>
    <w:p>
      <w:pPr>
        <w:ind w:left="200" w:right="540" w:hanging="192"/>
        <w:spacing w:after="0" w:line="286" w:lineRule="auto"/>
        <w:tabs>
          <w:tab w:leader="none" w:pos="249" w:val="left"/>
        </w:tabs>
        <w:numPr>
          <w:ilvl w:val="0"/>
          <w:numId w:val="77"/>
        </w:numPr>
        <w:rPr>
          <w:rFonts w:ascii="Arial" w:cs="Arial" w:eastAsia="Arial" w:hAnsi="Arial"/>
          <w:sz w:val="16"/>
          <w:szCs w:val="16"/>
          <w:color w:val="auto"/>
        </w:rPr>
      </w:pPr>
      <w:r>
        <w:rPr>
          <w:rFonts w:ascii="Arial" w:cs="Arial" w:eastAsia="Arial" w:hAnsi="Arial"/>
          <w:sz w:val="16"/>
          <w:szCs w:val="16"/>
          <w:color w:val="auto"/>
        </w:rPr>
        <w:t xml:space="preserve">See </w:t>
      </w:r>
      <w:r>
        <w:rPr>
          <w:rFonts w:ascii="Arial" w:cs="Arial" w:eastAsia="Arial" w:hAnsi="Arial"/>
          <w:sz w:val="16"/>
          <w:szCs w:val="16"/>
          <w:i w:val="1"/>
          <w:iCs w:val="1"/>
          <w:color w:val="auto"/>
        </w:rPr>
        <w:t>Appendix B</w:t>
      </w:r>
      <w:r>
        <w:rPr>
          <w:rFonts w:ascii="Arial" w:cs="Arial" w:eastAsia="Arial" w:hAnsi="Arial"/>
          <w:sz w:val="16"/>
          <w:szCs w:val="16"/>
          <w:color w:val="auto"/>
        </w:rPr>
        <w:t xml:space="preserve"> for information regarding non-GAAP financial measures and reconciliations of non-GAAP financial measures to their most directly comparable GAAP financial measures.</w:t>
      </w:r>
    </w:p>
    <w:p>
      <w:pPr>
        <w:spacing w:after="0" w:line="200" w:lineRule="exact"/>
        <w:rPr>
          <w:sz w:val="20"/>
          <w:szCs w:val="20"/>
          <w:color w:val="auto"/>
        </w:rPr>
      </w:pPr>
    </w:p>
    <w:p>
      <w:pPr>
        <w:spacing w:after="0" w:line="237" w:lineRule="exact"/>
        <w:rPr>
          <w:sz w:val="20"/>
          <w:szCs w:val="20"/>
          <w:color w:val="auto"/>
        </w:rPr>
      </w:pPr>
    </w:p>
    <w:p>
      <w:pPr>
        <w:ind w:left="640" w:hanging="614"/>
        <w:spacing w:after="0"/>
        <w:tabs>
          <w:tab w:leader="none" w:pos="640" w:val="left"/>
        </w:tabs>
        <w:numPr>
          <w:ilvl w:val="0"/>
          <w:numId w:val="78"/>
        </w:numPr>
        <w:rPr>
          <w:rFonts w:ascii="Arial" w:cs="Arial" w:eastAsia="Arial" w:hAnsi="Arial"/>
          <w:sz w:val="20"/>
          <w:szCs w:val="20"/>
          <w:b w:val="1"/>
          <w:bCs w:val="1"/>
          <w:color w:val="auto"/>
        </w:rPr>
      </w:pPr>
      <w:r>
        <w:rPr>
          <w:rFonts w:ascii="Arial" w:cs="Arial" w:eastAsia="Arial" w:hAnsi="Arial"/>
          <w:sz w:val="16"/>
          <w:szCs w:val="16"/>
          <w:color w:val="6D6E71"/>
        </w:rPr>
        <w:t>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186055</wp:posOffset>
            </wp:positionV>
            <wp:extent cx="7157720" cy="4254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60"/>
          </w:cols>
          <w:pgMar w:left="320" w:top="1356" w:right="319" w:bottom="1043" w:gutter="0" w:footer="0" w:header="0"/>
        </w:sectPr>
      </w:pPr>
    </w:p>
    <w:bookmarkStart w:id="50" w:name="page51"/>
    <w:bookmarkEnd w:id="50"/>
    <w:p>
      <w:pPr>
        <w:spacing w:after="0"/>
        <w:rPr>
          <w:sz w:val="20"/>
          <w:szCs w:val="20"/>
          <w:color w:val="auto"/>
        </w:rPr>
      </w:pPr>
      <w:r>
        <w:rPr>
          <w:rFonts w:ascii="Arial" w:cs="Arial" w:eastAsia="Arial" w:hAnsi="Arial"/>
          <w:sz w:val="27"/>
          <w:szCs w:val="27"/>
          <w:b w:val="1"/>
          <w:bCs w:val="1"/>
          <w:color w:val="0067B3"/>
        </w:rPr>
        <w:t>Compensation Philosophy and Objectives</w:t>
      </w:r>
    </w:p>
    <w:p>
      <w:pPr>
        <w:spacing w:after="0" w:line="146" w:lineRule="exact"/>
        <w:rPr>
          <w:sz w:val="20"/>
          <w:szCs w:val="20"/>
          <w:color w:val="auto"/>
        </w:rPr>
      </w:pPr>
    </w:p>
    <w:p>
      <w:pPr>
        <w:ind w:right="240"/>
        <w:spacing w:after="0" w:line="259" w:lineRule="auto"/>
        <w:rPr>
          <w:sz w:val="20"/>
          <w:szCs w:val="20"/>
          <w:color w:val="auto"/>
        </w:rPr>
      </w:pPr>
      <w:r>
        <w:rPr>
          <w:rFonts w:ascii="Arial" w:cs="Arial" w:eastAsia="Arial" w:hAnsi="Arial"/>
          <w:sz w:val="18"/>
          <w:szCs w:val="18"/>
          <w:color w:val="auto"/>
        </w:rPr>
        <w:t>Our business is based on innovation and helping our customers solve some of the world’s most complex problems. As a knowledge-based business, we believe that the skills, expertise, and experience of our employees, including our NEOs, are unique and critical factors in our overall success. The competition for talent in the technology sector is fierce. To drive continued successful operational and financial performance, we must attract, motivate, reward, and retain top executive talent. Accordingly, our executive compensation programs are designed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7132320" cy="64325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7132320" cy="643255"/>
                    </a:xfrm>
                    <a:prstGeom prst="rect">
                      <a:avLst/>
                    </a:prstGeom>
                    <a:noFill/>
                  </pic:spPr>
                </pic:pic>
              </a:graphicData>
            </a:graphic>
          </wp:anchor>
        </w:drawing>
      </w:r>
    </w:p>
    <w:p>
      <w:pPr>
        <w:sectPr>
          <w:pgSz w:w="11900" w:h="16838" w:orient="portrait"/>
          <w:cols w:equalWidth="0" w:num="1">
            <w:col w:w="11260"/>
          </w:cols>
          <w:pgMar w:left="320" w:top="1271" w:right="319" w:bottom="1440" w:gutter="0" w:footer="0" w:header="0"/>
        </w:sectPr>
      </w:pPr>
    </w:p>
    <w:p>
      <w:pPr>
        <w:spacing w:after="0" w:line="301" w:lineRule="exact"/>
        <w:rPr>
          <w:sz w:val="20"/>
          <w:szCs w:val="20"/>
          <w:color w:val="auto"/>
        </w:rPr>
      </w:pPr>
    </w:p>
    <w:p>
      <w:pPr>
        <w:ind w:left="220" w:hanging="194"/>
        <w:spacing w:after="0" w:line="287" w:lineRule="auto"/>
        <w:tabs>
          <w:tab w:leader="none" w:pos="177" w:val="left"/>
        </w:tabs>
        <w:numPr>
          <w:ilvl w:val="0"/>
          <w:numId w:val="79"/>
        </w:numPr>
        <w:rPr>
          <w:rFonts w:ascii="Arial" w:cs="Arial" w:eastAsia="Arial" w:hAnsi="Arial"/>
          <w:sz w:val="13"/>
          <w:szCs w:val="13"/>
          <w:color w:val="0067B3"/>
        </w:rPr>
      </w:pPr>
      <w:r>
        <w:rPr>
          <w:rFonts w:ascii="Arial" w:cs="Arial" w:eastAsia="Arial" w:hAnsi="Arial"/>
          <w:sz w:val="18"/>
          <w:szCs w:val="18"/>
          <w:color w:val="auto"/>
        </w:rPr>
        <w:t>Create alignment between executive and shareholder interests</w:t>
      </w:r>
    </w:p>
    <w:p>
      <w:pPr>
        <w:spacing w:after="0" w:line="20" w:lineRule="exact"/>
        <w:rPr>
          <w:sz w:val="20"/>
          <w:szCs w:val="20"/>
          <w:color w:val="auto"/>
        </w:rPr>
      </w:pPr>
      <w:r>
        <w:rPr>
          <w:sz w:val="20"/>
          <w:szCs w:val="20"/>
          <w:color w:val="auto"/>
        </w:rPr>
        <w:br w:type="column"/>
      </w:r>
    </w:p>
    <w:p>
      <w:pPr>
        <w:spacing w:after="0" w:line="281" w:lineRule="exact"/>
        <w:rPr>
          <w:sz w:val="20"/>
          <w:szCs w:val="20"/>
          <w:color w:val="auto"/>
        </w:rPr>
      </w:pPr>
    </w:p>
    <w:p>
      <w:pPr>
        <w:ind w:left="185" w:right="188" w:hanging="185"/>
        <w:spacing w:after="0" w:line="268" w:lineRule="auto"/>
        <w:tabs>
          <w:tab w:leader="none" w:pos="142" w:val="left"/>
        </w:tabs>
        <w:numPr>
          <w:ilvl w:val="0"/>
          <w:numId w:val="80"/>
        </w:numPr>
        <w:rPr>
          <w:rFonts w:ascii="Arial" w:cs="Arial" w:eastAsia="Arial" w:hAnsi="Arial"/>
          <w:sz w:val="13"/>
          <w:szCs w:val="13"/>
          <w:color w:val="0067B3"/>
        </w:rPr>
      </w:pPr>
      <w:r>
        <w:rPr>
          <w:rFonts w:ascii="Arial" w:cs="Arial" w:eastAsia="Arial" w:hAnsi="Arial"/>
          <w:sz w:val="18"/>
          <w:szCs w:val="18"/>
          <w:color w:val="auto"/>
        </w:rPr>
        <w:t>Pay for performance by ensuring incentives are tied to multiple key business performance metrics</w:t>
      </w:r>
    </w:p>
    <w:p>
      <w:pPr>
        <w:spacing w:after="0" w:line="20" w:lineRule="exact"/>
        <w:rPr>
          <w:sz w:val="20"/>
          <w:szCs w:val="20"/>
          <w:color w:val="auto"/>
        </w:rPr>
      </w:pPr>
      <w:r>
        <w:rPr>
          <w:sz w:val="20"/>
          <w:szCs w:val="20"/>
          <w:color w:val="auto"/>
        </w:rPr>
        <w:br w:type="column"/>
      </w:r>
    </w:p>
    <w:p>
      <w:pPr>
        <w:spacing w:after="0" w:line="281" w:lineRule="exact"/>
        <w:rPr>
          <w:sz w:val="20"/>
          <w:szCs w:val="20"/>
          <w:color w:val="auto"/>
        </w:rPr>
      </w:pPr>
    </w:p>
    <w:p>
      <w:pPr>
        <w:ind w:left="192" w:right="120" w:hanging="192"/>
        <w:spacing w:after="0" w:line="287" w:lineRule="auto"/>
        <w:tabs>
          <w:tab w:leader="none" w:pos="149" w:val="left"/>
        </w:tabs>
        <w:numPr>
          <w:ilvl w:val="0"/>
          <w:numId w:val="81"/>
        </w:numPr>
        <w:rPr>
          <w:rFonts w:ascii="Arial" w:cs="Arial" w:eastAsia="Arial" w:hAnsi="Arial"/>
          <w:sz w:val="13"/>
          <w:szCs w:val="13"/>
          <w:color w:val="0067B3"/>
        </w:rPr>
      </w:pPr>
      <w:r>
        <w:rPr>
          <w:rFonts w:ascii="Arial" w:cs="Arial" w:eastAsia="Arial" w:hAnsi="Arial"/>
          <w:sz w:val="18"/>
          <w:szCs w:val="18"/>
          <w:color w:val="auto"/>
        </w:rPr>
        <w:t>Provide market competitive compensation to attract and retain top executive talent</w:t>
      </w:r>
    </w:p>
    <w:p>
      <w:pPr>
        <w:spacing w:after="0" w:line="398" w:lineRule="exact"/>
        <w:rPr>
          <w:sz w:val="20"/>
          <w:szCs w:val="20"/>
          <w:color w:val="auto"/>
        </w:rPr>
      </w:pPr>
    </w:p>
    <w:p>
      <w:pPr>
        <w:sectPr>
          <w:pgSz w:w="11900" w:h="16838" w:orient="portrait"/>
          <w:cols w:equalWidth="0" w:num="3">
            <w:col w:w="3440" w:space="455"/>
            <w:col w:w="3033" w:space="720"/>
            <w:col w:w="3612"/>
          </w:cols>
          <w:pgMar w:left="320" w:top="1271" w:right="319" w:bottom="1440" w:gutter="0" w:footer="0" w:header="0"/>
          <w:type w:val="continuous"/>
        </w:sectPr>
      </w:pPr>
    </w:p>
    <w:p>
      <w:pPr>
        <w:spacing w:after="0" w:line="280" w:lineRule="exact"/>
        <w:rPr>
          <w:sz w:val="20"/>
          <w:szCs w:val="20"/>
          <w:color w:val="auto"/>
        </w:rPr>
      </w:pPr>
    </w:p>
    <w:p>
      <w:pPr>
        <w:spacing w:after="0"/>
        <w:rPr>
          <w:sz w:val="20"/>
          <w:szCs w:val="20"/>
          <w:color w:val="auto"/>
        </w:rPr>
      </w:pPr>
      <w:r>
        <w:rPr>
          <w:rFonts w:ascii="Arial" w:cs="Arial" w:eastAsia="Arial" w:hAnsi="Arial"/>
          <w:sz w:val="23"/>
          <w:szCs w:val="23"/>
          <w:b w:val="1"/>
          <w:bCs w:val="1"/>
          <w:color w:val="auto"/>
        </w:rPr>
        <w:t>Pay for Performance</w:t>
      </w:r>
    </w:p>
    <w:p>
      <w:pPr>
        <w:spacing w:after="0" w:line="155" w:lineRule="exact"/>
        <w:rPr>
          <w:sz w:val="20"/>
          <w:szCs w:val="20"/>
          <w:color w:val="auto"/>
        </w:rPr>
      </w:pPr>
    </w:p>
    <w:p>
      <w:pPr>
        <w:ind w:right="280"/>
        <w:spacing w:after="0" w:line="256" w:lineRule="auto"/>
        <w:rPr>
          <w:sz w:val="20"/>
          <w:szCs w:val="20"/>
          <w:color w:val="auto"/>
        </w:rPr>
      </w:pPr>
      <w:r>
        <w:rPr>
          <w:rFonts w:ascii="Arial" w:cs="Arial" w:eastAsia="Arial" w:hAnsi="Arial"/>
          <w:sz w:val="18"/>
          <w:szCs w:val="18"/>
          <w:color w:val="auto"/>
        </w:rPr>
        <w:t>A significant portion of the total target compensation for our executive officers, including our NEOs, is in the form of variable, performance-based incentive compensation, with only a small portion of the total target compensation provided in the form of “fixed” compensation. We believe this focuses our executives on achieving company objectives, supports a high-performing culture that attracts and retains highly-qualified executive talent, and aligns executives’ incentives with the creation of shareholder value. In addition, we believe our focus on variable, performance-based incentive compensation provides our executive officers an opportunity to benefit if we deliver stronger results and conversely, if we deliver weaker results, our executive officers will earn less compensation. The target pay mix for our NEOs for fiscal year 2025 is shown below:</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350"/>
        </w:trPr>
        <w:tc>
          <w:tcPr>
            <w:tcW w:w="1440" w:type="dxa"/>
            <w:vAlign w:val="bottom"/>
            <w:tcBorders>
              <w:right w:val="single" w:sz="8" w:color="auto"/>
            </w:tcBorders>
          </w:tcPr>
          <w:p>
            <w:pPr>
              <w:spacing w:after="0"/>
              <w:rPr>
                <w:sz w:val="24"/>
                <w:szCs w:val="24"/>
                <w:color w:val="auto"/>
              </w:rPr>
            </w:pPr>
          </w:p>
        </w:tc>
        <w:tc>
          <w:tcPr>
            <w:tcW w:w="1520" w:type="dxa"/>
            <w:vAlign w:val="bottom"/>
            <w:tcBorders>
              <w:right w:val="single" w:sz="8" w:color="auto"/>
            </w:tcBorders>
          </w:tcPr>
          <w:p>
            <w:pPr>
              <w:spacing w:after="0"/>
              <w:rPr>
                <w:sz w:val="24"/>
                <w:szCs w:val="24"/>
                <w:color w:val="auto"/>
              </w:rPr>
            </w:pPr>
          </w:p>
        </w:tc>
        <w:tc>
          <w:tcPr>
            <w:tcW w:w="2020" w:type="dxa"/>
            <w:vAlign w:val="bottom"/>
          </w:tcPr>
          <w:p>
            <w:pPr>
              <w:spacing w:after="0"/>
              <w:rPr>
                <w:sz w:val="24"/>
                <w:szCs w:val="24"/>
                <w:color w:val="auto"/>
              </w:rPr>
            </w:pPr>
          </w:p>
        </w:tc>
        <w:tc>
          <w:tcPr>
            <w:tcW w:w="4420" w:type="dxa"/>
            <w:vAlign w:val="bottom"/>
            <w:gridSpan w:val="2"/>
          </w:tcPr>
          <w:p>
            <w:pPr>
              <w:ind w:left="880"/>
              <w:spacing w:after="0"/>
              <w:rPr>
                <w:sz w:val="20"/>
                <w:szCs w:val="20"/>
                <w:color w:val="auto"/>
              </w:rPr>
            </w:pPr>
            <w:r>
              <w:rPr>
                <w:rFonts w:ascii="Arial" w:cs="Arial" w:eastAsia="Arial" w:hAnsi="Arial"/>
                <w:sz w:val="18"/>
                <w:szCs w:val="18"/>
                <w:b w:val="1"/>
                <w:bCs w:val="1"/>
                <w:color w:val="auto"/>
              </w:rPr>
              <w:t>Performance-Based Incentives</w:t>
            </w:r>
          </w:p>
        </w:tc>
        <w:tc>
          <w:tcPr>
            <w:tcW w:w="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1440" w:type="dxa"/>
            <w:vAlign w:val="bottom"/>
            <w:tcBorders>
              <w:bottom w:val="single" w:sz="8" w:color="BCBEC0"/>
              <w:right w:val="single" w:sz="8" w:color="auto"/>
            </w:tcBorders>
          </w:tcPr>
          <w:p>
            <w:pPr>
              <w:spacing w:after="0"/>
              <w:rPr>
                <w:sz w:val="9"/>
                <w:szCs w:val="9"/>
                <w:color w:val="auto"/>
              </w:rPr>
            </w:pPr>
          </w:p>
        </w:tc>
        <w:tc>
          <w:tcPr>
            <w:tcW w:w="1520" w:type="dxa"/>
            <w:vAlign w:val="bottom"/>
            <w:tcBorders>
              <w:bottom w:val="single" w:sz="8" w:color="7292CB"/>
              <w:right w:val="single" w:sz="8" w:color="auto"/>
            </w:tcBorders>
          </w:tcPr>
          <w:p>
            <w:pPr>
              <w:spacing w:after="0"/>
              <w:rPr>
                <w:sz w:val="9"/>
                <w:szCs w:val="9"/>
                <w:color w:val="auto"/>
              </w:rPr>
            </w:pPr>
          </w:p>
        </w:tc>
        <w:tc>
          <w:tcPr>
            <w:tcW w:w="2020" w:type="dxa"/>
            <w:vAlign w:val="bottom"/>
            <w:tcBorders>
              <w:bottom w:val="single" w:sz="8" w:color="0067B3"/>
            </w:tcBorders>
          </w:tcPr>
          <w:p>
            <w:pPr>
              <w:spacing w:after="0"/>
              <w:rPr>
                <w:sz w:val="9"/>
                <w:szCs w:val="9"/>
                <w:color w:val="auto"/>
              </w:rPr>
            </w:pPr>
          </w:p>
        </w:tc>
        <w:tc>
          <w:tcPr>
            <w:tcW w:w="2260" w:type="dxa"/>
            <w:vAlign w:val="bottom"/>
            <w:tcBorders>
              <w:bottom w:val="single" w:sz="8" w:color="0067B3"/>
            </w:tcBorders>
          </w:tcPr>
          <w:p>
            <w:pPr>
              <w:spacing w:after="0"/>
              <w:rPr>
                <w:sz w:val="9"/>
                <w:szCs w:val="9"/>
                <w:color w:val="auto"/>
              </w:rPr>
            </w:pPr>
          </w:p>
        </w:tc>
        <w:tc>
          <w:tcPr>
            <w:tcW w:w="2160" w:type="dxa"/>
            <w:vAlign w:val="bottom"/>
            <w:tcBorders>
              <w:bottom w:val="single" w:sz="8" w:color="0067B3"/>
            </w:tcBorders>
          </w:tcPr>
          <w:p>
            <w:pPr>
              <w:spacing w:after="0"/>
              <w:rPr>
                <w:sz w:val="9"/>
                <w:szCs w:val="9"/>
                <w:color w:val="auto"/>
              </w:rPr>
            </w:pPr>
          </w:p>
        </w:tc>
        <w:tc>
          <w:tcPr>
            <w:tcW w:w="280" w:type="dxa"/>
            <w:vAlign w:val="bottom"/>
          </w:tcPr>
          <w:p>
            <w:pPr>
              <w:spacing w:after="0"/>
              <w:rPr>
                <w:sz w:val="9"/>
                <w:szCs w:val="9"/>
                <w:color w:val="auto"/>
              </w:rPr>
            </w:pPr>
          </w:p>
        </w:tc>
        <w:tc>
          <w:tcPr>
            <w:tcW w:w="1580" w:type="dxa"/>
            <w:vAlign w:val="bottom"/>
            <w:tcBorders>
              <w:bottom w:val="single" w:sz="8" w:color="0067B3"/>
            </w:tcBorders>
          </w:tcPr>
          <w:p>
            <w:pPr>
              <w:spacing w:after="0"/>
              <w:rPr>
                <w:sz w:val="9"/>
                <w:szCs w:val="9"/>
                <w:color w:val="auto"/>
              </w:rPr>
            </w:pPr>
          </w:p>
        </w:tc>
        <w:tc>
          <w:tcPr>
            <w:tcW w:w="0" w:type="dxa"/>
            <w:vAlign w:val="bottom"/>
          </w:tcPr>
          <w:p>
            <w:pPr>
              <w:spacing w:after="0"/>
              <w:rPr>
                <w:sz w:val="1"/>
                <w:szCs w:val="1"/>
                <w:color w:val="auto"/>
              </w:rPr>
            </w:pPr>
          </w:p>
        </w:tc>
      </w:tr>
      <w:tr>
        <w:trPr>
          <w:trHeight w:val="366"/>
        </w:trPr>
        <w:tc>
          <w:tcPr>
            <w:tcW w:w="1440" w:type="dxa"/>
            <w:vAlign w:val="bottom"/>
            <w:tcBorders>
              <w:right w:val="single" w:sz="8" w:color="auto"/>
            </w:tcBorders>
            <w:vMerge w:val="restart"/>
            <w:shd w:val="clear" w:color="auto" w:fill="BCBEC0"/>
          </w:tcPr>
          <w:p>
            <w:pPr>
              <w:ind w:left="200"/>
              <w:spacing w:after="0"/>
              <w:rPr>
                <w:sz w:val="20"/>
                <w:szCs w:val="20"/>
                <w:color w:val="auto"/>
              </w:rPr>
            </w:pPr>
            <w:r>
              <w:rPr>
                <w:rFonts w:ascii="Arial" w:cs="Arial" w:eastAsia="Arial" w:hAnsi="Arial"/>
                <w:sz w:val="18"/>
                <w:szCs w:val="18"/>
                <w:b w:val="1"/>
                <w:bCs w:val="1"/>
                <w:color w:val="auto"/>
              </w:rPr>
              <w:t>Base Salary</w:t>
            </w:r>
          </w:p>
        </w:tc>
        <w:tc>
          <w:tcPr>
            <w:tcW w:w="1520" w:type="dxa"/>
            <w:vAlign w:val="bottom"/>
            <w:tcBorders>
              <w:right w:val="single" w:sz="8" w:color="auto"/>
            </w:tcBorders>
            <w:shd w:val="clear" w:color="auto" w:fill="7292CB"/>
          </w:tcPr>
          <w:p>
            <w:pPr>
              <w:jc w:val="center"/>
              <w:spacing w:after="0"/>
              <w:rPr>
                <w:sz w:val="20"/>
                <w:szCs w:val="20"/>
                <w:color w:val="auto"/>
              </w:rPr>
            </w:pPr>
            <w:r>
              <w:rPr>
                <w:rFonts w:ascii="Arial" w:cs="Arial" w:eastAsia="Arial" w:hAnsi="Arial"/>
                <w:sz w:val="18"/>
                <w:szCs w:val="18"/>
                <w:b w:val="1"/>
                <w:bCs w:val="1"/>
                <w:color w:val="FFFFFF"/>
                <w:w w:val="99"/>
              </w:rPr>
              <w:t>Variable Cash</w:t>
            </w:r>
          </w:p>
        </w:tc>
        <w:tc>
          <w:tcPr>
            <w:tcW w:w="2020" w:type="dxa"/>
            <w:vAlign w:val="bottom"/>
            <w:vMerge w:val="restart"/>
            <w:shd w:val="clear" w:color="auto" w:fill="0067B3"/>
          </w:tcPr>
          <w:p>
            <w:pPr>
              <w:ind w:left="240"/>
              <w:spacing w:after="0"/>
              <w:rPr>
                <w:sz w:val="20"/>
                <w:szCs w:val="20"/>
                <w:color w:val="auto"/>
              </w:rPr>
            </w:pPr>
            <w:r>
              <w:rPr>
                <w:rFonts w:ascii="Arial" w:cs="Arial" w:eastAsia="Arial" w:hAnsi="Arial"/>
                <w:sz w:val="18"/>
                <w:szCs w:val="18"/>
                <w:b w:val="1"/>
                <w:bCs w:val="1"/>
                <w:color w:val="FFFFFF"/>
              </w:rPr>
              <w:t>Time-Based RSUs</w:t>
            </w:r>
          </w:p>
        </w:tc>
        <w:tc>
          <w:tcPr>
            <w:tcW w:w="2260" w:type="dxa"/>
            <w:vAlign w:val="bottom"/>
            <w:shd w:val="clear" w:color="auto" w:fill="0067B3"/>
          </w:tcPr>
          <w:p>
            <w:pPr>
              <w:jc w:val="center"/>
              <w:spacing w:after="0"/>
              <w:rPr>
                <w:sz w:val="20"/>
                <w:szCs w:val="20"/>
                <w:color w:val="auto"/>
              </w:rPr>
            </w:pPr>
            <w:r>
              <w:rPr>
                <w:rFonts w:ascii="Arial" w:cs="Arial" w:eastAsia="Arial" w:hAnsi="Arial"/>
                <w:sz w:val="18"/>
                <w:szCs w:val="18"/>
                <w:b w:val="1"/>
                <w:bCs w:val="1"/>
                <w:color w:val="FFFFFF"/>
                <w:w w:val="99"/>
              </w:rPr>
              <w:t>Relative TSR</w:t>
            </w:r>
          </w:p>
        </w:tc>
        <w:tc>
          <w:tcPr>
            <w:tcW w:w="2160" w:type="dxa"/>
            <w:vAlign w:val="bottom"/>
            <w:shd w:val="clear" w:color="auto" w:fill="0067B3"/>
          </w:tcPr>
          <w:p>
            <w:pPr>
              <w:jc w:val="center"/>
              <w:spacing w:after="0"/>
              <w:rPr>
                <w:sz w:val="20"/>
                <w:szCs w:val="20"/>
                <w:color w:val="auto"/>
              </w:rPr>
            </w:pPr>
            <w:r>
              <w:rPr>
                <w:rFonts w:ascii="Arial" w:cs="Arial" w:eastAsia="Arial" w:hAnsi="Arial"/>
                <w:sz w:val="18"/>
                <w:szCs w:val="18"/>
                <w:b w:val="1"/>
                <w:bCs w:val="1"/>
                <w:color w:val="FFFFFF"/>
                <w:w w:val="99"/>
              </w:rPr>
              <w:t>Financial Metric</w:t>
            </w:r>
          </w:p>
        </w:tc>
        <w:tc>
          <w:tcPr>
            <w:tcW w:w="280" w:type="dxa"/>
            <w:vAlign w:val="bottom"/>
            <w:tcBorders>
              <w:right w:val="single" w:sz="8" w:color="0067B3"/>
            </w:tcBorders>
          </w:tcPr>
          <w:p>
            <w:pPr>
              <w:spacing w:after="0"/>
              <w:rPr>
                <w:sz w:val="24"/>
                <w:szCs w:val="24"/>
                <w:color w:val="auto"/>
              </w:rPr>
            </w:pPr>
          </w:p>
        </w:tc>
        <w:tc>
          <w:tcPr>
            <w:tcW w:w="1580" w:type="dxa"/>
            <w:vAlign w:val="bottom"/>
            <w:tcBorders>
              <w:right w:val="single" w:sz="8" w:color="0067B3"/>
            </w:tcBorders>
          </w:tcPr>
          <w:p>
            <w:pPr>
              <w:jc w:val="center"/>
              <w:spacing w:after="0"/>
              <w:rPr>
                <w:sz w:val="20"/>
                <w:szCs w:val="20"/>
                <w:color w:val="auto"/>
              </w:rPr>
            </w:pPr>
            <w:r>
              <w:rPr>
                <w:rFonts w:ascii="Arial" w:cs="Arial" w:eastAsia="Arial" w:hAnsi="Arial"/>
                <w:sz w:val="18"/>
                <w:szCs w:val="18"/>
                <w:b w:val="1"/>
                <w:bCs w:val="1"/>
                <w:color w:val="0067B3"/>
                <w:w w:val="99"/>
              </w:rPr>
              <w:t>TARGET COMP</w:t>
            </w:r>
          </w:p>
        </w:tc>
        <w:tc>
          <w:tcPr>
            <w:tcW w:w="0" w:type="dxa"/>
            <w:vAlign w:val="bottom"/>
          </w:tcPr>
          <w:p>
            <w:pPr>
              <w:spacing w:after="0"/>
              <w:rPr>
                <w:sz w:val="1"/>
                <w:szCs w:val="1"/>
                <w:color w:val="auto"/>
              </w:rPr>
            </w:pPr>
          </w:p>
        </w:tc>
      </w:tr>
      <w:tr>
        <w:trPr>
          <w:trHeight w:val="139"/>
        </w:trPr>
        <w:tc>
          <w:tcPr>
            <w:tcW w:w="1440" w:type="dxa"/>
            <w:vAlign w:val="bottom"/>
            <w:tcBorders>
              <w:right w:val="single" w:sz="8" w:color="auto"/>
            </w:tcBorders>
            <w:vMerge w:val="continue"/>
            <w:shd w:val="clear" w:color="auto" w:fill="BCBEC0"/>
          </w:tcPr>
          <w:p>
            <w:pPr>
              <w:spacing w:after="0"/>
              <w:rPr>
                <w:sz w:val="12"/>
                <w:szCs w:val="12"/>
                <w:color w:val="auto"/>
              </w:rPr>
            </w:pPr>
          </w:p>
        </w:tc>
        <w:tc>
          <w:tcPr>
            <w:tcW w:w="1520" w:type="dxa"/>
            <w:vAlign w:val="bottom"/>
            <w:tcBorders>
              <w:right w:val="single" w:sz="8" w:color="auto"/>
            </w:tcBorders>
            <w:vMerge w:val="restart"/>
            <w:shd w:val="clear" w:color="auto" w:fill="7292CB"/>
          </w:tcPr>
          <w:p>
            <w:pPr>
              <w:jc w:val="center"/>
              <w:spacing w:after="0"/>
              <w:rPr>
                <w:sz w:val="20"/>
                <w:szCs w:val="20"/>
                <w:color w:val="auto"/>
              </w:rPr>
            </w:pPr>
            <w:r>
              <w:rPr>
                <w:rFonts w:ascii="Arial" w:cs="Arial" w:eastAsia="Arial" w:hAnsi="Arial"/>
                <w:sz w:val="18"/>
                <w:szCs w:val="18"/>
                <w:b w:val="1"/>
                <w:bCs w:val="1"/>
                <w:color w:val="FFFFFF"/>
                <w:w w:val="99"/>
              </w:rPr>
              <w:t>Incentive</w:t>
            </w:r>
          </w:p>
        </w:tc>
        <w:tc>
          <w:tcPr>
            <w:tcW w:w="2020" w:type="dxa"/>
            <w:vAlign w:val="bottom"/>
            <w:vMerge w:val="continue"/>
            <w:shd w:val="clear" w:color="auto" w:fill="0067B3"/>
          </w:tcPr>
          <w:p>
            <w:pPr>
              <w:spacing w:after="0"/>
              <w:rPr>
                <w:sz w:val="12"/>
                <w:szCs w:val="12"/>
                <w:color w:val="auto"/>
              </w:rPr>
            </w:pPr>
          </w:p>
        </w:tc>
        <w:tc>
          <w:tcPr>
            <w:tcW w:w="2260" w:type="dxa"/>
            <w:vAlign w:val="bottom"/>
            <w:vMerge w:val="restart"/>
            <w:shd w:val="clear" w:color="auto" w:fill="0067B3"/>
          </w:tcPr>
          <w:p>
            <w:pPr>
              <w:jc w:val="center"/>
              <w:spacing w:after="0"/>
              <w:rPr>
                <w:sz w:val="20"/>
                <w:szCs w:val="20"/>
                <w:color w:val="auto"/>
              </w:rPr>
            </w:pPr>
            <w:r>
              <w:rPr>
                <w:rFonts w:ascii="Arial" w:cs="Arial" w:eastAsia="Arial" w:hAnsi="Arial"/>
                <w:sz w:val="18"/>
                <w:szCs w:val="18"/>
                <w:b w:val="1"/>
                <w:bCs w:val="1"/>
                <w:color w:val="FFFFFF"/>
                <w:w w:val="99"/>
              </w:rPr>
              <w:t>PRSUs</w:t>
            </w:r>
          </w:p>
        </w:tc>
        <w:tc>
          <w:tcPr>
            <w:tcW w:w="2160" w:type="dxa"/>
            <w:vAlign w:val="bottom"/>
            <w:vMerge w:val="restart"/>
            <w:shd w:val="clear" w:color="auto" w:fill="0067B3"/>
          </w:tcPr>
          <w:p>
            <w:pPr>
              <w:jc w:val="center"/>
              <w:spacing w:after="0"/>
              <w:rPr>
                <w:sz w:val="20"/>
                <w:szCs w:val="20"/>
                <w:color w:val="auto"/>
              </w:rPr>
            </w:pPr>
            <w:r>
              <w:rPr>
                <w:rFonts w:ascii="Arial" w:cs="Arial" w:eastAsia="Arial" w:hAnsi="Arial"/>
                <w:sz w:val="18"/>
                <w:szCs w:val="18"/>
                <w:b w:val="1"/>
                <w:bCs w:val="1"/>
                <w:color w:val="FFFFFF"/>
                <w:w w:val="99"/>
              </w:rPr>
              <w:t>PRSUs</w:t>
            </w:r>
          </w:p>
        </w:tc>
        <w:tc>
          <w:tcPr>
            <w:tcW w:w="280" w:type="dxa"/>
            <w:vAlign w:val="bottom"/>
            <w:tcBorders>
              <w:right w:val="single" w:sz="8" w:color="0067B3"/>
            </w:tcBorders>
          </w:tcPr>
          <w:p>
            <w:pPr>
              <w:spacing w:after="0"/>
              <w:rPr>
                <w:sz w:val="12"/>
                <w:szCs w:val="12"/>
                <w:color w:val="auto"/>
              </w:rPr>
            </w:pPr>
          </w:p>
        </w:tc>
        <w:tc>
          <w:tcPr>
            <w:tcW w:w="1580" w:type="dxa"/>
            <w:vAlign w:val="bottom"/>
            <w:tcBorders>
              <w:right w:val="single" w:sz="8" w:color="0067B3"/>
            </w:tcBorders>
            <w:vMerge w:val="restart"/>
          </w:tcPr>
          <w:p>
            <w:pPr>
              <w:jc w:val="center"/>
              <w:spacing w:after="0"/>
              <w:rPr>
                <w:sz w:val="20"/>
                <w:szCs w:val="20"/>
                <w:color w:val="auto"/>
              </w:rPr>
            </w:pPr>
            <w:r>
              <w:rPr>
                <w:rFonts w:ascii="Arial" w:cs="Arial" w:eastAsia="Arial" w:hAnsi="Arial"/>
                <w:sz w:val="18"/>
                <w:szCs w:val="18"/>
                <w:b w:val="1"/>
                <w:bCs w:val="1"/>
                <w:color w:val="0067B3"/>
                <w:w w:val="98"/>
              </w:rPr>
              <w:t>VALUE</w:t>
            </w:r>
          </w:p>
        </w:tc>
        <w:tc>
          <w:tcPr>
            <w:tcW w:w="0" w:type="dxa"/>
            <w:vAlign w:val="bottom"/>
          </w:tcPr>
          <w:p>
            <w:pPr>
              <w:spacing w:after="0"/>
              <w:rPr>
                <w:sz w:val="1"/>
                <w:szCs w:val="1"/>
                <w:color w:val="auto"/>
              </w:rPr>
            </w:pPr>
          </w:p>
        </w:tc>
      </w:tr>
      <w:tr>
        <w:trPr>
          <w:trHeight w:val="108"/>
        </w:trPr>
        <w:tc>
          <w:tcPr>
            <w:tcW w:w="1440" w:type="dxa"/>
            <w:vAlign w:val="bottom"/>
            <w:tcBorders>
              <w:right w:val="single" w:sz="8" w:color="auto"/>
            </w:tcBorders>
            <w:shd w:val="clear" w:color="auto" w:fill="BCBEC0"/>
          </w:tcPr>
          <w:p>
            <w:pPr>
              <w:spacing w:after="0"/>
              <w:rPr>
                <w:sz w:val="9"/>
                <w:szCs w:val="9"/>
                <w:color w:val="auto"/>
              </w:rPr>
            </w:pPr>
          </w:p>
        </w:tc>
        <w:tc>
          <w:tcPr>
            <w:tcW w:w="1520" w:type="dxa"/>
            <w:vAlign w:val="bottom"/>
            <w:tcBorders>
              <w:right w:val="single" w:sz="8" w:color="auto"/>
            </w:tcBorders>
            <w:vMerge w:val="continue"/>
            <w:shd w:val="clear" w:color="auto" w:fill="7292CB"/>
          </w:tcPr>
          <w:p>
            <w:pPr>
              <w:spacing w:after="0"/>
              <w:rPr>
                <w:sz w:val="9"/>
                <w:szCs w:val="9"/>
                <w:color w:val="auto"/>
              </w:rPr>
            </w:pPr>
          </w:p>
        </w:tc>
        <w:tc>
          <w:tcPr>
            <w:tcW w:w="2020" w:type="dxa"/>
            <w:vAlign w:val="bottom"/>
            <w:shd w:val="clear" w:color="auto" w:fill="0067B3"/>
          </w:tcPr>
          <w:p>
            <w:pPr>
              <w:spacing w:after="0"/>
              <w:rPr>
                <w:sz w:val="9"/>
                <w:szCs w:val="9"/>
                <w:color w:val="auto"/>
              </w:rPr>
            </w:pPr>
          </w:p>
        </w:tc>
        <w:tc>
          <w:tcPr>
            <w:tcW w:w="2260" w:type="dxa"/>
            <w:vAlign w:val="bottom"/>
            <w:vMerge w:val="continue"/>
            <w:shd w:val="clear" w:color="auto" w:fill="0067B3"/>
          </w:tcPr>
          <w:p>
            <w:pPr>
              <w:spacing w:after="0"/>
              <w:rPr>
                <w:sz w:val="9"/>
                <w:szCs w:val="9"/>
                <w:color w:val="auto"/>
              </w:rPr>
            </w:pPr>
          </w:p>
        </w:tc>
        <w:tc>
          <w:tcPr>
            <w:tcW w:w="2160" w:type="dxa"/>
            <w:vAlign w:val="bottom"/>
            <w:vMerge w:val="continue"/>
            <w:shd w:val="clear" w:color="auto" w:fill="0067B3"/>
          </w:tcPr>
          <w:p>
            <w:pPr>
              <w:spacing w:after="0"/>
              <w:rPr>
                <w:sz w:val="9"/>
                <w:szCs w:val="9"/>
                <w:color w:val="auto"/>
              </w:rPr>
            </w:pPr>
          </w:p>
        </w:tc>
        <w:tc>
          <w:tcPr>
            <w:tcW w:w="280" w:type="dxa"/>
            <w:vAlign w:val="bottom"/>
            <w:tcBorders>
              <w:right w:val="single" w:sz="8" w:color="0067B3"/>
            </w:tcBorders>
          </w:tcPr>
          <w:p>
            <w:pPr>
              <w:spacing w:after="0"/>
              <w:rPr>
                <w:sz w:val="9"/>
                <w:szCs w:val="9"/>
                <w:color w:val="auto"/>
              </w:rPr>
            </w:pPr>
          </w:p>
        </w:tc>
        <w:tc>
          <w:tcPr>
            <w:tcW w:w="1580" w:type="dxa"/>
            <w:vAlign w:val="bottom"/>
            <w:tcBorders>
              <w:right w:val="single" w:sz="8" w:color="0067B3"/>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77"/>
        </w:trPr>
        <w:tc>
          <w:tcPr>
            <w:tcW w:w="1440" w:type="dxa"/>
            <w:vAlign w:val="bottom"/>
            <w:tcBorders>
              <w:right w:val="single" w:sz="8" w:color="auto"/>
            </w:tcBorders>
            <w:shd w:val="clear" w:color="auto" w:fill="BCBEC0"/>
          </w:tcPr>
          <w:p>
            <w:pPr>
              <w:spacing w:after="0"/>
              <w:rPr>
                <w:sz w:val="15"/>
                <w:szCs w:val="15"/>
                <w:color w:val="auto"/>
              </w:rPr>
            </w:pPr>
          </w:p>
        </w:tc>
        <w:tc>
          <w:tcPr>
            <w:tcW w:w="1520" w:type="dxa"/>
            <w:vAlign w:val="bottom"/>
            <w:tcBorders>
              <w:right w:val="single" w:sz="8" w:color="auto"/>
            </w:tcBorders>
            <w:shd w:val="clear" w:color="auto" w:fill="7292CB"/>
          </w:tcPr>
          <w:p>
            <w:pPr>
              <w:spacing w:after="0"/>
              <w:rPr>
                <w:sz w:val="15"/>
                <w:szCs w:val="15"/>
                <w:color w:val="auto"/>
              </w:rPr>
            </w:pPr>
          </w:p>
        </w:tc>
        <w:tc>
          <w:tcPr>
            <w:tcW w:w="2020" w:type="dxa"/>
            <w:vAlign w:val="bottom"/>
            <w:shd w:val="clear" w:color="auto" w:fill="0067B3"/>
          </w:tcPr>
          <w:p>
            <w:pPr>
              <w:spacing w:after="0"/>
              <w:rPr>
                <w:sz w:val="15"/>
                <w:szCs w:val="15"/>
                <w:color w:val="auto"/>
              </w:rPr>
            </w:pPr>
          </w:p>
        </w:tc>
        <w:tc>
          <w:tcPr>
            <w:tcW w:w="2260" w:type="dxa"/>
            <w:vAlign w:val="bottom"/>
            <w:shd w:val="clear" w:color="auto" w:fill="0067B3"/>
          </w:tcPr>
          <w:p>
            <w:pPr>
              <w:spacing w:after="0"/>
              <w:rPr>
                <w:sz w:val="15"/>
                <w:szCs w:val="15"/>
                <w:color w:val="auto"/>
              </w:rPr>
            </w:pPr>
          </w:p>
        </w:tc>
        <w:tc>
          <w:tcPr>
            <w:tcW w:w="2160" w:type="dxa"/>
            <w:vAlign w:val="bottom"/>
            <w:shd w:val="clear" w:color="auto" w:fill="0067B3"/>
          </w:tcPr>
          <w:p>
            <w:pPr>
              <w:spacing w:after="0"/>
              <w:rPr>
                <w:sz w:val="15"/>
                <w:szCs w:val="15"/>
                <w:color w:val="auto"/>
              </w:rPr>
            </w:pPr>
          </w:p>
        </w:tc>
        <w:tc>
          <w:tcPr>
            <w:tcW w:w="280" w:type="dxa"/>
            <w:vAlign w:val="bottom"/>
            <w:tcBorders>
              <w:right w:val="single" w:sz="8" w:color="0067B3"/>
            </w:tcBorders>
          </w:tcPr>
          <w:p>
            <w:pPr>
              <w:spacing w:after="0"/>
              <w:rPr>
                <w:sz w:val="15"/>
                <w:szCs w:val="15"/>
                <w:color w:val="auto"/>
              </w:rPr>
            </w:pPr>
          </w:p>
        </w:tc>
        <w:tc>
          <w:tcPr>
            <w:tcW w:w="1580" w:type="dxa"/>
            <w:vAlign w:val="bottom"/>
            <w:tcBorders>
              <w:bottom w:val="single" w:sz="8" w:color="0067B3"/>
              <w:right w:val="single" w:sz="8" w:color="0067B3"/>
            </w:tcBorders>
          </w:tcPr>
          <w:p>
            <w:pPr>
              <w:spacing w:after="0"/>
              <w:rPr>
                <w:sz w:val="15"/>
                <w:szCs w:val="15"/>
                <w:color w:val="auto"/>
              </w:rPr>
            </w:pPr>
          </w:p>
        </w:tc>
        <w:tc>
          <w:tcPr>
            <w:tcW w:w="0" w:type="dxa"/>
            <w:vAlign w:val="bottom"/>
          </w:tcPr>
          <w:p>
            <w:pPr>
              <w:spacing w:after="0"/>
              <w:rPr>
                <w:sz w:val="1"/>
                <w:szCs w:val="1"/>
                <w:color w:val="auto"/>
              </w:rPr>
            </w:pPr>
          </w:p>
        </w:tc>
      </w:tr>
      <w:tr>
        <w:trPr>
          <w:trHeight w:val="250"/>
        </w:trPr>
        <w:tc>
          <w:tcPr>
            <w:tcW w:w="1440" w:type="dxa"/>
            <w:vAlign w:val="bottom"/>
            <w:tcBorders>
              <w:right w:val="single" w:sz="8" w:color="auto"/>
            </w:tcBorders>
          </w:tcPr>
          <w:p>
            <w:pPr>
              <w:spacing w:after="0"/>
              <w:rPr>
                <w:sz w:val="21"/>
                <w:szCs w:val="21"/>
                <w:color w:val="auto"/>
              </w:rPr>
            </w:pPr>
          </w:p>
        </w:tc>
        <w:tc>
          <w:tcPr>
            <w:tcW w:w="152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Short-term</w:t>
            </w:r>
          </w:p>
        </w:tc>
        <w:tc>
          <w:tcPr>
            <w:tcW w:w="2020" w:type="dxa"/>
            <w:vAlign w:val="bottom"/>
          </w:tcPr>
          <w:p>
            <w:pPr>
              <w:spacing w:after="0"/>
              <w:rPr>
                <w:sz w:val="21"/>
                <w:szCs w:val="21"/>
                <w:color w:val="auto"/>
              </w:rPr>
            </w:pPr>
          </w:p>
        </w:tc>
        <w:tc>
          <w:tcPr>
            <w:tcW w:w="2260" w:type="dxa"/>
            <w:vAlign w:val="bottom"/>
          </w:tcPr>
          <w:p>
            <w:pPr>
              <w:ind w:left="740"/>
              <w:spacing w:after="0"/>
              <w:rPr>
                <w:sz w:val="20"/>
                <w:szCs w:val="20"/>
                <w:color w:val="auto"/>
              </w:rPr>
            </w:pPr>
            <w:r>
              <w:rPr>
                <w:rFonts w:ascii="Arial" w:cs="Arial" w:eastAsia="Arial" w:hAnsi="Arial"/>
                <w:sz w:val="18"/>
                <w:szCs w:val="18"/>
                <w:b w:val="1"/>
                <w:bCs w:val="1"/>
                <w:color w:val="auto"/>
              </w:rPr>
              <w:t>Long-term</w:t>
            </w:r>
          </w:p>
        </w:tc>
        <w:tc>
          <w:tcPr>
            <w:tcW w:w="21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741"/>
        </w:trPr>
        <w:tc>
          <w:tcPr>
            <w:tcW w:w="4980" w:type="dxa"/>
            <w:vAlign w:val="bottom"/>
            <w:gridSpan w:val="3"/>
          </w:tcPr>
          <w:p>
            <w:pPr>
              <w:spacing w:after="0"/>
              <w:rPr>
                <w:sz w:val="20"/>
                <w:szCs w:val="20"/>
                <w:color w:val="auto"/>
              </w:rPr>
            </w:pPr>
            <w:r>
              <w:rPr>
                <w:rFonts w:ascii="Arial" w:cs="Arial" w:eastAsia="Arial" w:hAnsi="Arial"/>
                <w:sz w:val="18"/>
                <w:szCs w:val="18"/>
                <w:b w:val="1"/>
                <w:bCs w:val="1"/>
                <w:color w:val="0067B3"/>
              </w:rPr>
              <w:t>Fiscal Year 2025 Target Compensation for CEO</w:t>
            </w:r>
          </w:p>
        </w:tc>
        <w:tc>
          <w:tcPr>
            <w:tcW w:w="6280" w:type="dxa"/>
            <w:vAlign w:val="bottom"/>
            <w:gridSpan w:val="4"/>
          </w:tcPr>
          <w:p>
            <w:pPr>
              <w:ind w:left="760"/>
              <w:spacing w:after="0"/>
              <w:rPr>
                <w:sz w:val="20"/>
                <w:szCs w:val="20"/>
                <w:color w:val="auto"/>
              </w:rPr>
            </w:pPr>
            <w:r>
              <w:rPr>
                <w:rFonts w:ascii="Arial" w:cs="Arial" w:eastAsia="Arial" w:hAnsi="Arial"/>
                <w:sz w:val="18"/>
                <w:szCs w:val="18"/>
                <w:b w:val="1"/>
                <w:bCs w:val="1"/>
                <w:color w:val="0067B3"/>
              </w:rPr>
              <w:t>Fiscal Year 2025 Target Compensation for Other NEOs</w:t>
            </w:r>
            <w:r>
              <w:rPr>
                <w:rFonts w:ascii="Arial" w:cs="Arial" w:eastAsia="Arial" w:hAnsi="Arial"/>
                <w:sz w:val="23"/>
                <w:szCs w:val="23"/>
                <w:b w:val="1"/>
                <w:bCs w:val="1"/>
                <w:color w:val="0067B3"/>
                <w:vertAlign w:val="superscript"/>
              </w:rPr>
              <w:t>(1)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4599940</wp:posOffset>
            </wp:positionH>
            <wp:positionV relativeFrom="paragraph">
              <wp:posOffset>-1121410</wp:posOffset>
            </wp:positionV>
            <wp:extent cx="8890" cy="445770"/>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8890" cy="445770"/>
                    </a:xfrm>
                    <a:prstGeom prst="rect">
                      <a:avLst/>
                    </a:prstGeom>
                    <a:noFill/>
                  </pic:spPr>
                </pic:pic>
              </a:graphicData>
            </a:graphic>
          </wp:anchor>
        </w:drawing>
        <w:drawing>
          <wp:anchor simplePos="0" relativeHeight="251657728" behindDoc="1" locked="0" layoutInCell="0" allowOverlap="1">
            <wp:simplePos x="0" y="0"/>
            <wp:positionH relativeFrom="column">
              <wp:posOffset>3159760</wp:posOffset>
            </wp:positionH>
            <wp:positionV relativeFrom="paragraph">
              <wp:posOffset>-1121410</wp:posOffset>
            </wp:positionV>
            <wp:extent cx="8890" cy="445770"/>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8890" cy="445770"/>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-984250</wp:posOffset>
            </wp:positionV>
            <wp:extent cx="51435" cy="102870"/>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51435" cy="10287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43815</wp:posOffset>
            </wp:positionV>
            <wp:extent cx="6591935" cy="1577340"/>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6591935" cy="15773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ind w:left="220" w:hanging="212"/>
        <w:spacing w:after="0"/>
        <w:tabs>
          <w:tab w:leader="none" w:pos="220" w:val="left"/>
        </w:tabs>
        <w:numPr>
          <w:ilvl w:val="0"/>
          <w:numId w:val="82"/>
        </w:numPr>
        <w:rPr>
          <w:rFonts w:ascii="Arial" w:cs="Arial" w:eastAsia="Arial" w:hAnsi="Arial"/>
          <w:sz w:val="21"/>
          <w:szCs w:val="21"/>
          <w:color w:val="auto"/>
          <w:vertAlign w:val="superscript"/>
        </w:rPr>
      </w:pPr>
      <w:r>
        <w:rPr>
          <w:rFonts w:ascii="Arial" w:cs="Arial" w:eastAsia="Arial" w:hAnsi="Arial"/>
          <w:sz w:val="16"/>
          <w:szCs w:val="16"/>
          <w:color w:val="auto"/>
        </w:rPr>
        <w:t>Includes Richard C. Puccio, Jr., Martin Cotter, Vivek Jain, and Katsu Nakamura.</w:t>
      </w:r>
    </w:p>
    <w:p>
      <w:pPr>
        <w:spacing w:after="0" w:line="200" w:lineRule="exact"/>
        <w:rPr>
          <w:sz w:val="20"/>
          <w:szCs w:val="20"/>
          <w:color w:val="auto"/>
        </w:rPr>
      </w:pP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78"/>
        </w:trPr>
        <w:tc>
          <w:tcPr>
            <w:tcW w:w="10800" w:type="dxa"/>
            <w:vAlign w:val="bottom"/>
          </w:tcPr>
          <w:p>
            <w:pPr>
              <w:ind w:left="8980"/>
              <w:spacing w:after="0"/>
              <w:rPr>
                <w:sz w:val="20"/>
                <w:szCs w:val="20"/>
                <w:color w:val="auto"/>
              </w:rPr>
            </w:pPr>
            <w:r>
              <w:rPr>
                <w:rFonts w:ascii="Arial" w:cs="Arial" w:eastAsia="Arial" w:hAnsi="Arial"/>
                <w:sz w:val="16"/>
                <w:szCs w:val="16"/>
                <w:color w:val="0067B3"/>
              </w:rPr>
              <w:t>2026 Proxy Statement</w:t>
            </w:r>
          </w:p>
        </w:tc>
        <w:tc>
          <w:tcPr>
            <w:tcW w:w="440" w:type="dxa"/>
            <w:vAlign w:val="bottom"/>
          </w:tcPr>
          <w:p>
            <w:pPr>
              <w:jc w:val="right"/>
              <w:spacing w:after="0"/>
              <w:rPr>
                <w:sz w:val="20"/>
                <w:szCs w:val="20"/>
                <w:color w:val="auto"/>
              </w:rPr>
            </w:pPr>
            <w:r>
              <w:rPr>
                <w:rFonts w:ascii="Arial" w:cs="Arial" w:eastAsia="Arial" w:hAnsi="Arial"/>
                <w:sz w:val="20"/>
                <w:szCs w:val="20"/>
                <w:b w:val="1"/>
                <w:bCs w:val="1"/>
                <w:color w:val="auto"/>
              </w:rPr>
              <w:t>43</w:t>
            </w:r>
          </w:p>
        </w:tc>
      </w:tr>
      <w:tr>
        <w:trPr>
          <w:trHeight w:val="333"/>
        </w:trPr>
        <w:tc>
          <w:tcPr>
            <w:tcW w:w="1080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60"/>
          </w:cols>
          <w:pgMar w:left="320" w:top="1271" w:right="319" w:bottom="1440" w:gutter="0" w:footer="0" w:header="0"/>
          <w:type w:val="continuous"/>
        </w:sectPr>
      </w:pPr>
    </w:p>
    <w:bookmarkStart w:id="51" w:name="page52"/>
    <w:bookmarkEnd w:id="51"/>
    <w:p>
      <w:pPr>
        <w:spacing w:after="0"/>
        <w:rPr>
          <w:sz w:val="20"/>
          <w:szCs w:val="20"/>
          <w:color w:val="auto"/>
        </w:rPr>
      </w:pPr>
      <w:r>
        <w:rPr>
          <w:rFonts w:ascii="Arial" w:cs="Arial" w:eastAsia="Arial" w:hAnsi="Arial"/>
          <w:sz w:val="23"/>
          <w:szCs w:val="23"/>
          <w:b w:val="1"/>
          <w:bCs w:val="1"/>
          <w:color w:val="auto"/>
        </w:rPr>
        <w:t>Summary of Direct Compensation Elements</w:t>
      </w:r>
    </w:p>
    <w:p>
      <w:pPr>
        <w:spacing w:after="0" w:line="141" w:lineRule="exact"/>
        <w:rPr>
          <w:sz w:val="20"/>
          <w:szCs w:val="20"/>
          <w:color w:val="auto"/>
        </w:rPr>
      </w:pPr>
    </w:p>
    <w:p>
      <w:pPr>
        <w:ind w:right="200"/>
        <w:spacing w:after="0" w:line="287" w:lineRule="auto"/>
        <w:rPr>
          <w:sz w:val="20"/>
          <w:szCs w:val="20"/>
          <w:color w:val="auto"/>
        </w:rPr>
      </w:pPr>
      <w:r>
        <w:rPr>
          <w:rFonts w:ascii="Arial" w:cs="Arial" w:eastAsia="Arial" w:hAnsi="Arial"/>
          <w:sz w:val="18"/>
          <w:szCs w:val="18"/>
          <w:color w:val="auto"/>
        </w:rPr>
        <w:t>We provide a mix of compensation elements that support our goals of attracting and retaining top executive talent and incentivizing our key performance objectives in the short- and long-term.</w:t>
      </w:r>
    </w:p>
    <w:p>
      <w:pPr>
        <w:spacing w:after="0" w:line="91"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3200" w:type="dxa"/>
            <w:vAlign w:val="bottom"/>
            <w:shd w:val="clear" w:color="auto" w:fill="0067B3"/>
          </w:tcPr>
          <w:p>
            <w:pPr>
              <w:spacing w:after="0"/>
              <w:rPr>
                <w:sz w:val="18"/>
                <w:szCs w:val="18"/>
                <w:color w:val="auto"/>
              </w:rPr>
            </w:pPr>
          </w:p>
        </w:tc>
        <w:tc>
          <w:tcPr>
            <w:tcW w:w="260" w:type="dxa"/>
            <w:vAlign w:val="bottom"/>
            <w:shd w:val="clear" w:color="auto" w:fill="0067B3"/>
          </w:tcPr>
          <w:p>
            <w:pPr>
              <w:spacing w:after="0"/>
              <w:rPr>
                <w:sz w:val="18"/>
                <w:szCs w:val="18"/>
                <w:color w:val="auto"/>
              </w:rPr>
            </w:pPr>
          </w:p>
        </w:tc>
        <w:tc>
          <w:tcPr>
            <w:tcW w:w="2420" w:type="dxa"/>
            <w:vAlign w:val="bottom"/>
            <w:shd w:val="clear" w:color="auto" w:fill="0067B3"/>
          </w:tcPr>
          <w:p>
            <w:pPr>
              <w:spacing w:after="0"/>
              <w:rPr>
                <w:sz w:val="18"/>
                <w:szCs w:val="18"/>
                <w:color w:val="auto"/>
              </w:rPr>
            </w:pPr>
          </w:p>
        </w:tc>
        <w:tc>
          <w:tcPr>
            <w:tcW w:w="260" w:type="dxa"/>
            <w:vAlign w:val="bottom"/>
            <w:shd w:val="clear" w:color="auto" w:fill="0067B3"/>
          </w:tcPr>
          <w:p>
            <w:pPr>
              <w:spacing w:after="0"/>
              <w:rPr>
                <w:sz w:val="18"/>
                <w:szCs w:val="18"/>
                <w:color w:val="auto"/>
              </w:rPr>
            </w:pPr>
          </w:p>
        </w:tc>
        <w:tc>
          <w:tcPr>
            <w:tcW w:w="1680" w:type="dxa"/>
            <w:vAlign w:val="bottom"/>
            <w:shd w:val="clear" w:color="auto" w:fill="0067B3"/>
          </w:tcPr>
          <w:p>
            <w:pPr>
              <w:spacing w:after="0"/>
              <w:rPr>
                <w:sz w:val="18"/>
                <w:szCs w:val="18"/>
                <w:color w:val="auto"/>
              </w:rPr>
            </w:pPr>
          </w:p>
        </w:tc>
        <w:tc>
          <w:tcPr>
            <w:tcW w:w="3420" w:type="dxa"/>
            <w:vAlign w:val="bottom"/>
            <w:gridSpan w:val="2"/>
            <w:shd w:val="clear" w:color="auto" w:fill="0067B3"/>
          </w:tcPr>
          <w:p>
            <w:pPr>
              <w:ind w:left="880"/>
              <w:spacing w:after="0"/>
              <w:rPr>
                <w:sz w:val="20"/>
                <w:szCs w:val="20"/>
                <w:color w:val="auto"/>
              </w:rPr>
            </w:pPr>
            <w:r>
              <w:rPr>
                <w:rFonts w:ascii="Arial" w:cs="Arial" w:eastAsia="Arial" w:hAnsi="Arial"/>
                <w:sz w:val="16"/>
                <w:szCs w:val="16"/>
                <w:b w:val="1"/>
                <w:bCs w:val="1"/>
                <w:color w:val="FFFFFF"/>
              </w:rPr>
              <w:t>Performance Measures for</w:t>
            </w:r>
          </w:p>
        </w:tc>
        <w:tc>
          <w:tcPr>
            <w:tcW w:w="0" w:type="dxa"/>
            <w:vAlign w:val="bottom"/>
          </w:tcPr>
          <w:p>
            <w:pPr>
              <w:spacing w:after="0"/>
              <w:rPr>
                <w:sz w:val="1"/>
                <w:szCs w:val="1"/>
                <w:color w:val="auto"/>
              </w:rPr>
            </w:pPr>
          </w:p>
        </w:tc>
      </w:tr>
      <w:tr>
        <w:trPr>
          <w:trHeight w:val="230"/>
        </w:trPr>
        <w:tc>
          <w:tcPr>
            <w:tcW w:w="3200" w:type="dxa"/>
            <w:vAlign w:val="bottom"/>
            <w:shd w:val="clear" w:color="auto" w:fill="0067B3"/>
          </w:tcPr>
          <w:p>
            <w:pPr>
              <w:ind w:left="80"/>
              <w:spacing w:after="0"/>
              <w:rPr>
                <w:sz w:val="20"/>
                <w:szCs w:val="20"/>
                <w:color w:val="auto"/>
              </w:rPr>
            </w:pPr>
            <w:r>
              <w:rPr>
                <w:rFonts w:ascii="Arial" w:cs="Arial" w:eastAsia="Arial" w:hAnsi="Arial"/>
                <w:sz w:val="16"/>
                <w:szCs w:val="16"/>
                <w:b w:val="1"/>
                <w:bCs w:val="1"/>
                <w:color w:val="FFFFFF"/>
              </w:rPr>
              <w:t>Pay Element</w:t>
            </w:r>
          </w:p>
        </w:tc>
        <w:tc>
          <w:tcPr>
            <w:tcW w:w="2680" w:type="dxa"/>
            <w:vAlign w:val="bottom"/>
            <w:gridSpan w:val="2"/>
            <w:shd w:val="clear" w:color="auto" w:fill="0067B3"/>
          </w:tcPr>
          <w:p>
            <w:pPr>
              <w:ind w:left="160"/>
              <w:spacing w:after="0"/>
              <w:rPr>
                <w:sz w:val="20"/>
                <w:szCs w:val="20"/>
                <w:color w:val="auto"/>
              </w:rPr>
            </w:pPr>
            <w:r>
              <w:rPr>
                <w:rFonts w:ascii="Arial" w:cs="Arial" w:eastAsia="Arial" w:hAnsi="Arial"/>
                <w:sz w:val="16"/>
                <w:szCs w:val="16"/>
                <w:b w:val="1"/>
                <w:bCs w:val="1"/>
                <w:color w:val="FFFFFF"/>
              </w:rPr>
              <w:t>Purpose</w:t>
            </w:r>
          </w:p>
        </w:tc>
        <w:tc>
          <w:tcPr>
            <w:tcW w:w="1940" w:type="dxa"/>
            <w:vAlign w:val="bottom"/>
            <w:gridSpan w:val="2"/>
            <w:shd w:val="clear" w:color="auto" w:fill="0067B3"/>
          </w:tcPr>
          <w:p>
            <w:pPr>
              <w:ind w:left="140"/>
              <w:spacing w:after="0"/>
              <w:rPr>
                <w:sz w:val="20"/>
                <w:szCs w:val="20"/>
                <w:color w:val="auto"/>
              </w:rPr>
            </w:pPr>
            <w:r>
              <w:rPr>
                <w:rFonts w:ascii="Arial" w:cs="Arial" w:eastAsia="Arial" w:hAnsi="Arial"/>
                <w:sz w:val="16"/>
                <w:szCs w:val="16"/>
                <w:b w:val="1"/>
                <w:bCs w:val="1"/>
                <w:color w:val="FFFFFF"/>
              </w:rPr>
              <w:t>Time Period</w:t>
            </w:r>
          </w:p>
        </w:tc>
        <w:tc>
          <w:tcPr>
            <w:tcW w:w="3420" w:type="dxa"/>
            <w:vAlign w:val="bottom"/>
            <w:gridSpan w:val="2"/>
            <w:shd w:val="clear" w:color="auto" w:fill="0067B3"/>
          </w:tcPr>
          <w:p>
            <w:pPr>
              <w:ind w:left="880"/>
              <w:spacing w:after="0"/>
              <w:rPr>
                <w:sz w:val="20"/>
                <w:szCs w:val="20"/>
                <w:color w:val="auto"/>
              </w:rPr>
            </w:pPr>
            <w:r>
              <w:rPr>
                <w:rFonts w:ascii="Arial" w:cs="Arial" w:eastAsia="Arial" w:hAnsi="Arial"/>
                <w:sz w:val="16"/>
                <w:szCs w:val="16"/>
                <w:b w:val="1"/>
                <w:bCs w:val="1"/>
                <w:color w:val="FFFFFF"/>
              </w:rPr>
              <w:t>Fiscal Year 2025</w:t>
            </w:r>
          </w:p>
        </w:tc>
        <w:tc>
          <w:tcPr>
            <w:tcW w:w="0" w:type="dxa"/>
            <w:vAlign w:val="bottom"/>
          </w:tcPr>
          <w:p>
            <w:pPr>
              <w:spacing w:after="0"/>
              <w:rPr>
                <w:sz w:val="1"/>
                <w:szCs w:val="1"/>
                <w:color w:val="auto"/>
              </w:rPr>
            </w:pPr>
          </w:p>
        </w:tc>
      </w:tr>
      <w:tr>
        <w:trPr>
          <w:trHeight w:val="278"/>
        </w:trPr>
        <w:tc>
          <w:tcPr>
            <w:tcW w:w="3200" w:type="dxa"/>
            <w:vAlign w:val="bottom"/>
          </w:tcPr>
          <w:p>
            <w:pPr>
              <w:ind w:left="80"/>
              <w:spacing w:after="0"/>
              <w:rPr>
                <w:sz w:val="20"/>
                <w:szCs w:val="20"/>
                <w:color w:val="auto"/>
              </w:rPr>
            </w:pPr>
            <w:r>
              <w:rPr>
                <w:rFonts w:ascii="Arial" w:cs="Arial" w:eastAsia="Arial" w:hAnsi="Arial"/>
                <w:sz w:val="18"/>
                <w:szCs w:val="18"/>
                <w:b w:val="1"/>
                <w:bCs w:val="1"/>
                <w:color w:val="auto"/>
              </w:rPr>
              <w:t>Base Salary</w:t>
            </w:r>
          </w:p>
        </w:tc>
        <w:tc>
          <w:tcPr>
            <w:tcW w:w="260" w:type="dxa"/>
            <w:vAlign w:val="bottom"/>
          </w:tcPr>
          <w:p>
            <w:pPr>
              <w:ind w:left="160"/>
              <w:spacing w:after="0"/>
              <w:rPr>
                <w:sz w:val="20"/>
                <w:szCs w:val="20"/>
                <w:color w:val="auto"/>
              </w:rPr>
            </w:pPr>
            <w:r>
              <w:rPr>
                <w:rFonts w:ascii="Arial" w:cs="Arial" w:eastAsia="Arial" w:hAnsi="Arial"/>
                <w:sz w:val="13"/>
                <w:szCs w:val="13"/>
                <w:color w:val="0067B3"/>
              </w:rPr>
              <w:t>u</w:t>
            </w:r>
          </w:p>
        </w:tc>
        <w:tc>
          <w:tcPr>
            <w:tcW w:w="2420" w:type="dxa"/>
            <w:vAlign w:val="bottom"/>
          </w:tcPr>
          <w:p>
            <w:pPr>
              <w:ind w:left="40"/>
              <w:spacing w:after="0"/>
              <w:rPr>
                <w:sz w:val="20"/>
                <w:szCs w:val="20"/>
                <w:color w:val="auto"/>
              </w:rPr>
            </w:pPr>
            <w:r>
              <w:rPr>
                <w:rFonts w:ascii="Arial" w:cs="Arial" w:eastAsia="Arial" w:hAnsi="Arial"/>
                <w:sz w:val="18"/>
                <w:szCs w:val="18"/>
                <w:color w:val="auto"/>
              </w:rPr>
              <w:t>Attract and retain</w:t>
            </w:r>
          </w:p>
        </w:tc>
        <w:tc>
          <w:tcPr>
            <w:tcW w:w="260" w:type="dxa"/>
            <w:vAlign w:val="bottom"/>
          </w:tcPr>
          <w:p>
            <w:pPr>
              <w:ind w:left="140"/>
              <w:spacing w:after="0"/>
              <w:rPr>
                <w:sz w:val="20"/>
                <w:szCs w:val="20"/>
                <w:color w:val="auto"/>
              </w:rPr>
            </w:pPr>
            <w:r>
              <w:rPr>
                <w:rFonts w:ascii="Arial" w:cs="Arial" w:eastAsia="Arial" w:hAnsi="Arial"/>
                <w:sz w:val="13"/>
                <w:szCs w:val="13"/>
                <w:color w:val="0067B3"/>
              </w:rPr>
              <w:t>u</w:t>
            </w:r>
          </w:p>
        </w:tc>
        <w:tc>
          <w:tcPr>
            <w:tcW w:w="1680" w:type="dxa"/>
            <w:vAlign w:val="bottom"/>
          </w:tcPr>
          <w:p>
            <w:pPr>
              <w:ind w:left="40"/>
              <w:spacing w:after="0"/>
              <w:rPr>
                <w:sz w:val="20"/>
                <w:szCs w:val="20"/>
                <w:color w:val="auto"/>
              </w:rPr>
            </w:pPr>
            <w:r>
              <w:rPr>
                <w:rFonts w:ascii="Arial" w:cs="Arial" w:eastAsia="Arial" w:hAnsi="Arial"/>
                <w:sz w:val="18"/>
                <w:szCs w:val="18"/>
                <w:color w:val="auto"/>
              </w:rPr>
              <w:t>Annual</w:t>
            </w:r>
          </w:p>
        </w:tc>
        <w:tc>
          <w:tcPr>
            <w:tcW w:w="1000" w:type="dxa"/>
            <w:vAlign w:val="bottom"/>
          </w:tcPr>
          <w:p>
            <w:pPr>
              <w:ind w:left="880"/>
              <w:spacing w:after="0"/>
              <w:rPr>
                <w:sz w:val="20"/>
                <w:szCs w:val="20"/>
                <w:color w:val="auto"/>
              </w:rPr>
            </w:pPr>
            <w:r>
              <w:rPr>
                <w:rFonts w:ascii="Arial" w:cs="Arial" w:eastAsia="Arial" w:hAnsi="Arial"/>
                <w:sz w:val="13"/>
                <w:szCs w:val="13"/>
                <w:color w:val="0067B3"/>
              </w:rPr>
              <w:t>u</w:t>
            </w:r>
          </w:p>
        </w:tc>
        <w:tc>
          <w:tcPr>
            <w:tcW w:w="2420" w:type="dxa"/>
            <w:vAlign w:val="bottom"/>
          </w:tcPr>
          <w:p>
            <w:pPr>
              <w:ind w:left="40"/>
              <w:spacing w:after="0"/>
              <w:rPr>
                <w:sz w:val="20"/>
                <w:szCs w:val="20"/>
                <w:color w:val="auto"/>
              </w:rPr>
            </w:pPr>
            <w:r>
              <w:rPr>
                <w:rFonts w:ascii="Arial" w:cs="Arial" w:eastAsia="Arial" w:hAnsi="Arial"/>
                <w:sz w:val="18"/>
                <w:szCs w:val="18"/>
                <w:color w:val="auto"/>
              </w:rPr>
              <w:t>None</w:t>
            </w:r>
          </w:p>
        </w:tc>
        <w:tc>
          <w:tcPr>
            <w:tcW w:w="0" w:type="dxa"/>
            <w:vAlign w:val="bottom"/>
          </w:tcPr>
          <w:p>
            <w:pPr>
              <w:spacing w:after="0"/>
              <w:rPr>
                <w:sz w:val="1"/>
                <w:szCs w:val="1"/>
                <w:color w:val="auto"/>
              </w:rPr>
            </w:pPr>
          </w:p>
        </w:tc>
      </w:tr>
      <w:tr>
        <w:trPr>
          <w:trHeight w:val="239"/>
        </w:trPr>
        <w:tc>
          <w:tcPr>
            <w:tcW w:w="32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420" w:type="dxa"/>
            <w:vAlign w:val="bottom"/>
          </w:tcPr>
          <w:p>
            <w:pPr>
              <w:ind w:left="80"/>
              <w:spacing w:after="0"/>
              <w:rPr>
                <w:sz w:val="20"/>
                <w:szCs w:val="20"/>
                <w:color w:val="auto"/>
              </w:rPr>
            </w:pPr>
            <w:r>
              <w:rPr>
                <w:rFonts w:ascii="Arial" w:cs="Arial" w:eastAsia="Arial" w:hAnsi="Arial"/>
                <w:sz w:val="18"/>
                <w:szCs w:val="18"/>
                <w:color w:val="auto"/>
              </w:rPr>
              <w:t>executive talent</w:t>
            </w:r>
          </w:p>
        </w:tc>
        <w:tc>
          <w:tcPr>
            <w:tcW w:w="26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4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77"/>
        </w:trPr>
        <w:tc>
          <w:tcPr>
            <w:tcW w:w="3200" w:type="dxa"/>
            <w:vAlign w:val="bottom"/>
          </w:tcPr>
          <w:p>
            <w:pPr>
              <w:spacing w:after="0"/>
              <w:rPr>
                <w:sz w:val="6"/>
                <w:szCs w:val="6"/>
                <w:color w:val="auto"/>
              </w:rPr>
            </w:pPr>
          </w:p>
        </w:tc>
        <w:tc>
          <w:tcPr>
            <w:tcW w:w="260" w:type="dxa"/>
            <w:vAlign w:val="bottom"/>
          </w:tcPr>
          <w:p>
            <w:pPr>
              <w:spacing w:after="0"/>
              <w:rPr>
                <w:sz w:val="6"/>
                <w:szCs w:val="6"/>
                <w:color w:val="auto"/>
              </w:rPr>
            </w:pPr>
          </w:p>
        </w:tc>
        <w:tc>
          <w:tcPr>
            <w:tcW w:w="2420" w:type="dxa"/>
            <w:vAlign w:val="bottom"/>
          </w:tcPr>
          <w:p>
            <w:pPr>
              <w:spacing w:after="0"/>
              <w:rPr>
                <w:sz w:val="6"/>
                <w:szCs w:val="6"/>
                <w:color w:val="auto"/>
              </w:rPr>
            </w:pPr>
          </w:p>
        </w:tc>
        <w:tc>
          <w:tcPr>
            <w:tcW w:w="260" w:type="dxa"/>
            <w:vAlign w:val="bottom"/>
          </w:tcPr>
          <w:p>
            <w:pPr>
              <w:spacing w:after="0"/>
              <w:rPr>
                <w:sz w:val="6"/>
                <w:szCs w:val="6"/>
                <w:color w:val="auto"/>
              </w:rPr>
            </w:pPr>
          </w:p>
        </w:tc>
        <w:tc>
          <w:tcPr>
            <w:tcW w:w="1680" w:type="dxa"/>
            <w:vAlign w:val="bottom"/>
          </w:tcPr>
          <w:p>
            <w:pPr>
              <w:spacing w:after="0"/>
              <w:rPr>
                <w:sz w:val="6"/>
                <w:szCs w:val="6"/>
                <w:color w:val="auto"/>
              </w:rPr>
            </w:pPr>
          </w:p>
        </w:tc>
        <w:tc>
          <w:tcPr>
            <w:tcW w:w="1000" w:type="dxa"/>
            <w:vAlign w:val="bottom"/>
          </w:tcPr>
          <w:p>
            <w:pPr>
              <w:spacing w:after="0"/>
              <w:rPr>
                <w:sz w:val="6"/>
                <w:szCs w:val="6"/>
                <w:color w:val="auto"/>
              </w:rPr>
            </w:pPr>
          </w:p>
        </w:tc>
        <w:tc>
          <w:tcPr>
            <w:tcW w:w="24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78"/>
        </w:trPr>
        <w:tc>
          <w:tcPr>
            <w:tcW w:w="3200" w:type="dxa"/>
            <w:vAlign w:val="bottom"/>
            <w:shd w:val="clear" w:color="auto" w:fill="E2E6F4"/>
          </w:tcPr>
          <w:p>
            <w:pPr>
              <w:ind w:left="80"/>
              <w:spacing w:after="0"/>
              <w:rPr>
                <w:sz w:val="20"/>
                <w:szCs w:val="20"/>
                <w:color w:val="auto"/>
              </w:rPr>
            </w:pPr>
            <w:r>
              <w:rPr>
                <w:rFonts w:ascii="Arial" w:cs="Arial" w:eastAsia="Arial" w:hAnsi="Arial"/>
                <w:sz w:val="18"/>
                <w:szCs w:val="18"/>
                <w:b w:val="1"/>
                <w:bCs w:val="1"/>
                <w:color w:val="auto"/>
              </w:rPr>
              <w:t>Short-Term Variable Cash Incentive</w:t>
            </w:r>
          </w:p>
        </w:tc>
        <w:tc>
          <w:tcPr>
            <w:tcW w:w="260" w:type="dxa"/>
            <w:vAlign w:val="bottom"/>
            <w:shd w:val="clear" w:color="auto" w:fill="E2E6F4"/>
          </w:tcPr>
          <w:p>
            <w:pPr>
              <w:ind w:left="160"/>
              <w:spacing w:after="0"/>
              <w:rPr>
                <w:sz w:val="20"/>
                <w:szCs w:val="20"/>
                <w:color w:val="auto"/>
              </w:rPr>
            </w:pPr>
            <w:r>
              <w:rPr>
                <w:rFonts w:ascii="Arial" w:cs="Arial" w:eastAsia="Arial" w:hAnsi="Arial"/>
                <w:sz w:val="13"/>
                <w:szCs w:val="13"/>
                <w:color w:val="0067B3"/>
              </w:rPr>
              <w:t>u</w:t>
            </w:r>
          </w:p>
        </w:tc>
        <w:tc>
          <w:tcPr>
            <w:tcW w:w="2420" w:type="dxa"/>
            <w:vAlign w:val="bottom"/>
            <w:shd w:val="clear" w:color="auto" w:fill="E2E6F4"/>
          </w:tcPr>
          <w:p>
            <w:pPr>
              <w:ind w:left="40"/>
              <w:spacing w:after="0"/>
              <w:rPr>
                <w:sz w:val="20"/>
                <w:szCs w:val="20"/>
                <w:color w:val="auto"/>
              </w:rPr>
            </w:pPr>
            <w:r>
              <w:rPr>
                <w:rFonts w:ascii="Arial" w:cs="Arial" w:eastAsia="Arial" w:hAnsi="Arial"/>
                <w:sz w:val="18"/>
                <w:szCs w:val="18"/>
                <w:color w:val="auto"/>
              </w:rPr>
              <w:t>Reward our executive</w:t>
            </w:r>
          </w:p>
        </w:tc>
        <w:tc>
          <w:tcPr>
            <w:tcW w:w="260" w:type="dxa"/>
            <w:vAlign w:val="bottom"/>
            <w:shd w:val="clear" w:color="auto" w:fill="E2E6F4"/>
          </w:tcPr>
          <w:p>
            <w:pPr>
              <w:ind w:left="140"/>
              <w:spacing w:after="0"/>
              <w:rPr>
                <w:sz w:val="20"/>
                <w:szCs w:val="20"/>
                <w:color w:val="auto"/>
              </w:rPr>
            </w:pPr>
            <w:r>
              <w:rPr>
                <w:rFonts w:ascii="Arial" w:cs="Arial" w:eastAsia="Arial" w:hAnsi="Arial"/>
                <w:sz w:val="13"/>
                <w:szCs w:val="13"/>
                <w:color w:val="0067B3"/>
              </w:rPr>
              <w:t>u</w:t>
            </w:r>
          </w:p>
        </w:tc>
        <w:tc>
          <w:tcPr>
            <w:tcW w:w="1680" w:type="dxa"/>
            <w:vAlign w:val="bottom"/>
            <w:shd w:val="clear" w:color="auto" w:fill="E2E6F4"/>
          </w:tcPr>
          <w:p>
            <w:pPr>
              <w:ind w:left="40"/>
              <w:spacing w:after="0"/>
              <w:rPr>
                <w:sz w:val="20"/>
                <w:szCs w:val="20"/>
                <w:color w:val="auto"/>
              </w:rPr>
            </w:pPr>
            <w:r>
              <w:rPr>
                <w:rFonts w:ascii="Arial" w:cs="Arial" w:eastAsia="Arial" w:hAnsi="Arial"/>
                <w:sz w:val="18"/>
                <w:szCs w:val="18"/>
                <w:color w:val="auto"/>
              </w:rPr>
              <w:t>Annual</w:t>
            </w:r>
          </w:p>
        </w:tc>
        <w:tc>
          <w:tcPr>
            <w:tcW w:w="1000" w:type="dxa"/>
            <w:vAlign w:val="bottom"/>
            <w:shd w:val="clear" w:color="auto" w:fill="E2E6F4"/>
          </w:tcPr>
          <w:p>
            <w:pPr>
              <w:ind w:left="880"/>
              <w:spacing w:after="0"/>
              <w:rPr>
                <w:sz w:val="20"/>
                <w:szCs w:val="20"/>
                <w:color w:val="auto"/>
              </w:rPr>
            </w:pPr>
            <w:r>
              <w:rPr>
                <w:rFonts w:ascii="Arial" w:cs="Arial" w:eastAsia="Arial" w:hAnsi="Arial"/>
                <w:sz w:val="13"/>
                <w:szCs w:val="13"/>
                <w:color w:val="0067B3"/>
              </w:rPr>
              <w:t>u</w:t>
            </w:r>
          </w:p>
        </w:tc>
        <w:tc>
          <w:tcPr>
            <w:tcW w:w="2420" w:type="dxa"/>
            <w:vAlign w:val="bottom"/>
            <w:shd w:val="clear" w:color="auto" w:fill="E2E6F4"/>
          </w:tcPr>
          <w:p>
            <w:pPr>
              <w:ind w:left="40"/>
              <w:spacing w:after="0"/>
              <w:rPr>
                <w:sz w:val="20"/>
                <w:szCs w:val="20"/>
                <w:color w:val="auto"/>
              </w:rPr>
            </w:pPr>
            <w:r>
              <w:rPr>
                <w:rFonts w:ascii="Arial" w:cs="Arial" w:eastAsia="Arial" w:hAnsi="Arial"/>
                <w:sz w:val="18"/>
                <w:szCs w:val="18"/>
                <w:color w:val="auto"/>
              </w:rPr>
              <w:t>50%: year-over-year</w:t>
            </w:r>
          </w:p>
        </w:tc>
        <w:tc>
          <w:tcPr>
            <w:tcW w:w="0" w:type="dxa"/>
            <w:vAlign w:val="bottom"/>
          </w:tcPr>
          <w:p>
            <w:pPr>
              <w:spacing w:after="0"/>
              <w:rPr>
                <w:sz w:val="1"/>
                <w:szCs w:val="1"/>
                <w:color w:val="auto"/>
              </w:rPr>
            </w:pPr>
          </w:p>
        </w:tc>
      </w:tr>
      <w:tr>
        <w:trPr>
          <w:trHeight w:val="216"/>
        </w:trPr>
        <w:tc>
          <w:tcPr>
            <w:tcW w:w="3200" w:type="dxa"/>
            <w:vAlign w:val="bottom"/>
            <w:shd w:val="clear" w:color="auto" w:fill="E2E6F4"/>
          </w:tcPr>
          <w:p>
            <w:pPr>
              <w:spacing w:after="0"/>
              <w:rPr>
                <w:sz w:val="18"/>
                <w:szCs w:val="18"/>
                <w:color w:val="auto"/>
              </w:rPr>
            </w:pPr>
          </w:p>
        </w:tc>
        <w:tc>
          <w:tcPr>
            <w:tcW w:w="260" w:type="dxa"/>
            <w:vAlign w:val="bottom"/>
            <w:shd w:val="clear" w:color="auto" w:fill="E2E6F4"/>
          </w:tcPr>
          <w:p>
            <w:pPr>
              <w:spacing w:after="0"/>
              <w:rPr>
                <w:sz w:val="18"/>
                <w:szCs w:val="18"/>
                <w:color w:val="auto"/>
              </w:rPr>
            </w:pPr>
          </w:p>
        </w:tc>
        <w:tc>
          <w:tcPr>
            <w:tcW w:w="2420" w:type="dxa"/>
            <w:vAlign w:val="bottom"/>
            <w:shd w:val="clear" w:color="auto" w:fill="E2E6F4"/>
          </w:tcPr>
          <w:p>
            <w:pPr>
              <w:ind w:left="80"/>
              <w:spacing w:after="0"/>
              <w:rPr>
                <w:sz w:val="20"/>
                <w:szCs w:val="20"/>
                <w:color w:val="auto"/>
              </w:rPr>
            </w:pPr>
            <w:r>
              <w:rPr>
                <w:rFonts w:ascii="Arial" w:cs="Arial" w:eastAsia="Arial" w:hAnsi="Arial"/>
                <w:sz w:val="18"/>
                <w:szCs w:val="18"/>
                <w:color w:val="auto"/>
              </w:rPr>
              <w:t>officers for achieving short-</w:t>
            </w:r>
          </w:p>
        </w:tc>
        <w:tc>
          <w:tcPr>
            <w:tcW w:w="260" w:type="dxa"/>
            <w:vAlign w:val="bottom"/>
            <w:shd w:val="clear" w:color="auto" w:fill="E2E6F4"/>
          </w:tcPr>
          <w:p>
            <w:pPr>
              <w:spacing w:after="0"/>
              <w:rPr>
                <w:sz w:val="18"/>
                <w:szCs w:val="18"/>
                <w:color w:val="auto"/>
              </w:rPr>
            </w:pPr>
          </w:p>
        </w:tc>
        <w:tc>
          <w:tcPr>
            <w:tcW w:w="1680" w:type="dxa"/>
            <w:vAlign w:val="bottom"/>
            <w:shd w:val="clear" w:color="auto" w:fill="E2E6F4"/>
          </w:tcPr>
          <w:p>
            <w:pPr>
              <w:spacing w:after="0"/>
              <w:rPr>
                <w:sz w:val="18"/>
                <w:szCs w:val="18"/>
                <w:color w:val="auto"/>
              </w:rPr>
            </w:pPr>
          </w:p>
        </w:tc>
        <w:tc>
          <w:tcPr>
            <w:tcW w:w="1000" w:type="dxa"/>
            <w:vAlign w:val="bottom"/>
            <w:shd w:val="clear" w:color="auto" w:fill="E2E6F4"/>
          </w:tcPr>
          <w:p>
            <w:pPr>
              <w:spacing w:after="0"/>
              <w:rPr>
                <w:sz w:val="18"/>
                <w:szCs w:val="18"/>
                <w:color w:val="auto"/>
              </w:rPr>
            </w:pPr>
          </w:p>
        </w:tc>
        <w:tc>
          <w:tcPr>
            <w:tcW w:w="2420" w:type="dxa"/>
            <w:vAlign w:val="bottom"/>
            <w:shd w:val="clear" w:color="auto" w:fill="E2E6F4"/>
          </w:tcPr>
          <w:p>
            <w:pPr>
              <w:ind w:left="80"/>
              <w:spacing w:after="0"/>
              <w:rPr>
                <w:sz w:val="20"/>
                <w:szCs w:val="20"/>
                <w:color w:val="auto"/>
              </w:rPr>
            </w:pPr>
            <w:r>
              <w:rPr>
                <w:rFonts w:ascii="Arial" w:cs="Arial" w:eastAsia="Arial" w:hAnsi="Arial"/>
                <w:sz w:val="18"/>
                <w:szCs w:val="18"/>
                <w:color w:val="auto"/>
              </w:rPr>
              <w:t>revenue growth</w:t>
            </w:r>
          </w:p>
        </w:tc>
        <w:tc>
          <w:tcPr>
            <w:tcW w:w="0" w:type="dxa"/>
            <w:vAlign w:val="bottom"/>
          </w:tcPr>
          <w:p>
            <w:pPr>
              <w:spacing w:after="0"/>
              <w:rPr>
                <w:sz w:val="1"/>
                <w:szCs w:val="1"/>
                <w:color w:val="auto"/>
              </w:rPr>
            </w:pPr>
          </w:p>
        </w:tc>
      </w:tr>
      <w:tr>
        <w:trPr>
          <w:trHeight w:val="216"/>
        </w:trPr>
        <w:tc>
          <w:tcPr>
            <w:tcW w:w="3200" w:type="dxa"/>
            <w:vAlign w:val="bottom"/>
            <w:shd w:val="clear" w:color="auto" w:fill="E2E6F4"/>
          </w:tcPr>
          <w:p>
            <w:pPr>
              <w:spacing w:after="0"/>
              <w:rPr>
                <w:sz w:val="18"/>
                <w:szCs w:val="18"/>
                <w:color w:val="auto"/>
              </w:rPr>
            </w:pPr>
          </w:p>
        </w:tc>
        <w:tc>
          <w:tcPr>
            <w:tcW w:w="260" w:type="dxa"/>
            <w:vAlign w:val="bottom"/>
            <w:shd w:val="clear" w:color="auto" w:fill="E2E6F4"/>
          </w:tcPr>
          <w:p>
            <w:pPr>
              <w:spacing w:after="0"/>
              <w:rPr>
                <w:sz w:val="18"/>
                <w:szCs w:val="18"/>
                <w:color w:val="auto"/>
              </w:rPr>
            </w:pPr>
          </w:p>
        </w:tc>
        <w:tc>
          <w:tcPr>
            <w:tcW w:w="2420" w:type="dxa"/>
            <w:vAlign w:val="bottom"/>
            <w:shd w:val="clear" w:color="auto" w:fill="E2E6F4"/>
          </w:tcPr>
          <w:p>
            <w:pPr>
              <w:ind w:left="80"/>
              <w:spacing w:after="0"/>
              <w:rPr>
                <w:sz w:val="20"/>
                <w:szCs w:val="20"/>
                <w:color w:val="auto"/>
              </w:rPr>
            </w:pPr>
            <w:r>
              <w:rPr>
                <w:rFonts w:ascii="Arial" w:cs="Arial" w:eastAsia="Arial" w:hAnsi="Arial"/>
                <w:sz w:val="18"/>
                <w:szCs w:val="18"/>
                <w:color w:val="auto"/>
              </w:rPr>
              <w:t>term company financial</w:t>
            </w:r>
          </w:p>
        </w:tc>
        <w:tc>
          <w:tcPr>
            <w:tcW w:w="260" w:type="dxa"/>
            <w:vAlign w:val="bottom"/>
            <w:shd w:val="clear" w:color="auto" w:fill="E2E6F4"/>
          </w:tcPr>
          <w:p>
            <w:pPr>
              <w:spacing w:after="0"/>
              <w:rPr>
                <w:sz w:val="18"/>
                <w:szCs w:val="18"/>
                <w:color w:val="auto"/>
              </w:rPr>
            </w:pPr>
          </w:p>
        </w:tc>
        <w:tc>
          <w:tcPr>
            <w:tcW w:w="1680" w:type="dxa"/>
            <w:vAlign w:val="bottom"/>
            <w:shd w:val="clear" w:color="auto" w:fill="E2E6F4"/>
          </w:tcPr>
          <w:p>
            <w:pPr>
              <w:spacing w:after="0"/>
              <w:rPr>
                <w:sz w:val="18"/>
                <w:szCs w:val="18"/>
                <w:color w:val="auto"/>
              </w:rPr>
            </w:pPr>
          </w:p>
        </w:tc>
        <w:tc>
          <w:tcPr>
            <w:tcW w:w="1000" w:type="dxa"/>
            <w:vAlign w:val="bottom"/>
            <w:vMerge w:val="restart"/>
            <w:shd w:val="clear" w:color="auto" w:fill="E2E6F4"/>
          </w:tcPr>
          <w:p>
            <w:pPr>
              <w:ind w:left="880"/>
              <w:spacing w:after="0"/>
              <w:rPr>
                <w:sz w:val="20"/>
                <w:szCs w:val="20"/>
                <w:color w:val="auto"/>
              </w:rPr>
            </w:pPr>
            <w:r>
              <w:rPr>
                <w:rFonts w:ascii="Arial" w:cs="Arial" w:eastAsia="Arial" w:hAnsi="Arial"/>
                <w:sz w:val="13"/>
                <w:szCs w:val="13"/>
                <w:color w:val="0067B3"/>
              </w:rPr>
              <w:t>u</w:t>
            </w:r>
          </w:p>
        </w:tc>
        <w:tc>
          <w:tcPr>
            <w:tcW w:w="2420" w:type="dxa"/>
            <w:vAlign w:val="bottom"/>
            <w:vMerge w:val="restart"/>
            <w:shd w:val="clear" w:color="auto" w:fill="E2E6F4"/>
          </w:tcPr>
          <w:p>
            <w:pPr>
              <w:ind w:left="40"/>
              <w:spacing w:after="0"/>
              <w:rPr>
                <w:sz w:val="20"/>
                <w:szCs w:val="20"/>
                <w:color w:val="auto"/>
              </w:rPr>
            </w:pPr>
            <w:r>
              <w:rPr>
                <w:rFonts w:ascii="Arial" w:cs="Arial" w:eastAsia="Arial" w:hAnsi="Arial"/>
                <w:sz w:val="18"/>
                <w:szCs w:val="18"/>
                <w:color w:val="auto"/>
              </w:rPr>
              <w:t>50%: annual OPBT margin</w:t>
            </w:r>
          </w:p>
        </w:tc>
        <w:tc>
          <w:tcPr>
            <w:tcW w:w="0" w:type="dxa"/>
            <w:vAlign w:val="bottom"/>
          </w:tcPr>
          <w:p>
            <w:pPr>
              <w:spacing w:after="0"/>
              <w:rPr>
                <w:sz w:val="1"/>
                <w:szCs w:val="1"/>
                <w:color w:val="auto"/>
              </w:rPr>
            </w:pPr>
          </w:p>
        </w:tc>
      </w:tr>
      <w:tr>
        <w:trPr>
          <w:trHeight w:val="104"/>
        </w:trPr>
        <w:tc>
          <w:tcPr>
            <w:tcW w:w="3200" w:type="dxa"/>
            <w:vAlign w:val="bottom"/>
            <w:shd w:val="clear" w:color="auto" w:fill="E2E6F4"/>
          </w:tcPr>
          <w:p>
            <w:pPr>
              <w:spacing w:after="0"/>
              <w:rPr>
                <w:sz w:val="9"/>
                <w:szCs w:val="9"/>
                <w:color w:val="auto"/>
              </w:rPr>
            </w:pPr>
          </w:p>
        </w:tc>
        <w:tc>
          <w:tcPr>
            <w:tcW w:w="260" w:type="dxa"/>
            <w:vAlign w:val="bottom"/>
            <w:shd w:val="clear" w:color="auto" w:fill="E2E6F4"/>
          </w:tcPr>
          <w:p>
            <w:pPr>
              <w:spacing w:after="0"/>
              <w:rPr>
                <w:sz w:val="9"/>
                <w:szCs w:val="9"/>
                <w:color w:val="auto"/>
              </w:rPr>
            </w:pPr>
          </w:p>
        </w:tc>
        <w:tc>
          <w:tcPr>
            <w:tcW w:w="2420" w:type="dxa"/>
            <w:vAlign w:val="bottom"/>
            <w:vMerge w:val="restart"/>
            <w:shd w:val="clear" w:color="auto" w:fill="E2E6F4"/>
          </w:tcPr>
          <w:p>
            <w:pPr>
              <w:ind w:left="80"/>
              <w:spacing w:after="0"/>
              <w:rPr>
                <w:sz w:val="20"/>
                <w:szCs w:val="20"/>
                <w:color w:val="auto"/>
              </w:rPr>
            </w:pPr>
            <w:r>
              <w:rPr>
                <w:rFonts w:ascii="Arial" w:cs="Arial" w:eastAsia="Arial" w:hAnsi="Arial"/>
                <w:sz w:val="18"/>
                <w:szCs w:val="18"/>
                <w:color w:val="auto"/>
              </w:rPr>
              <w:t>objectives aligned with</w:t>
            </w:r>
          </w:p>
        </w:tc>
        <w:tc>
          <w:tcPr>
            <w:tcW w:w="260" w:type="dxa"/>
            <w:vAlign w:val="bottom"/>
            <w:shd w:val="clear" w:color="auto" w:fill="E2E6F4"/>
          </w:tcPr>
          <w:p>
            <w:pPr>
              <w:spacing w:after="0"/>
              <w:rPr>
                <w:sz w:val="9"/>
                <w:szCs w:val="9"/>
                <w:color w:val="auto"/>
              </w:rPr>
            </w:pPr>
          </w:p>
        </w:tc>
        <w:tc>
          <w:tcPr>
            <w:tcW w:w="1680" w:type="dxa"/>
            <w:vAlign w:val="bottom"/>
            <w:shd w:val="clear" w:color="auto" w:fill="E2E6F4"/>
          </w:tcPr>
          <w:p>
            <w:pPr>
              <w:spacing w:after="0"/>
              <w:rPr>
                <w:sz w:val="9"/>
                <w:szCs w:val="9"/>
                <w:color w:val="auto"/>
              </w:rPr>
            </w:pPr>
          </w:p>
        </w:tc>
        <w:tc>
          <w:tcPr>
            <w:tcW w:w="1000" w:type="dxa"/>
            <w:vAlign w:val="bottom"/>
            <w:vMerge w:val="continue"/>
            <w:shd w:val="clear" w:color="auto" w:fill="E2E6F4"/>
          </w:tcPr>
          <w:p>
            <w:pPr>
              <w:spacing w:after="0"/>
              <w:rPr>
                <w:sz w:val="9"/>
                <w:szCs w:val="9"/>
                <w:color w:val="auto"/>
              </w:rPr>
            </w:pPr>
          </w:p>
        </w:tc>
        <w:tc>
          <w:tcPr>
            <w:tcW w:w="2420" w:type="dxa"/>
            <w:vAlign w:val="bottom"/>
            <w:vMerge w:val="continue"/>
            <w:shd w:val="clear" w:color="auto" w:fill="E2E6F4"/>
          </w:tcPr>
          <w:p>
            <w:pPr>
              <w:spacing w:after="0"/>
              <w:rPr>
                <w:sz w:val="9"/>
                <w:szCs w:val="9"/>
                <w:color w:val="auto"/>
              </w:rPr>
            </w:pPr>
          </w:p>
        </w:tc>
        <w:tc>
          <w:tcPr>
            <w:tcW w:w="0" w:type="dxa"/>
            <w:vAlign w:val="bottom"/>
          </w:tcPr>
          <w:p>
            <w:pPr>
              <w:spacing w:after="0"/>
              <w:rPr>
                <w:sz w:val="1"/>
                <w:szCs w:val="1"/>
                <w:color w:val="auto"/>
              </w:rPr>
            </w:pPr>
          </w:p>
        </w:tc>
      </w:tr>
      <w:tr>
        <w:trPr>
          <w:trHeight w:val="112"/>
        </w:trPr>
        <w:tc>
          <w:tcPr>
            <w:tcW w:w="3200" w:type="dxa"/>
            <w:vAlign w:val="bottom"/>
            <w:shd w:val="clear" w:color="auto" w:fill="E2E6F4"/>
          </w:tcPr>
          <w:p>
            <w:pPr>
              <w:spacing w:after="0"/>
              <w:rPr>
                <w:sz w:val="9"/>
                <w:szCs w:val="9"/>
                <w:color w:val="auto"/>
              </w:rPr>
            </w:pPr>
          </w:p>
        </w:tc>
        <w:tc>
          <w:tcPr>
            <w:tcW w:w="260" w:type="dxa"/>
            <w:vAlign w:val="bottom"/>
            <w:shd w:val="clear" w:color="auto" w:fill="E2E6F4"/>
          </w:tcPr>
          <w:p>
            <w:pPr>
              <w:spacing w:after="0"/>
              <w:rPr>
                <w:sz w:val="9"/>
                <w:szCs w:val="9"/>
                <w:color w:val="auto"/>
              </w:rPr>
            </w:pPr>
          </w:p>
        </w:tc>
        <w:tc>
          <w:tcPr>
            <w:tcW w:w="2420" w:type="dxa"/>
            <w:vAlign w:val="bottom"/>
            <w:vMerge w:val="continue"/>
            <w:shd w:val="clear" w:color="auto" w:fill="E2E6F4"/>
          </w:tcPr>
          <w:p>
            <w:pPr>
              <w:spacing w:after="0"/>
              <w:rPr>
                <w:sz w:val="9"/>
                <w:szCs w:val="9"/>
                <w:color w:val="auto"/>
              </w:rPr>
            </w:pPr>
          </w:p>
        </w:tc>
        <w:tc>
          <w:tcPr>
            <w:tcW w:w="260" w:type="dxa"/>
            <w:vAlign w:val="bottom"/>
            <w:shd w:val="clear" w:color="auto" w:fill="E2E6F4"/>
          </w:tcPr>
          <w:p>
            <w:pPr>
              <w:spacing w:after="0"/>
              <w:rPr>
                <w:sz w:val="9"/>
                <w:szCs w:val="9"/>
                <w:color w:val="auto"/>
              </w:rPr>
            </w:pPr>
          </w:p>
        </w:tc>
        <w:tc>
          <w:tcPr>
            <w:tcW w:w="1680" w:type="dxa"/>
            <w:vAlign w:val="bottom"/>
            <w:shd w:val="clear" w:color="auto" w:fill="E2E6F4"/>
          </w:tcPr>
          <w:p>
            <w:pPr>
              <w:spacing w:after="0"/>
              <w:rPr>
                <w:sz w:val="9"/>
                <w:szCs w:val="9"/>
                <w:color w:val="auto"/>
              </w:rPr>
            </w:pPr>
          </w:p>
        </w:tc>
        <w:tc>
          <w:tcPr>
            <w:tcW w:w="1000" w:type="dxa"/>
            <w:vAlign w:val="bottom"/>
            <w:vMerge w:val="restart"/>
            <w:shd w:val="clear" w:color="auto" w:fill="E2E6F4"/>
          </w:tcPr>
          <w:p>
            <w:pPr>
              <w:ind w:left="880"/>
              <w:spacing w:after="0"/>
              <w:rPr>
                <w:sz w:val="20"/>
                <w:szCs w:val="20"/>
                <w:color w:val="auto"/>
              </w:rPr>
            </w:pPr>
            <w:r>
              <w:rPr>
                <w:rFonts w:ascii="Arial" w:cs="Arial" w:eastAsia="Arial" w:hAnsi="Arial"/>
                <w:sz w:val="13"/>
                <w:szCs w:val="13"/>
                <w:color w:val="0067B3"/>
              </w:rPr>
              <w:t>u</w:t>
            </w:r>
          </w:p>
        </w:tc>
        <w:tc>
          <w:tcPr>
            <w:tcW w:w="2420" w:type="dxa"/>
            <w:vAlign w:val="bottom"/>
            <w:vMerge w:val="restart"/>
            <w:shd w:val="clear" w:color="auto" w:fill="E2E6F4"/>
          </w:tcPr>
          <w:p>
            <w:pPr>
              <w:ind w:left="40"/>
              <w:spacing w:after="0"/>
              <w:rPr>
                <w:sz w:val="20"/>
                <w:szCs w:val="20"/>
                <w:color w:val="auto"/>
              </w:rPr>
            </w:pPr>
            <w:r>
              <w:rPr>
                <w:rFonts w:ascii="Arial" w:cs="Arial" w:eastAsia="Arial" w:hAnsi="Arial"/>
                <w:sz w:val="18"/>
                <w:szCs w:val="18"/>
                <w:color w:val="auto"/>
              </w:rPr>
              <w:t>Minimum OPBT margin</w:t>
            </w:r>
          </w:p>
        </w:tc>
        <w:tc>
          <w:tcPr>
            <w:tcW w:w="0" w:type="dxa"/>
            <w:vAlign w:val="bottom"/>
          </w:tcPr>
          <w:p>
            <w:pPr>
              <w:spacing w:after="0"/>
              <w:rPr>
                <w:sz w:val="1"/>
                <w:szCs w:val="1"/>
                <w:color w:val="auto"/>
              </w:rPr>
            </w:pPr>
          </w:p>
        </w:tc>
      </w:tr>
      <w:tr>
        <w:trPr>
          <w:trHeight w:val="148"/>
        </w:trPr>
        <w:tc>
          <w:tcPr>
            <w:tcW w:w="3200" w:type="dxa"/>
            <w:vAlign w:val="bottom"/>
            <w:shd w:val="clear" w:color="auto" w:fill="E2E6F4"/>
          </w:tcPr>
          <w:p>
            <w:pPr>
              <w:spacing w:after="0"/>
              <w:rPr>
                <w:sz w:val="12"/>
                <w:szCs w:val="12"/>
                <w:color w:val="auto"/>
              </w:rPr>
            </w:pPr>
          </w:p>
        </w:tc>
        <w:tc>
          <w:tcPr>
            <w:tcW w:w="260" w:type="dxa"/>
            <w:vAlign w:val="bottom"/>
            <w:shd w:val="clear" w:color="auto" w:fill="E2E6F4"/>
          </w:tcPr>
          <w:p>
            <w:pPr>
              <w:spacing w:after="0"/>
              <w:rPr>
                <w:sz w:val="12"/>
                <w:szCs w:val="12"/>
                <w:color w:val="auto"/>
              </w:rPr>
            </w:pPr>
          </w:p>
        </w:tc>
        <w:tc>
          <w:tcPr>
            <w:tcW w:w="2420" w:type="dxa"/>
            <w:vAlign w:val="bottom"/>
            <w:vMerge w:val="restart"/>
            <w:shd w:val="clear" w:color="auto" w:fill="E2E6F4"/>
          </w:tcPr>
          <w:p>
            <w:pPr>
              <w:ind w:left="80"/>
              <w:spacing w:after="0"/>
              <w:rPr>
                <w:sz w:val="20"/>
                <w:szCs w:val="20"/>
                <w:color w:val="auto"/>
              </w:rPr>
            </w:pPr>
            <w:r>
              <w:rPr>
                <w:rFonts w:ascii="Arial" w:cs="Arial" w:eastAsia="Arial" w:hAnsi="Arial"/>
                <w:sz w:val="18"/>
                <w:szCs w:val="18"/>
                <w:color w:val="auto"/>
              </w:rPr>
              <w:t>shareholder value creation</w:t>
            </w:r>
          </w:p>
        </w:tc>
        <w:tc>
          <w:tcPr>
            <w:tcW w:w="260" w:type="dxa"/>
            <w:vAlign w:val="bottom"/>
            <w:shd w:val="clear" w:color="auto" w:fill="E2E6F4"/>
          </w:tcPr>
          <w:p>
            <w:pPr>
              <w:spacing w:after="0"/>
              <w:rPr>
                <w:sz w:val="12"/>
                <w:szCs w:val="12"/>
                <w:color w:val="auto"/>
              </w:rPr>
            </w:pPr>
          </w:p>
        </w:tc>
        <w:tc>
          <w:tcPr>
            <w:tcW w:w="1680" w:type="dxa"/>
            <w:vAlign w:val="bottom"/>
            <w:shd w:val="clear" w:color="auto" w:fill="E2E6F4"/>
          </w:tcPr>
          <w:p>
            <w:pPr>
              <w:spacing w:after="0"/>
              <w:rPr>
                <w:sz w:val="12"/>
                <w:szCs w:val="12"/>
                <w:color w:val="auto"/>
              </w:rPr>
            </w:pPr>
          </w:p>
        </w:tc>
        <w:tc>
          <w:tcPr>
            <w:tcW w:w="1000" w:type="dxa"/>
            <w:vAlign w:val="bottom"/>
            <w:vMerge w:val="continue"/>
            <w:shd w:val="clear" w:color="auto" w:fill="E2E6F4"/>
          </w:tcPr>
          <w:p>
            <w:pPr>
              <w:spacing w:after="0"/>
              <w:rPr>
                <w:sz w:val="12"/>
                <w:szCs w:val="12"/>
                <w:color w:val="auto"/>
              </w:rPr>
            </w:pPr>
          </w:p>
        </w:tc>
        <w:tc>
          <w:tcPr>
            <w:tcW w:w="2420" w:type="dxa"/>
            <w:vAlign w:val="bottom"/>
            <w:vMerge w:val="continue"/>
            <w:shd w:val="clear" w:color="auto" w:fill="E2E6F4"/>
          </w:tcPr>
          <w:p>
            <w:pPr>
              <w:spacing w:after="0"/>
              <w:rPr>
                <w:sz w:val="12"/>
                <w:szCs w:val="12"/>
                <w:color w:val="auto"/>
              </w:rPr>
            </w:pPr>
          </w:p>
        </w:tc>
        <w:tc>
          <w:tcPr>
            <w:tcW w:w="0" w:type="dxa"/>
            <w:vAlign w:val="bottom"/>
          </w:tcPr>
          <w:p>
            <w:pPr>
              <w:spacing w:after="0"/>
              <w:rPr>
                <w:sz w:val="1"/>
                <w:szCs w:val="1"/>
                <w:color w:val="auto"/>
              </w:rPr>
            </w:pPr>
          </w:p>
        </w:tc>
      </w:tr>
      <w:tr>
        <w:trPr>
          <w:trHeight w:val="90"/>
        </w:trPr>
        <w:tc>
          <w:tcPr>
            <w:tcW w:w="3200" w:type="dxa"/>
            <w:vAlign w:val="bottom"/>
            <w:shd w:val="clear" w:color="auto" w:fill="E2E6F4"/>
          </w:tcPr>
          <w:p>
            <w:pPr>
              <w:spacing w:after="0"/>
              <w:rPr>
                <w:sz w:val="7"/>
                <w:szCs w:val="7"/>
                <w:color w:val="auto"/>
              </w:rPr>
            </w:pPr>
          </w:p>
        </w:tc>
        <w:tc>
          <w:tcPr>
            <w:tcW w:w="260" w:type="dxa"/>
            <w:vAlign w:val="bottom"/>
            <w:shd w:val="clear" w:color="auto" w:fill="E2E6F4"/>
          </w:tcPr>
          <w:p>
            <w:pPr>
              <w:spacing w:after="0"/>
              <w:rPr>
                <w:sz w:val="7"/>
                <w:szCs w:val="7"/>
                <w:color w:val="auto"/>
              </w:rPr>
            </w:pPr>
          </w:p>
        </w:tc>
        <w:tc>
          <w:tcPr>
            <w:tcW w:w="2420" w:type="dxa"/>
            <w:vAlign w:val="bottom"/>
            <w:vMerge w:val="continue"/>
            <w:shd w:val="clear" w:color="auto" w:fill="E2E6F4"/>
          </w:tcPr>
          <w:p>
            <w:pPr>
              <w:spacing w:after="0"/>
              <w:rPr>
                <w:sz w:val="7"/>
                <w:szCs w:val="7"/>
                <w:color w:val="auto"/>
              </w:rPr>
            </w:pPr>
          </w:p>
        </w:tc>
        <w:tc>
          <w:tcPr>
            <w:tcW w:w="260" w:type="dxa"/>
            <w:vAlign w:val="bottom"/>
            <w:shd w:val="clear" w:color="auto" w:fill="E2E6F4"/>
          </w:tcPr>
          <w:p>
            <w:pPr>
              <w:spacing w:after="0"/>
              <w:rPr>
                <w:sz w:val="7"/>
                <w:szCs w:val="7"/>
                <w:color w:val="auto"/>
              </w:rPr>
            </w:pPr>
          </w:p>
        </w:tc>
        <w:tc>
          <w:tcPr>
            <w:tcW w:w="1680" w:type="dxa"/>
            <w:vAlign w:val="bottom"/>
            <w:shd w:val="clear" w:color="auto" w:fill="E2E6F4"/>
          </w:tcPr>
          <w:p>
            <w:pPr>
              <w:spacing w:after="0"/>
              <w:rPr>
                <w:sz w:val="7"/>
                <w:szCs w:val="7"/>
                <w:color w:val="auto"/>
              </w:rPr>
            </w:pPr>
          </w:p>
        </w:tc>
        <w:tc>
          <w:tcPr>
            <w:tcW w:w="1000" w:type="dxa"/>
            <w:vAlign w:val="bottom"/>
            <w:shd w:val="clear" w:color="auto" w:fill="E2E6F4"/>
          </w:tcPr>
          <w:p>
            <w:pPr>
              <w:spacing w:after="0"/>
              <w:rPr>
                <w:sz w:val="7"/>
                <w:szCs w:val="7"/>
                <w:color w:val="auto"/>
              </w:rPr>
            </w:pPr>
          </w:p>
        </w:tc>
        <w:tc>
          <w:tcPr>
            <w:tcW w:w="2420" w:type="dxa"/>
            <w:vAlign w:val="bottom"/>
            <w:vMerge w:val="restart"/>
            <w:shd w:val="clear" w:color="auto" w:fill="E2E6F4"/>
          </w:tcPr>
          <w:p>
            <w:pPr>
              <w:ind w:left="80"/>
              <w:spacing w:after="0"/>
              <w:rPr>
                <w:sz w:val="20"/>
                <w:szCs w:val="20"/>
                <w:color w:val="auto"/>
              </w:rPr>
            </w:pPr>
            <w:r>
              <w:rPr>
                <w:rFonts w:ascii="Arial" w:cs="Arial" w:eastAsia="Arial" w:hAnsi="Arial"/>
                <w:sz w:val="18"/>
                <w:szCs w:val="18"/>
                <w:color w:val="auto"/>
              </w:rPr>
              <w:t>required for payout</w:t>
            </w:r>
          </w:p>
        </w:tc>
        <w:tc>
          <w:tcPr>
            <w:tcW w:w="0" w:type="dxa"/>
            <w:vAlign w:val="bottom"/>
          </w:tcPr>
          <w:p>
            <w:pPr>
              <w:spacing w:after="0"/>
              <w:rPr>
                <w:sz w:val="1"/>
                <w:szCs w:val="1"/>
                <w:color w:val="auto"/>
              </w:rPr>
            </w:pPr>
          </w:p>
        </w:tc>
      </w:tr>
      <w:tr>
        <w:trPr>
          <w:trHeight w:val="148"/>
        </w:trPr>
        <w:tc>
          <w:tcPr>
            <w:tcW w:w="3200" w:type="dxa"/>
            <w:vAlign w:val="bottom"/>
            <w:shd w:val="clear" w:color="auto" w:fill="E2E6F4"/>
          </w:tcPr>
          <w:p>
            <w:pPr>
              <w:spacing w:after="0"/>
              <w:rPr>
                <w:sz w:val="12"/>
                <w:szCs w:val="12"/>
                <w:color w:val="auto"/>
              </w:rPr>
            </w:pPr>
          </w:p>
        </w:tc>
        <w:tc>
          <w:tcPr>
            <w:tcW w:w="260" w:type="dxa"/>
            <w:vAlign w:val="bottom"/>
            <w:shd w:val="clear" w:color="auto" w:fill="E2E6F4"/>
          </w:tcPr>
          <w:p>
            <w:pPr>
              <w:spacing w:after="0"/>
              <w:rPr>
                <w:sz w:val="12"/>
                <w:szCs w:val="12"/>
                <w:color w:val="auto"/>
              </w:rPr>
            </w:pPr>
          </w:p>
        </w:tc>
        <w:tc>
          <w:tcPr>
            <w:tcW w:w="2420" w:type="dxa"/>
            <w:vAlign w:val="bottom"/>
            <w:shd w:val="clear" w:color="auto" w:fill="E2E6F4"/>
          </w:tcPr>
          <w:p>
            <w:pPr>
              <w:spacing w:after="0"/>
              <w:rPr>
                <w:sz w:val="12"/>
                <w:szCs w:val="12"/>
                <w:color w:val="auto"/>
              </w:rPr>
            </w:pPr>
          </w:p>
        </w:tc>
        <w:tc>
          <w:tcPr>
            <w:tcW w:w="260" w:type="dxa"/>
            <w:vAlign w:val="bottom"/>
            <w:shd w:val="clear" w:color="auto" w:fill="E2E6F4"/>
          </w:tcPr>
          <w:p>
            <w:pPr>
              <w:spacing w:after="0"/>
              <w:rPr>
                <w:sz w:val="12"/>
                <w:szCs w:val="12"/>
                <w:color w:val="auto"/>
              </w:rPr>
            </w:pPr>
          </w:p>
        </w:tc>
        <w:tc>
          <w:tcPr>
            <w:tcW w:w="1680" w:type="dxa"/>
            <w:vAlign w:val="bottom"/>
            <w:shd w:val="clear" w:color="auto" w:fill="E2E6F4"/>
          </w:tcPr>
          <w:p>
            <w:pPr>
              <w:spacing w:after="0"/>
              <w:rPr>
                <w:sz w:val="12"/>
                <w:szCs w:val="12"/>
                <w:color w:val="auto"/>
              </w:rPr>
            </w:pPr>
          </w:p>
        </w:tc>
        <w:tc>
          <w:tcPr>
            <w:tcW w:w="1000" w:type="dxa"/>
            <w:vAlign w:val="bottom"/>
            <w:shd w:val="clear" w:color="auto" w:fill="E2E6F4"/>
          </w:tcPr>
          <w:p>
            <w:pPr>
              <w:spacing w:after="0"/>
              <w:rPr>
                <w:sz w:val="12"/>
                <w:szCs w:val="12"/>
                <w:color w:val="auto"/>
              </w:rPr>
            </w:pPr>
          </w:p>
        </w:tc>
        <w:tc>
          <w:tcPr>
            <w:tcW w:w="2420" w:type="dxa"/>
            <w:vAlign w:val="bottom"/>
            <w:vMerge w:val="continue"/>
            <w:shd w:val="clear" w:color="auto" w:fill="E2E6F4"/>
          </w:tcPr>
          <w:p>
            <w:pPr>
              <w:spacing w:after="0"/>
              <w:rPr>
                <w:sz w:val="12"/>
                <w:szCs w:val="12"/>
                <w:color w:val="auto"/>
              </w:rPr>
            </w:pPr>
          </w:p>
        </w:tc>
        <w:tc>
          <w:tcPr>
            <w:tcW w:w="0" w:type="dxa"/>
            <w:vAlign w:val="bottom"/>
          </w:tcPr>
          <w:p>
            <w:pPr>
              <w:spacing w:after="0"/>
              <w:rPr>
                <w:sz w:val="1"/>
                <w:szCs w:val="1"/>
                <w:color w:val="auto"/>
              </w:rPr>
            </w:pPr>
          </w:p>
        </w:tc>
      </w:tr>
      <w:tr>
        <w:trPr>
          <w:trHeight w:val="77"/>
        </w:trPr>
        <w:tc>
          <w:tcPr>
            <w:tcW w:w="3200" w:type="dxa"/>
            <w:vAlign w:val="bottom"/>
            <w:shd w:val="clear" w:color="auto" w:fill="E2E6F4"/>
          </w:tcPr>
          <w:p>
            <w:pPr>
              <w:spacing w:after="0"/>
              <w:rPr>
                <w:sz w:val="6"/>
                <w:szCs w:val="6"/>
                <w:color w:val="auto"/>
              </w:rPr>
            </w:pPr>
          </w:p>
        </w:tc>
        <w:tc>
          <w:tcPr>
            <w:tcW w:w="260" w:type="dxa"/>
            <w:vAlign w:val="bottom"/>
            <w:shd w:val="clear" w:color="auto" w:fill="E2E6F4"/>
          </w:tcPr>
          <w:p>
            <w:pPr>
              <w:spacing w:after="0"/>
              <w:rPr>
                <w:sz w:val="6"/>
                <w:szCs w:val="6"/>
                <w:color w:val="auto"/>
              </w:rPr>
            </w:pPr>
          </w:p>
        </w:tc>
        <w:tc>
          <w:tcPr>
            <w:tcW w:w="2420" w:type="dxa"/>
            <w:vAlign w:val="bottom"/>
            <w:shd w:val="clear" w:color="auto" w:fill="E2E6F4"/>
          </w:tcPr>
          <w:p>
            <w:pPr>
              <w:spacing w:after="0"/>
              <w:rPr>
                <w:sz w:val="6"/>
                <w:szCs w:val="6"/>
                <w:color w:val="auto"/>
              </w:rPr>
            </w:pPr>
          </w:p>
        </w:tc>
        <w:tc>
          <w:tcPr>
            <w:tcW w:w="260" w:type="dxa"/>
            <w:vAlign w:val="bottom"/>
            <w:shd w:val="clear" w:color="auto" w:fill="E2E6F4"/>
          </w:tcPr>
          <w:p>
            <w:pPr>
              <w:spacing w:after="0"/>
              <w:rPr>
                <w:sz w:val="6"/>
                <w:szCs w:val="6"/>
                <w:color w:val="auto"/>
              </w:rPr>
            </w:pPr>
          </w:p>
        </w:tc>
        <w:tc>
          <w:tcPr>
            <w:tcW w:w="1680" w:type="dxa"/>
            <w:vAlign w:val="bottom"/>
            <w:shd w:val="clear" w:color="auto" w:fill="E2E6F4"/>
          </w:tcPr>
          <w:p>
            <w:pPr>
              <w:spacing w:after="0"/>
              <w:rPr>
                <w:sz w:val="6"/>
                <w:szCs w:val="6"/>
                <w:color w:val="auto"/>
              </w:rPr>
            </w:pPr>
          </w:p>
        </w:tc>
        <w:tc>
          <w:tcPr>
            <w:tcW w:w="1000" w:type="dxa"/>
            <w:vAlign w:val="bottom"/>
            <w:shd w:val="clear" w:color="auto" w:fill="E2E6F4"/>
          </w:tcPr>
          <w:p>
            <w:pPr>
              <w:spacing w:after="0"/>
              <w:rPr>
                <w:sz w:val="6"/>
                <w:szCs w:val="6"/>
                <w:color w:val="auto"/>
              </w:rPr>
            </w:pPr>
          </w:p>
        </w:tc>
        <w:tc>
          <w:tcPr>
            <w:tcW w:w="2420" w:type="dxa"/>
            <w:vAlign w:val="bottom"/>
            <w:shd w:val="clear" w:color="auto" w:fill="E2E6F4"/>
          </w:tcPr>
          <w:p>
            <w:pPr>
              <w:spacing w:after="0"/>
              <w:rPr>
                <w:sz w:val="6"/>
                <w:szCs w:val="6"/>
                <w:color w:val="auto"/>
              </w:rPr>
            </w:pPr>
          </w:p>
        </w:tc>
        <w:tc>
          <w:tcPr>
            <w:tcW w:w="0" w:type="dxa"/>
            <w:vAlign w:val="bottom"/>
          </w:tcPr>
          <w:p>
            <w:pPr>
              <w:spacing w:after="0"/>
              <w:rPr>
                <w:sz w:val="1"/>
                <w:szCs w:val="1"/>
                <w:color w:val="auto"/>
              </w:rPr>
            </w:pPr>
          </w:p>
        </w:tc>
      </w:tr>
    </w:tbl>
    <w:p>
      <w:pPr>
        <w:spacing w:after="0" w:line="62" w:lineRule="exact"/>
        <w:rPr>
          <w:sz w:val="20"/>
          <w:szCs w:val="20"/>
          <w:color w:val="auto"/>
        </w:rPr>
      </w:pPr>
    </w:p>
    <w:p>
      <w:pPr>
        <w:sectPr>
          <w:pgSz w:w="11900" w:h="16838" w:orient="portrait"/>
          <w:cols w:equalWidth="0" w:num="1">
            <w:col w:w="11240"/>
          </w:cols>
          <w:pgMar w:left="320" w:top="1240" w:right="339" w:bottom="1440" w:gutter="0" w:footer="0" w:header="0"/>
        </w:sectPr>
      </w:pPr>
    </w:p>
    <w:tbl>
      <w:tblPr>
        <w:tblLayout w:type="fixed"/>
        <w:tblInd w:w="80" w:type="dxa"/>
        <w:tblCellMar>
          <w:top w:w="0" w:type="dxa"/>
          <w:left w:w="0" w:type="dxa"/>
          <w:bottom w:w="0" w:type="dxa"/>
          <w:right w:w="0" w:type="dxa"/>
        </w:tblCellMar>
      </w:tblPr>
      <w:tr>
        <w:trPr>
          <w:trHeight w:val="216"/>
        </w:trPr>
        <w:tc>
          <w:tcPr>
            <w:tcW w:w="980" w:type="dxa"/>
            <w:vAlign w:val="bottom"/>
          </w:tcPr>
          <w:p>
            <w:pPr>
              <w:spacing w:after="0"/>
              <w:rPr>
                <w:sz w:val="20"/>
                <w:szCs w:val="20"/>
                <w:color w:val="auto"/>
              </w:rPr>
            </w:pPr>
            <w:r>
              <w:rPr>
                <w:rFonts w:ascii="Arial" w:cs="Arial" w:eastAsia="Arial" w:hAnsi="Arial"/>
                <w:sz w:val="18"/>
                <w:szCs w:val="18"/>
                <w:b w:val="1"/>
                <w:bCs w:val="1"/>
                <w:color w:val="auto"/>
              </w:rPr>
              <w:t>Long-</w:t>
            </w:r>
          </w:p>
        </w:tc>
        <w:tc>
          <w:tcPr>
            <w:tcW w:w="740" w:type="dxa"/>
            <w:vAlign w:val="bottom"/>
          </w:tcPr>
          <w:p>
            <w:pPr>
              <w:ind w:left="280"/>
              <w:spacing w:after="0"/>
              <w:rPr>
                <w:sz w:val="20"/>
                <w:szCs w:val="20"/>
                <w:color w:val="auto"/>
              </w:rPr>
            </w:pPr>
            <w:r>
              <w:rPr>
                <w:rFonts w:ascii="Arial" w:cs="Arial" w:eastAsia="Arial" w:hAnsi="Arial"/>
                <w:sz w:val="18"/>
                <w:szCs w:val="18"/>
                <w:b w:val="1"/>
                <w:bCs w:val="1"/>
                <w:color w:val="auto"/>
              </w:rPr>
              <w:t>CEO</w:t>
            </w:r>
          </w:p>
        </w:tc>
        <w:tc>
          <w:tcPr>
            <w:tcW w:w="1460" w:type="dxa"/>
            <w:vAlign w:val="bottom"/>
          </w:tcPr>
          <w:p>
            <w:pPr>
              <w:ind w:left="340"/>
              <w:spacing w:after="0"/>
              <w:rPr>
                <w:sz w:val="20"/>
                <w:szCs w:val="20"/>
                <w:color w:val="auto"/>
              </w:rPr>
            </w:pPr>
            <w:r>
              <w:rPr>
                <w:rFonts w:ascii="Arial" w:cs="Arial" w:eastAsia="Arial" w:hAnsi="Arial"/>
                <w:sz w:val="18"/>
                <w:szCs w:val="18"/>
                <w:b w:val="1"/>
                <w:bCs w:val="1"/>
                <w:color w:val="auto"/>
              </w:rPr>
              <w:t>Other NEOs</w:t>
            </w:r>
          </w:p>
        </w:tc>
        <w:tc>
          <w:tcPr>
            <w:tcW w:w="2560" w:type="dxa"/>
            <w:vAlign w:val="bottom"/>
          </w:tcPr>
          <w:p>
            <w:pPr>
              <w:ind w:left="100"/>
              <w:spacing w:after="0"/>
              <w:rPr>
                <w:sz w:val="20"/>
                <w:szCs w:val="20"/>
                <w:color w:val="auto"/>
              </w:rPr>
            </w:pPr>
            <w:r>
              <w:rPr>
                <w:rFonts w:ascii="Arial" w:cs="Arial" w:eastAsia="Arial" w:hAnsi="Arial"/>
                <w:sz w:val="13"/>
                <w:szCs w:val="13"/>
                <w:color w:val="0067B3"/>
              </w:rPr>
              <w:t xml:space="preserve">u </w:t>
            </w:r>
            <w:r>
              <w:rPr>
                <w:rFonts w:ascii="Arial" w:cs="Arial" w:eastAsia="Arial" w:hAnsi="Arial"/>
                <w:sz w:val="17"/>
                <w:szCs w:val="17"/>
                <w:color w:val="000000"/>
              </w:rPr>
              <w:t>Align executive officer and</w:t>
            </w:r>
          </w:p>
        </w:tc>
      </w:tr>
      <w:tr>
        <w:trPr>
          <w:trHeight w:val="248"/>
        </w:trPr>
        <w:tc>
          <w:tcPr>
            <w:tcW w:w="980" w:type="dxa"/>
            <w:vAlign w:val="bottom"/>
          </w:tcPr>
          <w:p>
            <w:pPr>
              <w:spacing w:after="0"/>
              <w:rPr>
                <w:sz w:val="20"/>
                <w:szCs w:val="20"/>
                <w:color w:val="auto"/>
              </w:rPr>
            </w:pPr>
            <w:r>
              <w:rPr>
                <w:rFonts w:ascii="Arial" w:cs="Arial" w:eastAsia="Arial" w:hAnsi="Arial"/>
                <w:sz w:val="18"/>
                <w:szCs w:val="18"/>
                <w:b w:val="1"/>
                <w:bCs w:val="1"/>
                <w:color w:val="auto"/>
              </w:rPr>
              <w:t>Term</w:t>
            </w:r>
          </w:p>
        </w:tc>
        <w:tc>
          <w:tcPr>
            <w:tcW w:w="2200" w:type="dxa"/>
            <w:vAlign w:val="bottom"/>
            <w:gridSpan w:val="2"/>
          </w:tcPr>
          <w:p>
            <w:pPr>
              <w:jc w:val="center"/>
              <w:ind w:right="50"/>
              <w:spacing w:after="0"/>
              <w:rPr>
                <w:sz w:val="20"/>
                <w:szCs w:val="20"/>
                <w:color w:val="auto"/>
              </w:rPr>
            </w:pPr>
            <w:r>
              <w:rPr>
                <w:rFonts w:ascii="Arial" w:cs="Arial" w:eastAsia="Arial" w:hAnsi="Arial"/>
                <w:sz w:val="18"/>
                <w:szCs w:val="18"/>
                <w:color w:val="auto"/>
                <w:w w:val="99"/>
              </w:rPr>
              <w:t>Relative TSR PRSUs</w:t>
            </w:r>
          </w:p>
        </w:tc>
        <w:tc>
          <w:tcPr>
            <w:tcW w:w="2560" w:type="dxa"/>
            <w:vAlign w:val="bottom"/>
          </w:tcPr>
          <w:p>
            <w:pPr>
              <w:ind w:left="280"/>
              <w:spacing w:after="0"/>
              <w:rPr>
                <w:sz w:val="20"/>
                <w:szCs w:val="20"/>
                <w:color w:val="auto"/>
              </w:rPr>
            </w:pPr>
            <w:r>
              <w:rPr>
                <w:rFonts w:ascii="Arial" w:cs="Arial" w:eastAsia="Arial" w:hAnsi="Arial"/>
                <w:sz w:val="18"/>
                <w:szCs w:val="18"/>
                <w:color w:val="auto"/>
              </w:rPr>
              <w:t>shareholder interest to drive</w:t>
            </w:r>
          </w:p>
        </w:tc>
      </w:tr>
      <w:tr>
        <w:trPr>
          <w:trHeight w:val="184"/>
        </w:trPr>
        <w:tc>
          <w:tcPr>
            <w:tcW w:w="980" w:type="dxa"/>
            <w:vAlign w:val="bottom"/>
          </w:tcPr>
          <w:p>
            <w:pPr>
              <w:spacing w:after="0" w:line="183" w:lineRule="exact"/>
              <w:rPr>
                <w:sz w:val="20"/>
                <w:szCs w:val="20"/>
                <w:color w:val="auto"/>
              </w:rPr>
            </w:pPr>
            <w:r>
              <w:rPr>
                <w:rFonts w:ascii="Arial" w:cs="Arial" w:eastAsia="Arial" w:hAnsi="Arial"/>
                <w:sz w:val="18"/>
                <w:szCs w:val="18"/>
                <w:b w:val="1"/>
                <w:bCs w:val="1"/>
                <w:color w:val="auto"/>
              </w:rPr>
              <w:t>Equity</w:t>
            </w:r>
          </w:p>
        </w:tc>
        <w:tc>
          <w:tcPr>
            <w:tcW w:w="74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2560" w:type="dxa"/>
            <w:vAlign w:val="bottom"/>
          </w:tcPr>
          <w:p>
            <w:pPr>
              <w:ind w:left="280"/>
              <w:spacing w:after="0" w:line="183" w:lineRule="exact"/>
              <w:rPr>
                <w:sz w:val="20"/>
                <w:szCs w:val="20"/>
                <w:color w:val="auto"/>
              </w:rPr>
            </w:pPr>
            <w:r>
              <w:rPr>
                <w:rFonts w:ascii="Arial" w:cs="Arial" w:eastAsia="Arial" w:hAnsi="Arial"/>
                <w:sz w:val="18"/>
                <w:szCs w:val="18"/>
                <w:color w:val="auto"/>
                <w:w w:val="99"/>
              </w:rPr>
              <w:t>superior relative TSR results</w:t>
            </w:r>
          </w:p>
        </w:tc>
      </w:tr>
      <w:tr>
        <w:trPr>
          <w:trHeight w:val="247"/>
        </w:trPr>
        <w:tc>
          <w:tcPr>
            <w:tcW w:w="980" w:type="dxa"/>
            <w:vAlign w:val="bottom"/>
          </w:tcPr>
          <w:p>
            <w:pPr>
              <w:spacing w:after="0"/>
              <w:rPr>
                <w:sz w:val="20"/>
                <w:szCs w:val="20"/>
                <w:color w:val="auto"/>
              </w:rPr>
            </w:pPr>
            <w:r>
              <w:rPr>
                <w:rFonts w:ascii="Arial" w:cs="Arial" w:eastAsia="Arial" w:hAnsi="Arial"/>
                <w:sz w:val="18"/>
                <w:szCs w:val="18"/>
                <w:b w:val="1"/>
                <w:bCs w:val="1"/>
                <w:color w:val="auto"/>
              </w:rPr>
              <w:t>Incentives</w:t>
            </w:r>
          </w:p>
        </w:tc>
        <w:tc>
          <w:tcPr>
            <w:tcW w:w="74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2560" w:type="dxa"/>
            <w:vAlign w:val="bottom"/>
          </w:tcPr>
          <w:p>
            <w:pPr>
              <w:spacing w:after="0"/>
              <w:rPr>
                <w:sz w:val="21"/>
                <w:szCs w:val="21"/>
                <w:color w:val="auto"/>
              </w:rPr>
            </w:pPr>
          </w:p>
        </w:tc>
      </w:tr>
      <w:tr>
        <w:trPr>
          <w:trHeight w:val="887"/>
        </w:trPr>
        <w:tc>
          <w:tcPr>
            <w:tcW w:w="980" w:type="dxa"/>
            <w:vAlign w:val="bottom"/>
          </w:tcPr>
          <w:p>
            <w:pPr>
              <w:spacing w:after="0"/>
              <w:rPr>
                <w:sz w:val="24"/>
                <w:szCs w:val="24"/>
                <w:color w:val="auto"/>
              </w:rPr>
            </w:pPr>
          </w:p>
        </w:tc>
        <w:tc>
          <w:tcPr>
            <w:tcW w:w="2200" w:type="dxa"/>
            <w:vAlign w:val="bottom"/>
            <w:gridSpan w:val="2"/>
          </w:tcPr>
          <w:p>
            <w:pPr>
              <w:jc w:val="center"/>
              <w:ind w:right="50"/>
              <w:spacing w:after="0"/>
              <w:rPr>
                <w:sz w:val="20"/>
                <w:szCs w:val="20"/>
                <w:color w:val="auto"/>
              </w:rPr>
            </w:pPr>
            <w:r>
              <w:rPr>
                <w:rFonts w:ascii="Arial" w:cs="Arial" w:eastAsia="Arial" w:hAnsi="Arial"/>
                <w:sz w:val="18"/>
                <w:szCs w:val="18"/>
                <w:color w:val="auto"/>
                <w:w w:val="99"/>
              </w:rPr>
              <w:t>Financial Metric PRSUs</w:t>
            </w:r>
          </w:p>
        </w:tc>
        <w:tc>
          <w:tcPr>
            <w:tcW w:w="2560" w:type="dxa"/>
            <w:vAlign w:val="bottom"/>
          </w:tcPr>
          <w:p>
            <w:pPr>
              <w:ind w:left="100"/>
              <w:spacing w:after="0"/>
              <w:rPr>
                <w:sz w:val="20"/>
                <w:szCs w:val="20"/>
                <w:color w:val="auto"/>
              </w:rPr>
            </w:pPr>
            <w:r>
              <w:rPr>
                <w:rFonts w:ascii="Arial" w:cs="Arial" w:eastAsia="Arial" w:hAnsi="Arial"/>
                <w:sz w:val="13"/>
                <w:szCs w:val="13"/>
                <w:color w:val="0067B3"/>
              </w:rPr>
              <w:t xml:space="preserve">u </w:t>
            </w:r>
            <w:r>
              <w:rPr>
                <w:rFonts w:ascii="Arial" w:cs="Arial" w:eastAsia="Arial" w:hAnsi="Arial"/>
                <w:sz w:val="17"/>
                <w:szCs w:val="17"/>
                <w:color w:val="000000"/>
              </w:rPr>
              <w:t>Align executive officer and</w:t>
            </w:r>
          </w:p>
        </w:tc>
      </w:tr>
      <w:tr>
        <w:trPr>
          <w:trHeight w:val="216"/>
        </w:trPr>
        <w:tc>
          <w:tcPr>
            <w:tcW w:w="9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2560" w:type="dxa"/>
            <w:vAlign w:val="bottom"/>
          </w:tcPr>
          <w:p>
            <w:pPr>
              <w:ind w:left="280"/>
              <w:spacing w:after="0"/>
              <w:rPr>
                <w:sz w:val="20"/>
                <w:szCs w:val="20"/>
                <w:color w:val="auto"/>
              </w:rPr>
            </w:pPr>
            <w:r>
              <w:rPr>
                <w:rFonts w:ascii="Arial" w:cs="Arial" w:eastAsia="Arial" w:hAnsi="Arial"/>
                <w:sz w:val="18"/>
                <w:szCs w:val="18"/>
                <w:color w:val="auto"/>
              </w:rPr>
              <w:t>shareholder interests to</w:t>
            </w:r>
          </w:p>
        </w:tc>
      </w:tr>
      <w:tr>
        <w:trPr>
          <w:trHeight w:val="239"/>
        </w:trPr>
        <w:tc>
          <w:tcPr>
            <w:tcW w:w="9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2560" w:type="dxa"/>
            <w:vAlign w:val="bottom"/>
          </w:tcPr>
          <w:p>
            <w:pPr>
              <w:ind w:left="280"/>
              <w:spacing w:after="0"/>
              <w:rPr>
                <w:sz w:val="20"/>
                <w:szCs w:val="20"/>
                <w:color w:val="auto"/>
              </w:rPr>
            </w:pPr>
            <w:r>
              <w:rPr>
                <w:rFonts w:ascii="Arial" w:cs="Arial" w:eastAsia="Arial" w:hAnsi="Arial"/>
                <w:sz w:val="18"/>
                <w:szCs w:val="18"/>
                <w:color w:val="auto"/>
              </w:rPr>
              <w:t>drive long-term profitability</w:t>
            </w:r>
          </w:p>
        </w:tc>
      </w:tr>
      <w:tr>
        <w:trPr>
          <w:trHeight w:val="814"/>
        </w:trPr>
        <w:tc>
          <w:tcPr>
            <w:tcW w:w="9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460" w:type="dxa"/>
            <w:vAlign w:val="bottom"/>
          </w:tcPr>
          <w:p>
            <w:pPr>
              <w:jc w:val="center"/>
              <w:ind w:right="790"/>
              <w:spacing w:after="0"/>
              <w:rPr>
                <w:sz w:val="20"/>
                <w:szCs w:val="20"/>
                <w:color w:val="auto"/>
              </w:rPr>
            </w:pPr>
            <w:r>
              <w:rPr>
                <w:rFonts w:ascii="Arial" w:cs="Arial" w:eastAsia="Arial" w:hAnsi="Arial"/>
                <w:sz w:val="18"/>
                <w:szCs w:val="18"/>
                <w:color w:val="auto"/>
                <w:w w:val="97"/>
              </w:rPr>
              <w:t>RSUs</w:t>
            </w:r>
          </w:p>
        </w:tc>
        <w:tc>
          <w:tcPr>
            <w:tcW w:w="2560" w:type="dxa"/>
            <w:vAlign w:val="bottom"/>
          </w:tcPr>
          <w:p>
            <w:pPr>
              <w:ind w:left="100"/>
              <w:spacing w:after="0"/>
              <w:rPr>
                <w:sz w:val="20"/>
                <w:szCs w:val="20"/>
                <w:color w:val="auto"/>
              </w:rPr>
            </w:pPr>
            <w:r>
              <w:rPr>
                <w:rFonts w:ascii="Arial" w:cs="Arial" w:eastAsia="Arial" w:hAnsi="Arial"/>
                <w:sz w:val="13"/>
                <w:szCs w:val="13"/>
                <w:color w:val="0067B3"/>
              </w:rPr>
              <w:t xml:space="preserve">u </w:t>
            </w:r>
            <w:r>
              <w:rPr>
                <w:rFonts w:ascii="Arial" w:cs="Arial" w:eastAsia="Arial" w:hAnsi="Arial"/>
                <w:sz w:val="17"/>
                <w:szCs w:val="17"/>
                <w:color w:val="000000"/>
              </w:rPr>
              <w:t>Attract and retain</w:t>
            </w:r>
          </w:p>
        </w:tc>
      </w:tr>
      <w:tr>
        <w:trPr>
          <w:trHeight w:val="239"/>
        </w:trPr>
        <w:tc>
          <w:tcPr>
            <w:tcW w:w="9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2560" w:type="dxa"/>
            <w:vAlign w:val="bottom"/>
          </w:tcPr>
          <w:p>
            <w:pPr>
              <w:ind w:left="280"/>
              <w:spacing w:after="0"/>
              <w:rPr>
                <w:sz w:val="20"/>
                <w:szCs w:val="20"/>
                <w:color w:val="auto"/>
              </w:rPr>
            </w:pPr>
            <w:r>
              <w:rPr>
                <w:rFonts w:ascii="Arial" w:cs="Arial" w:eastAsia="Arial" w:hAnsi="Arial"/>
                <w:sz w:val="18"/>
                <w:szCs w:val="18"/>
                <w:color w:val="auto"/>
              </w:rPr>
              <w:t>key executives</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546100</wp:posOffset>
            </wp:positionV>
            <wp:extent cx="7132320" cy="8890"/>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776605</wp:posOffset>
            </wp:positionH>
            <wp:positionV relativeFrom="paragraph">
              <wp:posOffset>-1622425</wp:posOffset>
            </wp:positionV>
            <wp:extent cx="394335" cy="39433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394335" cy="394335"/>
                    </a:xfrm>
                    <a:prstGeom prst="rect">
                      <a:avLst/>
                    </a:prstGeom>
                    <a:noFill/>
                  </pic:spPr>
                </pic:pic>
              </a:graphicData>
            </a:graphic>
          </wp:anchor>
        </w:drawing>
        <w:drawing>
          <wp:anchor simplePos="0" relativeHeight="251657728" behindDoc="1" locked="0" layoutInCell="0" allowOverlap="1">
            <wp:simplePos x="0" y="0"/>
            <wp:positionH relativeFrom="column">
              <wp:posOffset>1479550</wp:posOffset>
            </wp:positionH>
            <wp:positionV relativeFrom="paragraph">
              <wp:posOffset>-1622425</wp:posOffset>
            </wp:positionV>
            <wp:extent cx="394335" cy="39433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394335" cy="394335"/>
                    </a:xfrm>
                    <a:prstGeom prst="rect">
                      <a:avLst/>
                    </a:prstGeom>
                    <a:noFill/>
                  </pic:spPr>
                </pic:pic>
              </a:graphicData>
            </a:graphic>
          </wp:anchor>
        </w:drawing>
        <w:drawing>
          <wp:anchor simplePos="0" relativeHeight="251657728" behindDoc="1" locked="0" layoutInCell="0" allowOverlap="1">
            <wp:simplePos x="0" y="0"/>
            <wp:positionH relativeFrom="column">
              <wp:posOffset>776605</wp:posOffset>
            </wp:positionH>
            <wp:positionV relativeFrom="paragraph">
              <wp:posOffset>-816610</wp:posOffset>
            </wp:positionV>
            <wp:extent cx="394335" cy="39433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394335" cy="394335"/>
                    </a:xfrm>
                    <a:prstGeom prst="rect">
                      <a:avLst/>
                    </a:prstGeom>
                    <a:noFill/>
                  </pic:spPr>
                </pic:pic>
              </a:graphicData>
            </a:graphic>
          </wp:anchor>
        </w:drawing>
        <w:drawing>
          <wp:anchor simplePos="0" relativeHeight="251657728" behindDoc="1" locked="0" layoutInCell="0" allowOverlap="1">
            <wp:simplePos x="0" y="0"/>
            <wp:positionH relativeFrom="column">
              <wp:posOffset>1479550</wp:posOffset>
            </wp:positionH>
            <wp:positionV relativeFrom="paragraph">
              <wp:posOffset>-816610</wp:posOffset>
            </wp:positionV>
            <wp:extent cx="394335" cy="39433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394335" cy="394335"/>
                    </a:xfrm>
                    <a:prstGeom prst="rect">
                      <a:avLst/>
                    </a:prstGeom>
                    <a:noFill/>
                  </pic:spPr>
                </pic:pic>
              </a:graphicData>
            </a:graphic>
          </wp:anchor>
        </w:drawing>
        <w:drawing>
          <wp:anchor simplePos="0" relativeHeight="251657728" behindDoc="1" locked="0" layoutInCell="0" allowOverlap="1">
            <wp:simplePos x="0" y="0"/>
            <wp:positionH relativeFrom="column">
              <wp:posOffset>776605</wp:posOffset>
            </wp:positionH>
            <wp:positionV relativeFrom="paragraph">
              <wp:posOffset>-10795</wp:posOffset>
            </wp:positionV>
            <wp:extent cx="394335" cy="39433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394335" cy="394335"/>
                    </a:xfrm>
                    <a:prstGeom prst="rect">
                      <a:avLst/>
                    </a:prstGeom>
                    <a:noFill/>
                  </pic:spPr>
                </pic:pic>
              </a:graphicData>
            </a:graphic>
          </wp:anchor>
        </w:drawing>
        <w:drawing>
          <wp:anchor simplePos="0" relativeHeight="251657728" behindDoc="1" locked="0" layoutInCell="0" allowOverlap="1">
            <wp:simplePos x="0" y="0"/>
            <wp:positionH relativeFrom="column">
              <wp:posOffset>1479550</wp:posOffset>
            </wp:positionH>
            <wp:positionV relativeFrom="paragraph">
              <wp:posOffset>-10795</wp:posOffset>
            </wp:positionV>
            <wp:extent cx="394335" cy="39433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394335" cy="39433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ind w:left="192" w:right="20" w:hanging="192"/>
        <w:spacing w:after="0" w:line="268" w:lineRule="auto"/>
        <w:tabs>
          <w:tab w:leader="none" w:pos="149" w:val="left"/>
        </w:tabs>
        <w:numPr>
          <w:ilvl w:val="0"/>
          <w:numId w:val="83"/>
        </w:numPr>
        <w:rPr>
          <w:rFonts w:ascii="Arial" w:cs="Arial" w:eastAsia="Arial" w:hAnsi="Arial"/>
          <w:sz w:val="13"/>
          <w:szCs w:val="13"/>
          <w:color w:val="0067B3"/>
        </w:rPr>
      </w:pPr>
      <w:r>
        <w:rPr>
          <w:rFonts w:ascii="Arial" w:cs="Arial" w:eastAsia="Arial" w:hAnsi="Arial"/>
          <w:sz w:val="18"/>
          <w:szCs w:val="18"/>
          <w:color w:val="auto"/>
        </w:rPr>
        <w:t>Cumulative three-year performance period with cliff vesting</w:t>
      </w:r>
    </w:p>
    <w:p>
      <w:pPr>
        <w:spacing w:after="0" w:line="200" w:lineRule="exact"/>
        <w:rPr>
          <w:rFonts w:ascii="Arial" w:cs="Arial" w:eastAsia="Arial" w:hAnsi="Arial"/>
          <w:sz w:val="13"/>
          <w:szCs w:val="13"/>
          <w:color w:val="0067B3"/>
        </w:rPr>
      </w:pPr>
    </w:p>
    <w:p>
      <w:pPr>
        <w:spacing w:after="0" w:line="200" w:lineRule="exact"/>
        <w:rPr>
          <w:rFonts w:ascii="Arial" w:cs="Arial" w:eastAsia="Arial" w:hAnsi="Arial"/>
          <w:sz w:val="13"/>
          <w:szCs w:val="13"/>
          <w:color w:val="0067B3"/>
        </w:rPr>
      </w:pPr>
    </w:p>
    <w:p>
      <w:pPr>
        <w:spacing w:after="0" w:line="200" w:lineRule="exact"/>
        <w:rPr>
          <w:rFonts w:ascii="Arial" w:cs="Arial" w:eastAsia="Arial" w:hAnsi="Arial"/>
          <w:sz w:val="13"/>
          <w:szCs w:val="13"/>
          <w:color w:val="0067B3"/>
        </w:rPr>
      </w:pPr>
    </w:p>
    <w:p>
      <w:pPr>
        <w:spacing w:after="0" w:line="272" w:lineRule="exact"/>
        <w:rPr>
          <w:rFonts w:ascii="Arial" w:cs="Arial" w:eastAsia="Arial" w:hAnsi="Arial"/>
          <w:sz w:val="13"/>
          <w:szCs w:val="13"/>
          <w:color w:val="0067B3"/>
        </w:rPr>
      </w:pPr>
    </w:p>
    <w:p>
      <w:pPr>
        <w:ind w:left="192" w:right="20" w:hanging="192"/>
        <w:spacing w:after="0" w:line="268" w:lineRule="auto"/>
        <w:tabs>
          <w:tab w:leader="none" w:pos="149" w:val="left"/>
        </w:tabs>
        <w:numPr>
          <w:ilvl w:val="0"/>
          <w:numId w:val="83"/>
        </w:numPr>
        <w:rPr>
          <w:rFonts w:ascii="Arial" w:cs="Arial" w:eastAsia="Arial" w:hAnsi="Arial"/>
          <w:sz w:val="13"/>
          <w:szCs w:val="13"/>
          <w:color w:val="0067B3"/>
        </w:rPr>
      </w:pPr>
      <w:r>
        <w:rPr>
          <w:rFonts w:ascii="Arial" w:cs="Arial" w:eastAsia="Arial" w:hAnsi="Arial"/>
          <w:sz w:val="18"/>
          <w:szCs w:val="18"/>
          <w:color w:val="auto"/>
        </w:rPr>
        <w:t>Cumulative three-year performance period with cliff vesting</w:t>
      </w:r>
    </w:p>
    <w:p>
      <w:pPr>
        <w:spacing w:after="0" w:line="200" w:lineRule="exact"/>
        <w:rPr>
          <w:rFonts w:ascii="Arial" w:cs="Arial" w:eastAsia="Arial" w:hAnsi="Arial"/>
          <w:sz w:val="13"/>
          <w:szCs w:val="13"/>
          <w:color w:val="0067B3"/>
        </w:rPr>
      </w:pPr>
    </w:p>
    <w:p>
      <w:pPr>
        <w:spacing w:after="0" w:line="375" w:lineRule="exact"/>
        <w:rPr>
          <w:rFonts w:ascii="Arial" w:cs="Arial" w:eastAsia="Arial" w:hAnsi="Arial"/>
          <w:sz w:val="13"/>
          <w:szCs w:val="13"/>
          <w:color w:val="0067B3"/>
        </w:rPr>
      </w:pPr>
    </w:p>
    <w:p>
      <w:pPr>
        <w:ind w:left="152" w:hanging="152"/>
        <w:spacing w:after="0"/>
        <w:tabs>
          <w:tab w:leader="none" w:pos="152" w:val="left"/>
        </w:tabs>
        <w:numPr>
          <w:ilvl w:val="0"/>
          <w:numId w:val="83"/>
        </w:numPr>
        <w:rPr>
          <w:rFonts w:ascii="Arial" w:cs="Arial" w:eastAsia="Arial" w:hAnsi="Arial"/>
          <w:sz w:val="12"/>
          <w:szCs w:val="12"/>
          <w:color w:val="0067B3"/>
        </w:rPr>
      </w:pPr>
      <w:r>
        <w:rPr>
          <w:rFonts w:ascii="Arial" w:cs="Arial" w:eastAsia="Arial" w:hAnsi="Arial"/>
          <w:sz w:val="17"/>
          <w:szCs w:val="17"/>
          <w:color w:val="auto"/>
        </w:rPr>
        <w:t>Four-year graded vesting</w:t>
      </w:r>
    </w:p>
    <w:p>
      <w:pPr>
        <w:spacing w:after="0" w:line="20" w:lineRule="exact"/>
        <w:rPr>
          <w:sz w:val="20"/>
          <w:szCs w:val="20"/>
          <w:color w:val="auto"/>
        </w:rPr>
      </w:pPr>
      <w:r>
        <w:rPr>
          <w:sz w:val="20"/>
          <w:szCs w:val="20"/>
          <w:color w:val="auto"/>
        </w:rPr>
        <w:br w:type="column"/>
      </w:r>
    </w:p>
    <w:p>
      <w:pPr>
        <w:ind w:left="199" w:right="120" w:hanging="199"/>
        <w:spacing w:after="0" w:line="291" w:lineRule="auto"/>
        <w:tabs>
          <w:tab w:leader="none" w:pos="156" w:val="left"/>
        </w:tabs>
        <w:numPr>
          <w:ilvl w:val="0"/>
          <w:numId w:val="84"/>
        </w:numPr>
        <w:rPr>
          <w:rFonts w:ascii="Arial" w:cs="Arial" w:eastAsia="Arial" w:hAnsi="Arial"/>
          <w:sz w:val="12"/>
          <w:szCs w:val="12"/>
          <w:color w:val="0067B3"/>
        </w:rPr>
      </w:pPr>
      <w:r>
        <w:rPr>
          <w:rFonts w:ascii="Arial" w:cs="Arial" w:eastAsia="Arial" w:hAnsi="Arial"/>
          <w:sz w:val="17"/>
          <w:szCs w:val="17"/>
          <w:color w:val="auto"/>
        </w:rPr>
        <w:t>Relative TSR compared to comparator group, targeting above-median performance</w:t>
      </w:r>
    </w:p>
    <w:p>
      <w:pPr>
        <w:spacing w:after="0" w:line="17" w:lineRule="exact"/>
        <w:rPr>
          <w:rFonts w:ascii="Arial" w:cs="Arial" w:eastAsia="Arial" w:hAnsi="Arial"/>
          <w:sz w:val="12"/>
          <w:szCs w:val="12"/>
          <w:color w:val="0067B3"/>
        </w:rPr>
      </w:pPr>
    </w:p>
    <w:p>
      <w:pPr>
        <w:ind w:left="199" w:right="240" w:hanging="199"/>
        <w:spacing w:after="0" w:line="287" w:lineRule="auto"/>
        <w:tabs>
          <w:tab w:leader="none" w:pos="156" w:val="left"/>
        </w:tabs>
        <w:numPr>
          <w:ilvl w:val="0"/>
          <w:numId w:val="84"/>
        </w:numPr>
        <w:rPr>
          <w:rFonts w:ascii="Arial" w:cs="Arial" w:eastAsia="Arial" w:hAnsi="Arial"/>
          <w:sz w:val="13"/>
          <w:szCs w:val="13"/>
          <w:color w:val="0067B3"/>
        </w:rPr>
      </w:pPr>
      <w:r>
        <w:rPr>
          <w:rFonts w:ascii="Arial" w:cs="Arial" w:eastAsia="Arial" w:hAnsi="Arial"/>
          <w:sz w:val="18"/>
          <w:szCs w:val="18"/>
          <w:color w:val="auto"/>
        </w:rPr>
        <w:t>Payouts capped at target if absolute TSR is negative</w:t>
      </w:r>
    </w:p>
    <w:p>
      <w:pPr>
        <w:spacing w:after="0" w:line="341" w:lineRule="exact"/>
        <w:rPr>
          <w:rFonts w:ascii="Arial" w:cs="Arial" w:eastAsia="Arial" w:hAnsi="Arial"/>
          <w:sz w:val="13"/>
          <w:szCs w:val="13"/>
          <w:color w:val="0067B3"/>
        </w:rPr>
      </w:pPr>
    </w:p>
    <w:p>
      <w:pPr>
        <w:ind w:left="159" w:hanging="159"/>
        <w:spacing w:after="0"/>
        <w:tabs>
          <w:tab w:leader="none" w:pos="159" w:val="left"/>
        </w:tabs>
        <w:numPr>
          <w:ilvl w:val="0"/>
          <w:numId w:val="84"/>
        </w:numPr>
        <w:rPr>
          <w:rFonts w:ascii="Arial" w:cs="Arial" w:eastAsia="Arial" w:hAnsi="Arial"/>
          <w:sz w:val="13"/>
          <w:szCs w:val="13"/>
          <w:color w:val="0067B3"/>
        </w:rPr>
      </w:pPr>
      <w:r>
        <w:rPr>
          <w:rFonts w:ascii="Arial" w:cs="Arial" w:eastAsia="Arial" w:hAnsi="Arial"/>
          <w:sz w:val="18"/>
          <w:szCs w:val="18"/>
          <w:color w:val="auto"/>
        </w:rPr>
        <w:t>Non-GAAP operating profit</w:t>
      </w:r>
    </w:p>
    <w:p>
      <w:pPr>
        <w:spacing w:after="0" w:line="200" w:lineRule="exact"/>
        <w:rPr>
          <w:rFonts w:ascii="Arial" w:cs="Arial" w:eastAsia="Arial" w:hAnsi="Arial"/>
          <w:sz w:val="13"/>
          <w:szCs w:val="13"/>
          <w:color w:val="0067B3"/>
        </w:rPr>
      </w:pPr>
    </w:p>
    <w:p>
      <w:pPr>
        <w:spacing w:after="0" w:line="200" w:lineRule="exact"/>
        <w:rPr>
          <w:rFonts w:ascii="Arial" w:cs="Arial" w:eastAsia="Arial" w:hAnsi="Arial"/>
          <w:sz w:val="13"/>
          <w:szCs w:val="13"/>
          <w:color w:val="0067B3"/>
        </w:rPr>
      </w:pPr>
    </w:p>
    <w:p>
      <w:pPr>
        <w:spacing w:after="0" w:line="200" w:lineRule="exact"/>
        <w:rPr>
          <w:rFonts w:ascii="Arial" w:cs="Arial" w:eastAsia="Arial" w:hAnsi="Arial"/>
          <w:sz w:val="13"/>
          <w:szCs w:val="13"/>
          <w:color w:val="0067B3"/>
        </w:rPr>
      </w:pPr>
    </w:p>
    <w:p>
      <w:pPr>
        <w:spacing w:after="0" w:line="200" w:lineRule="exact"/>
        <w:rPr>
          <w:rFonts w:ascii="Arial" w:cs="Arial" w:eastAsia="Arial" w:hAnsi="Arial"/>
          <w:sz w:val="13"/>
          <w:szCs w:val="13"/>
          <w:color w:val="0067B3"/>
        </w:rPr>
      </w:pPr>
    </w:p>
    <w:p>
      <w:pPr>
        <w:spacing w:after="0" w:line="262" w:lineRule="exact"/>
        <w:rPr>
          <w:rFonts w:ascii="Arial" w:cs="Arial" w:eastAsia="Arial" w:hAnsi="Arial"/>
          <w:sz w:val="13"/>
          <w:szCs w:val="13"/>
          <w:color w:val="0067B3"/>
        </w:rPr>
      </w:pPr>
    </w:p>
    <w:p>
      <w:pPr>
        <w:ind w:left="159" w:hanging="159"/>
        <w:spacing w:after="0"/>
        <w:tabs>
          <w:tab w:leader="none" w:pos="159" w:val="left"/>
        </w:tabs>
        <w:numPr>
          <w:ilvl w:val="0"/>
          <w:numId w:val="84"/>
        </w:numPr>
        <w:rPr>
          <w:rFonts w:ascii="Arial" w:cs="Arial" w:eastAsia="Arial" w:hAnsi="Arial"/>
          <w:sz w:val="13"/>
          <w:szCs w:val="13"/>
          <w:color w:val="0067B3"/>
        </w:rPr>
      </w:pPr>
      <w:r>
        <w:rPr>
          <w:rFonts w:ascii="Arial" w:cs="Arial" w:eastAsia="Arial" w:hAnsi="Arial"/>
          <w:sz w:val="18"/>
          <w:szCs w:val="18"/>
          <w:color w:val="auto"/>
        </w:rPr>
        <w:t>None</w:t>
      </w:r>
    </w:p>
    <w:p>
      <w:pPr>
        <w:spacing w:after="0" w:line="447" w:lineRule="exact"/>
        <w:rPr>
          <w:sz w:val="20"/>
          <w:szCs w:val="20"/>
          <w:color w:val="auto"/>
        </w:rPr>
      </w:pPr>
    </w:p>
    <w:p>
      <w:pPr>
        <w:sectPr>
          <w:pgSz w:w="11900" w:h="16838" w:orient="portrait"/>
          <w:cols w:equalWidth="0" w:num="3">
            <w:col w:w="5820" w:space="208"/>
            <w:col w:w="2152" w:space="521"/>
            <w:col w:w="2539"/>
          </w:cols>
          <w:pgMar w:left="320" w:top="1240"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tabs>
          <w:tab w:leader="none" w:pos="3180" w:val="left"/>
        </w:tabs>
        <w:rPr>
          <w:sz w:val="20"/>
          <w:szCs w:val="20"/>
          <w:color w:val="auto"/>
        </w:rPr>
      </w:pPr>
      <w:r>
        <w:rPr>
          <w:rFonts w:ascii="Arial" w:cs="Arial" w:eastAsia="Arial" w:hAnsi="Arial"/>
          <w:sz w:val="16"/>
          <w:szCs w:val="16"/>
          <w:color w:val="auto"/>
        </w:rPr>
        <w:t>OPBT = Operating Profit Before Taxes</w:t>
      </w:r>
      <w:r>
        <w:rPr>
          <w:sz w:val="20"/>
          <w:szCs w:val="20"/>
          <w:color w:val="auto"/>
        </w:rPr>
        <w:tab/>
      </w:r>
      <w:r>
        <w:rPr>
          <w:rFonts w:ascii="Arial" w:cs="Arial" w:eastAsia="Arial" w:hAnsi="Arial"/>
          <w:sz w:val="16"/>
          <w:szCs w:val="16"/>
          <w:color w:val="auto"/>
        </w:rPr>
        <w:t>TSR = Total Shareholder Return</w:t>
      </w:r>
    </w:p>
    <w:p>
      <w:pPr>
        <w:spacing w:after="0" w:line="219" w:lineRule="exact"/>
        <w:rPr>
          <w:sz w:val="20"/>
          <w:szCs w:val="20"/>
          <w:color w:val="auto"/>
        </w:rPr>
      </w:pPr>
    </w:p>
    <w:p>
      <w:pPr>
        <w:spacing w:after="0"/>
        <w:rPr>
          <w:sz w:val="20"/>
          <w:szCs w:val="20"/>
          <w:color w:val="auto"/>
        </w:rPr>
      </w:pPr>
      <w:r>
        <w:rPr>
          <w:rFonts w:ascii="Arial" w:cs="Arial" w:eastAsia="Arial" w:hAnsi="Arial"/>
          <w:sz w:val="27"/>
          <w:szCs w:val="27"/>
          <w:b w:val="1"/>
          <w:bCs w:val="1"/>
          <w:color w:val="0067B3"/>
        </w:rPr>
        <w:t>Pay and Governance Best Practices</w:t>
      </w:r>
    </w:p>
    <w:p>
      <w:pPr>
        <w:spacing w:after="0" w:line="132" w:lineRule="exact"/>
        <w:rPr>
          <w:sz w:val="20"/>
          <w:szCs w:val="20"/>
          <w:color w:val="auto"/>
        </w:rPr>
      </w:pPr>
    </w:p>
    <w:p>
      <w:pPr>
        <w:spacing w:after="0"/>
        <w:rPr>
          <w:sz w:val="20"/>
          <w:szCs w:val="20"/>
          <w:color w:val="auto"/>
        </w:rPr>
      </w:pPr>
      <w:r>
        <w:rPr>
          <w:rFonts w:ascii="Arial" w:cs="Arial" w:eastAsia="Arial" w:hAnsi="Arial"/>
          <w:sz w:val="17"/>
          <w:szCs w:val="17"/>
          <w:color w:val="auto"/>
        </w:rPr>
        <w:t>Our pay and governance practices are designed to align our executive officers’ interests with those of our shareholders. For example: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179070</wp:posOffset>
            </wp:positionV>
            <wp:extent cx="7132320" cy="240855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7132320" cy="2408555"/>
                    </a:xfrm>
                    <a:prstGeom prst="rect">
                      <a:avLst/>
                    </a:prstGeom>
                    <a:noFill/>
                  </pic:spPr>
                </pic:pic>
              </a:graphicData>
            </a:graphic>
          </wp:anchor>
        </w:drawing>
      </w:r>
    </w:p>
    <w:p>
      <w:pPr>
        <w:sectPr>
          <w:pgSz w:w="11900" w:h="16838" w:orient="portrait"/>
          <w:cols w:equalWidth="0" w:num="1">
            <w:col w:w="11240"/>
          </w:cols>
          <w:pgMar w:left="320" w:top="1240" w:right="339" w:bottom="1440" w:gutter="0" w:footer="0" w:header="0"/>
          <w:type w:val="continuous"/>
        </w:sectPr>
      </w:pPr>
    </w:p>
    <w:p>
      <w:pPr>
        <w:spacing w:after="0" w:line="200" w:lineRule="exact"/>
        <w:rPr>
          <w:sz w:val="20"/>
          <w:szCs w:val="20"/>
          <w:color w:val="auto"/>
        </w:rPr>
      </w:pPr>
    </w:p>
    <w:p>
      <w:pPr>
        <w:spacing w:after="0" w:line="253" w:lineRule="exact"/>
        <w:rPr>
          <w:sz w:val="20"/>
          <w:szCs w:val="20"/>
          <w:color w:val="auto"/>
        </w:rPr>
      </w:pPr>
    </w:p>
    <w:p>
      <w:pPr>
        <w:ind w:left="3280"/>
        <w:spacing w:after="0"/>
        <w:rPr>
          <w:sz w:val="20"/>
          <w:szCs w:val="20"/>
          <w:color w:val="auto"/>
        </w:rPr>
      </w:pPr>
      <w:r>
        <w:rPr>
          <w:rFonts w:ascii="Arial" w:cs="Arial" w:eastAsia="Arial" w:hAnsi="Arial"/>
          <w:sz w:val="18"/>
          <w:szCs w:val="18"/>
          <w:b w:val="1"/>
          <w:bCs w:val="1"/>
          <w:color w:val="FFFFFF"/>
        </w:rPr>
        <w:t>What We Do</w:t>
      </w:r>
    </w:p>
    <w:p>
      <w:pPr>
        <w:spacing w:after="0" w:line="279" w:lineRule="exact"/>
        <w:rPr>
          <w:sz w:val="20"/>
          <w:szCs w:val="20"/>
          <w:color w:val="auto"/>
        </w:rPr>
      </w:pPr>
    </w:p>
    <w:p>
      <w:pPr>
        <w:ind w:left="180" w:hanging="154"/>
        <w:spacing w:after="0"/>
        <w:tabs>
          <w:tab w:leader="none" w:pos="180" w:val="left"/>
        </w:tabs>
        <w:numPr>
          <w:ilvl w:val="0"/>
          <w:numId w:val="85"/>
        </w:numPr>
        <w:rPr>
          <w:rFonts w:ascii="Arial" w:cs="Arial" w:eastAsia="Arial" w:hAnsi="Arial"/>
          <w:sz w:val="13"/>
          <w:szCs w:val="13"/>
          <w:color w:val="0067B3"/>
        </w:rPr>
      </w:pPr>
      <w:r>
        <w:rPr>
          <w:rFonts w:ascii="Arial" w:cs="Arial" w:eastAsia="Arial" w:hAnsi="Arial"/>
          <w:sz w:val="18"/>
          <w:szCs w:val="18"/>
          <w:color w:val="auto"/>
        </w:rPr>
        <w:t>Review compensation practices of peers aligned with ADI’s business</w:t>
      </w:r>
    </w:p>
    <w:p>
      <w:pPr>
        <w:spacing w:after="0" w:line="90" w:lineRule="exact"/>
        <w:rPr>
          <w:rFonts w:ascii="Arial" w:cs="Arial" w:eastAsia="Arial" w:hAnsi="Arial"/>
          <w:sz w:val="13"/>
          <w:szCs w:val="13"/>
          <w:color w:val="0067B3"/>
        </w:rPr>
      </w:pPr>
    </w:p>
    <w:p>
      <w:pPr>
        <w:ind w:left="180" w:hanging="154"/>
        <w:spacing w:after="0"/>
        <w:tabs>
          <w:tab w:leader="none" w:pos="180" w:val="left"/>
        </w:tabs>
        <w:numPr>
          <w:ilvl w:val="0"/>
          <w:numId w:val="85"/>
        </w:numPr>
        <w:rPr>
          <w:rFonts w:ascii="Arial" w:cs="Arial" w:eastAsia="Arial" w:hAnsi="Arial"/>
          <w:sz w:val="13"/>
          <w:szCs w:val="13"/>
          <w:color w:val="0067B3"/>
        </w:rPr>
      </w:pPr>
      <w:r>
        <w:rPr>
          <w:rFonts w:ascii="Arial" w:cs="Arial" w:eastAsia="Arial" w:hAnsi="Arial"/>
          <w:sz w:val="18"/>
          <w:szCs w:val="18"/>
          <w:color w:val="auto"/>
        </w:rPr>
        <w:t>Provide for annual cash incentives that are based solely on our financial performance</w:t>
      </w:r>
    </w:p>
    <w:p>
      <w:pPr>
        <w:spacing w:after="0" w:line="76" w:lineRule="exact"/>
        <w:rPr>
          <w:rFonts w:ascii="Arial" w:cs="Arial" w:eastAsia="Arial" w:hAnsi="Arial"/>
          <w:sz w:val="13"/>
          <w:szCs w:val="13"/>
          <w:color w:val="0067B3"/>
        </w:rPr>
      </w:pPr>
    </w:p>
    <w:p>
      <w:pPr>
        <w:ind w:left="220" w:right="120" w:hanging="194"/>
        <w:spacing w:after="0" w:line="287" w:lineRule="auto"/>
        <w:tabs>
          <w:tab w:leader="none" w:pos="177" w:val="left"/>
        </w:tabs>
        <w:numPr>
          <w:ilvl w:val="0"/>
          <w:numId w:val="85"/>
        </w:numPr>
        <w:rPr>
          <w:rFonts w:ascii="Arial" w:cs="Arial" w:eastAsia="Arial" w:hAnsi="Arial"/>
          <w:sz w:val="13"/>
          <w:szCs w:val="13"/>
          <w:color w:val="0067B3"/>
        </w:rPr>
      </w:pPr>
      <w:r>
        <w:rPr>
          <w:rFonts w:ascii="Arial" w:cs="Arial" w:eastAsia="Arial" w:hAnsi="Arial"/>
          <w:sz w:val="18"/>
          <w:szCs w:val="18"/>
          <w:color w:val="auto"/>
        </w:rPr>
        <w:t>Design compensation programs to align a significant portion of equity awards to long-term performance achievement</w:t>
      </w:r>
    </w:p>
    <w:p>
      <w:pPr>
        <w:spacing w:after="0" w:line="4" w:lineRule="exact"/>
        <w:rPr>
          <w:rFonts w:ascii="Arial" w:cs="Arial" w:eastAsia="Arial" w:hAnsi="Arial"/>
          <w:sz w:val="13"/>
          <w:szCs w:val="13"/>
          <w:color w:val="0067B3"/>
        </w:rPr>
      </w:pPr>
    </w:p>
    <w:p>
      <w:pPr>
        <w:ind w:left="180" w:hanging="154"/>
        <w:spacing w:after="0"/>
        <w:tabs>
          <w:tab w:leader="none" w:pos="180" w:val="left"/>
        </w:tabs>
        <w:numPr>
          <w:ilvl w:val="0"/>
          <w:numId w:val="85"/>
        </w:numPr>
        <w:rPr>
          <w:rFonts w:ascii="Arial" w:cs="Arial" w:eastAsia="Arial" w:hAnsi="Arial"/>
          <w:sz w:val="12"/>
          <w:szCs w:val="12"/>
          <w:color w:val="0067B3"/>
        </w:rPr>
      </w:pPr>
      <w:r>
        <w:rPr>
          <w:rFonts w:ascii="Arial" w:cs="Arial" w:eastAsia="Arial" w:hAnsi="Arial"/>
          <w:sz w:val="17"/>
          <w:szCs w:val="17"/>
          <w:color w:val="auto"/>
        </w:rPr>
        <w:t>Tie incentive awards to challenging performance targets aligned with our corporate strategy</w:t>
      </w:r>
    </w:p>
    <w:p>
      <w:pPr>
        <w:spacing w:after="0" w:line="101" w:lineRule="exact"/>
        <w:rPr>
          <w:rFonts w:ascii="Arial" w:cs="Arial" w:eastAsia="Arial" w:hAnsi="Arial"/>
          <w:sz w:val="12"/>
          <w:szCs w:val="12"/>
          <w:color w:val="0067B3"/>
        </w:rPr>
      </w:pPr>
    </w:p>
    <w:p>
      <w:pPr>
        <w:ind w:left="220" w:right="200" w:hanging="194"/>
        <w:spacing w:after="0" w:line="287" w:lineRule="auto"/>
        <w:tabs>
          <w:tab w:leader="none" w:pos="177" w:val="left"/>
        </w:tabs>
        <w:numPr>
          <w:ilvl w:val="0"/>
          <w:numId w:val="85"/>
        </w:numPr>
        <w:rPr>
          <w:rFonts w:ascii="Arial" w:cs="Arial" w:eastAsia="Arial" w:hAnsi="Arial"/>
          <w:sz w:val="13"/>
          <w:szCs w:val="13"/>
          <w:color w:val="0067B3"/>
        </w:rPr>
      </w:pPr>
      <w:r>
        <w:rPr>
          <w:rFonts w:ascii="Arial" w:cs="Arial" w:eastAsia="Arial" w:hAnsi="Arial"/>
          <w:sz w:val="18"/>
          <w:szCs w:val="18"/>
          <w:color w:val="auto"/>
        </w:rPr>
        <w:t>Cap payouts for Relative TSR PRSUs at target if absolute TSR is negative and set target objectives at above-median relative TSR performance</w:t>
      </w:r>
    </w:p>
    <w:p>
      <w:pPr>
        <w:spacing w:after="0" w:line="4" w:lineRule="exact"/>
        <w:rPr>
          <w:rFonts w:ascii="Arial" w:cs="Arial" w:eastAsia="Arial" w:hAnsi="Arial"/>
          <w:sz w:val="13"/>
          <w:szCs w:val="13"/>
          <w:color w:val="0067B3"/>
        </w:rPr>
      </w:pPr>
    </w:p>
    <w:p>
      <w:pPr>
        <w:ind w:left="180" w:hanging="154"/>
        <w:spacing w:after="0"/>
        <w:tabs>
          <w:tab w:leader="none" w:pos="180" w:val="left"/>
        </w:tabs>
        <w:numPr>
          <w:ilvl w:val="0"/>
          <w:numId w:val="85"/>
        </w:numPr>
        <w:rPr>
          <w:rFonts w:ascii="Arial" w:cs="Arial" w:eastAsia="Arial" w:hAnsi="Arial"/>
          <w:sz w:val="13"/>
          <w:szCs w:val="13"/>
          <w:color w:val="0067B3"/>
        </w:rPr>
      </w:pPr>
      <w:r>
        <w:rPr>
          <w:rFonts w:ascii="Arial" w:cs="Arial" w:eastAsia="Arial" w:hAnsi="Arial"/>
          <w:sz w:val="18"/>
          <w:szCs w:val="18"/>
          <w:color w:val="auto"/>
        </w:rPr>
        <w:t>Provide for compensation clawbacks pursuant to a clawback policy for our CEO and</w:t>
      </w:r>
    </w:p>
    <w:p>
      <w:pPr>
        <w:spacing w:after="0" w:line="27" w:lineRule="exact"/>
        <w:rPr>
          <w:sz w:val="20"/>
          <w:szCs w:val="20"/>
          <w:color w:val="auto"/>
        </w:rPr>
      </w:pPr>
    </w:p>
    <w:p>
      <w:pPr>
        <w:ind w:left="220"/>
        <w:spacing w:after="0"/>
        <w:rPr>
          <w:sz w:val="20"/>
          <w:szCs w:val="20"/>
          <w:color w:val="auto"/>
        </w:rPr>
      </w:pPr>
      <w:r>
        <w:rPr>
          <w:rFonts w:ascii="Arial" w:cs="Arial" w:eastAsia="Arial" w:hAnsi="Arial"/>
          <w:sz w:val="18"/>
          <w:szCs w:val="18"/>
          <w:color w:val="auto"/>
        </w:rPr>
        <w:t>other officers</w:t>
      </w:r>
    </w:p>
    <w:p>
      <w:pPr>
        <w:spacing w:after="0" w:line="59" w:lineRule="exact"/>
        <w:rPr>
          <w:sz w:val="20"/>
          <w:szCs w:val="20"/>
          <w:color w:val="auto"/>
        </w:rPr>
      </w:pPr>
    </w:p>
    <w:p>
      <w:pPr>
        <w:ind w:left="220" w:right="440" w:hanging="194"/>
        <w:spacing w:after="0" w:line="287" w:lineRule="auto"/>
        <w:tabs>
          <w:tab w:leader="none" w:pos="177" w:val="left"/>
        </w:tabs>
        <w:numPr>
          <w:ilvl w:val="0"/>
          <w:numId w:val="86"/>
        </w:numPr>
        <w:rPr>
          <w:rFonts w:ascii="Arial" w:cs="Arial" w:eastAsia="Arial" w:hAnsi="Arial"/>
          <w:sz w:val="13"/>
          <w:szCs w:val="13"/>
          <w:color w:val="0067B3"/>
        </w:rPr>
      </w:pPr>
      <w:r>
        <w:rPr>
          <w:rFonts w:ascii="Arial" w:cs="Arial" w:eastAsia="Arial" w:hAnsi="Arial"/>
          <w:sz w:val="18"/>
          <w:szCs w:val="18"/>
          <w:color w:val="auto"/>
        </w:rPr>
        <w:t>Require significant share ownership by executive officers pursuant to stock ownership guidelines</w:t>
      </w:r>
    </w:p>
    <w:p>
      <w:pPr>
        <w:spacing w:after="0" w:line="17" w:lineRule="exact"/>
        <w:rPr>
          <w:rFonts w:ascii="Arial" w:cs="Arial" w:eastAsia="Arial" w:hAnsi="Arial"/>
          <w:sz w:val="13"/>
          <w:szCs w:val="13"/>
          <w:color w:val="0067B3"/>
        </w:rPr>
      </w:pPr>
    </w:p>
    <w:p>
      <w:pPr>
        <w:ind w:left="180" w:hanging="154"/>
        <w:spacing w:after="0"/>
        <w:tabs>
          <w:tab w:leader="none" w:pos="180" w:val="left"/>
        </w:tabs>
        <w:numPr>
          <w:ilvl w:val="0"/>
          <w:numId w:val="86"/>
        </w:numPr>
        <w:rPr>
          <w:rFonts w:ascii="Arial" w:cs="Arial" w:eastAsia="Arial" w:hAnsi="Arial"/>
          <w:sz w:val="13"/>
          <w:szCs w:val="13"/>
          <w:color w:val="0067B3"/>
        </w:rPr>
      </w:pPr>
      <w:r>
        <w:rPr>
          <w:rFonts w:ascii="Arial" w:cs="Arial" w:eastAsia="Arial" w:hAnsi="Arial"/>
          <w:sz w:val="18"/>
          <w:szCs w:val="18"/>
          <w:color w:val="auto"/>
        </w:rPr>
        <w:t>Conduct an annual “say-on-pay” vote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33" w:lineRule="exact"/>
        <w:rPr>
          <w:sz w:val="20"/>
          <w:szCs w:val="20"/>
          <w:color w:val="auto"/>
        </w:rPr>
      </w:pPr>
    </w:p>
    <w:p>
      <w:pPr>
        <w:ind w:left="802"/>
        <w:spacing w:after="0"/>
        <w:rPr>
          <w:sz w:val="20"/>
          <w:szCs w:val="20"/>
          <w:color w:val="auto"/>
        </w:rPr>
      </w:pPr>
      <w:r>
        <w:rPr>
          <w:rFonts w:ascii="Arial" w:cs="Arial" w:eastAsia="Arial" w:hAnsi="Arial"/>
          <w:sz w:val="18"/>
          <w:szCs w:val="18"/>
          <w:b w:val="1"/>
          <w:bCs w:val="1"/>
          <w:color w:val="FFFFFF"/>
        </w:rPr>
        <w:t>What We Don’t Do</w:t>
      </w:r>
    </w:p>
    <w:p>
      <w:pPr>
        <w:spacing w:after="0" w:line="279" w:lineRule="exact"/>
        <w:rPr>
          <w:sz w:val="20"/>
          <w:szCs w:val="20"/>
          <w:color w:val="auto"/>
        </w:rPr>
      </w:pPr>
    </w:p>
    <w:p>
      <w:pPr>
        <w:ind w:left="202" w:right="820" w:hanging="202"/>
        <w:spacing w:after="0" w:line="287" w:lineRule="auto"/>
        <w:tabs>
          <w:tab w:leader="none" w:pos="158" w:val="left"/>
        </w:tabs>
        <w:numPr>
          <w:ilvl w:val="0"/>
          <w:numId w:val="87"/>
        </w:numPr>
        <w:rPr>
          <w:rFonts w:ascii="Arial" w:cs="Arial" w:eastAsia="Arial" w:hAnsi="Arial"/>
          <w:sz w:val="13"/>
          <w:szCs w:val="13"/>
          <w:color w:val="0067B3"/>
        </w:rPr>
      </w:pPr>
      <w:r>
        <w:rPr>
          <w:rFonts w:ascii="Arial" w:cs="Arial" w:eastAsia="Arial" w:hAnsi="Arial"/>
          <w:sz w:val="18"/>
          <w:szCs w:val="18"/>
          <w:color w:val="auto"/>
        </w:rPr>
        <w:t>No hedging and pledging of ADI securities</w:t>
      </w:r>
    </w:p>
    <w:p>
      <w:pPr>
        <w:spacing w:after="0" w:line="17" w:lineRule="exact"/>
        <w:rPr>
          <w:rFonts w:ascii="Arial" w:cs="Arial" w:eastAsia="Arial" w:hAnsi="Arial"/>
          <w:sz w:val="13"/>
          <w:szCs w:val="13"/>
          <w:color w:val="0067B3"/>
        </w:rPr>
      </w:pPr>
    </w:p>
    <w:p>
      <w:pPr>
        <w:ind w:left="202" w:right="540" w:hanging="202"/>
        <w:spacing w:after="0" w:line="287" w:lineRule="auto"/>
        <w:tabs>
          <w:tab w:leader="none" w:pos="158" w:val="left"/>
        </w:tabs>
        <w:numPr>
          <w:ilvl w:val="0"/>
          <w:numId w:val="87"/>
        </w:numPr>
        <w:rPr>
          <w:rFonts w:ascii="Arial" w:cs="Arial" w:eastAsia="Arial" w:hAnsi="Arial"/>
          <w:sz w:val="13"/>
          <w:szCs w:val="13"/>
          <w:color w:val="0067B3"/>
        </w:rPr>
      </w:pPr>
      <w:r>
        <w:rPr>
          <w:rFonts w:ascii="Arial" w:cs="Arial" w:eastAsia="Arial" w:hAnsi="Arial"/>
          <w:sz w:val="18"/>
          <w:szCs w:val="18"/>
          <w:color w:val="auto"/>
        </w:rPr>
        <w:t>No excessive perquisites to our executive officers</w:t>
      </w:r>
    </w:p>
    <w:p>
      <w:pPr>
        <w:spacing w:after="0" w:line="4" w:lineRule="exact"/>
        <w:rPr>
          <w:rFonts w:ascii="Arial" w:cs="Arial" w:eastAsia="Arial" w:hAnsi="Arial"/>
          <w:sz w:val="13"/>
          <w:szCs w:val="13"/>
          <w:color w:val="0067B3"/>
        </w:rPr>
      </w:pPr>
    </w:p>
    <w:p>
      <w:pPr>
        <w:ind w:left="202" w:right="40" w:hanging="202"/>
        <w:spacing w:after="0" w:line="268" w:lineRule="auto"/>
        <w:tabs>
          <w:tab w:leader="none" w:pos="158" w:val="left"/>
        </w:tabs>
        <w:numPr>
          <w:ilvl w:val="0"/>
          <w:numId w:val="87"/>
        </w:numPr>
        <w:rPr>
          <w:rFonts w:ascii="Arial" w:cs="Arial" w:eastAsia="Arial" w:hAnsi="Arial"/>
          <w:sz w:val="13"/>
          <w:szCs w:val="13"/>
          <w:color w:val="0067B3"/>
        </w:rPr>
      </w:pPr>
      <w:r>
        <w:rPr>
          <w:rFonts w:ascii="Arial" w:cs="Arial" w:eastAsia="Arial" w:hAnsi="Arial"/>
          <w:sz w:val="18"/>
          <w:szCs w:val="18"/>
          <w:color w:val="auto"/>
        </w:rPr>
        <w:t>No gross-ups or compensation paid to officers or directors for any income tax owed for approved travel</w:t>
      </w:r>
    </w:p>
    <w:p>
      <w:pPr>
        <w:spacing w:after="0" w:line="1590" w:lineRule="exact"/>
        <w:rPr>
          <w:sz w:val="20"/>
          <w:szCs w:val="20"/>
          <w:color w:val="auto"/>
        </w:rPr>
      </w:pPr>
    </w:p>
    <w:p>
      <w:pPr>
        <w:sectPr>
          <w:pgSz w:w="11900" w:h="16838" w:orient="portrait"/>
          <w:cols w:equalWidth="0" w:num="2">
            <w:col w:w="7440" w:space="618"/>
            <w:col w:w="3182"/>
          </w:cols>
          <w:pgMar w:left="320" w:top="1240" w:right="339" w:bottom="1440" w:gutter="0" w:footer="0" w:header="0"/>
          <w:type w:val="continuous"/>
        </w:sectPr>
      </w:pPr>
    </w:p>
    <w:p>
      <w:pPr>
        <w:spacing w:after="0" w:line="338" w:lineRule="exact"/>
        <w:rPr>
          <w:sz w:val="20"/>
          <w:szCs w:val="20"/>
          <w:color w:val="auto"/>
        </w:rPr>
      </w:pPr>
    </w:p>
    <w:p>
      <w:pPr>
        <w:ind w:left="640" w:hanging="614"/>
        <w:spacing w:after="0"/>
        <w:tabs>
          <w:tab w:leader="none" w:pos="640" w:val="left"/>
        </w:tabs>
        <w:numPr>
          <w:ilvl w:val="0"/>
          <w:numId w:val="88"/>
        </w:numPr>
        <w:rPr>
          <w:rFonts w:ascii="Arial" w:cs="Arial" w:eastAsia="Arial" w:hAnsi="Arial"/>
          <w:sz w:val="20"/>
          <w:szCs w:val="20"/>
          <w:b w:val="1"/>
          <w:bCs w:val="1"/>
          <w:color w:val="auto"/>
        </w:rPr>
      </w:pPr>
      <w:r>
        <w:rPr>
          <w:rFonts w:ascii="Arial" w:cs="Arial" w:eastAsia="Arial" w:hAnsi="Arial"/>
          <w:sz w:val="16"/>
          <w:szCs w:val="16"/>
          <w:color w:val="6D6E71"/>
        </w:rPr>
        <w:t>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186055</wp:posOffset>
            </wp:positionV>
            <wp:extent cx="7157720" cy="4254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40" w:right="339" w:bottom="1440" w:gutter="0" w:footer="0" w:header="0"/>
          <w:type w:val="continuous"/>
        </w:sectPr>
      </w:pPr>
    </w:p>
    <w:bookmarkStart w:id="52" w:name="page53"/>
    <w:bookmarkEnd w:id="52"/>
    <w:p>
      <w:pPr>
        <w:spacing w:after="0"/>
        <w:rPr>
          <w:sz w:val="20"/>
          <w:szCs w:val="20"/>
          <w:color w:val="auto"/>
        </w:rPr>
      </w:pPr>
      <w:r>
        <w:rPr>
          <w:rFonts w:ascii="Arial" w:cs="Arial" w:eastAsia="Arial" w:hAnsi="Arial"/>
          <w:sz w:val="32"/>
          <w:szCs w:val="32"/>
          <w:b w:val="1"/>
          <w:bCs w:val="1"/>
          <w:color w:val="auto"/>
        </w:rPr>
        <w:t>Process for Determining Compensation</w:t>
      </w:r>
    </w:p>
    <w:p>
      <w:pPr>
        <w:spacing w:after="0" w:line="227" w:lineRule="exact"/>
        <w:rPr>
          <w:sz w:val="20"/>
          <w:szCs w:val="20"/>
          <w:color w:val="auto"/>
        </w:rPr>
      </w:pPr>
    </w:p>
    <w:p>
      <w:pPr>
        <w:spacing w:after="0"/>
        <w:rPr>
          <w:sz w:val="20"/>
          <w:szCs w:val="20"/>
          <w:color w:val="auto"/>
        </w:rPr>
      </w:pPr>
      <w:r>
        <w:rPr>
          <w:rFonts w:ascii="Arial" w:cs="Arial" w:eastAsia="Arial" w:hAnsi="Arial"/>
          <w:sz w:val="27"/>
          <w:szCs w:val="27"/>
          <w:b w:val="1"/>
          <w:bCs w:val="1"/>
          <w:color w:val="0067B3"/>
        </w:rPr>
        <w:t>Roles and Responsibilities</w:t>
      </w:r>
    </w:p>
    <w:p>
      <w:pPr>
        <w:spacing w:after="0" w:line="132" w:lineRule="exact"/>
        <w:rPr>
          <w:sz w:val="20"/>
          <w:szCs w:val="20"/>
          <w:color w:val="auto"/>
        </w:rPr>
      </w:pPr>
    </w:p>
    <w:p>
      <w:pPr>
        <w:ind w:right="260"/>
        <w:spacing w:after="0" w:line="262" w:lineRule="auto"/>
        <w:rPr>
          <w:sz w:val="20"/>
          <w:szCs w:val="20"/>
          <w:color w:val="auto"/>
        </w:rPr>
      </w:pPr>
      <w:r>
        <w:rPr>
          <w:rFonts w:ascii="Arial" w:cs="Arial" w:eastAsia="Arial" w:hAnsi="Arial"/>
          <w:sz w:val="18"/>
          <w:szCs w:val="18"/>
          <w:color w:val="auto"/>
        </w:rPr>
        <w:t>As part of its annual review of our executive compensation programs, including NEO compensation, our Compensation and Talent Committee solicits the input of Mr. Roche and its independent compensation consultant, Pearl Meyer. Pearl Meyer reports directly to our Compensation and Talent Committee. The roles of Pearl Meyer, management, and our Compensation and Talent Committee in setting our fiscal year 2025 executive compensation programs are summarized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72390</wp:posOffset>
            </wp:positionV>
            <wp:extent cx="7132320" cy="224599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7132320" cy="2245995"/>
                    </a:xfrm>
                    <a:prstGeom prst="rect">
                      <a:avLst/>
                    </a:prstGeom>
                    <a:noFill/>
                  </pic:spPr>
                </pic:pic>
              </a:graphicData>
            </a:graphic>
          </wp:anchor>
        </w:drawing>
      </w:r>
    </w:p>
    <w:p>
      <w:pPr>
        <w:sectPr>
          <w:pgSz w:w="11900" w:h="16838" w:orient="portrait"/>
          <w:cols w:equalWidth="0" w:num="1">
            <w:col w:w="11240"/>
          </w:cols>
          <w:pgMar w:left="320" w:top="1311" w:right="339" w:bottom="900" w:gutter="0" w:footer="0" w:header="0"/>
        </w:sectPr>
      </w:pPr>
    </w:p>
    <w:p>
      <w:pPr>
        <w:spacing w:after="0" w:line="176" w:lineRule="exact"/>
        <w:rPr>
          <w:sz w:val="20"/>
          <w:szCs w:val="20"/>
          <w:color w:val="auto"/>
        </w:rPr>
      </w:pPr>
    </w:p>
    <w:p>
      <w:pPr>
        <w:ind w:left="100" w:right="500"/>
        <w:spacing w:after="0" w:line="273" w:lineRule="auto"/>
        <w:rPr>
          <w:sz w:val="20"/>
          <w:szCs w:val="20"/>
          <w:color w:val="auto"/>
        </w:rPr>
      </w:pPr>
      <w:r>
        <w:rPr>
          <w:rFonts w:ascii="Arial" w:cs="Arial" w:eastAsia="Arial" w:hAnsi="Arial"/>
          <w:sz w:val="18"/>
          <w:szCs w:val="18"/>
          <w:b w:val="1"/>
          <w:bCs w:val="1"/>
          <w:color w:val="FFFFFF"/>
        </w:rPr>
        <w:t>Role of the Compensation Consultant</w:t>
      </w:r>
    </w:p>
    <w:p>
      <w:pPr>
        <w:spacing w:after="0" w:line="200" w:lineRule="exact"/>
        <w:rPr>
          <w:sz w:val="20"/>
          <w:szCs w:val="20"/>
          <w:color w:val="auto"/>
        </w:rPr>
      </w:pPr>
    </w:p>
    <w:p>
      <w:pPr>
        <w:spacing w:after="0" w:line="268" w:lineRule="exact"/>
        <w:rPr>
          <w:sz w:val="20"/>
          <w:szCs w:val="20"/>
          <w:color w:val="auto"/>
        </w:rPr>
      </w:pPr>
    </w:p>
    <w:p>
      <w:pPr>
        <w:ind w:left="100"/>
        <w:spacing w:after="0"/>
        <w:rPr>
          <w:sz w:val="20"/>
          <w:szCs w:val="20"/>
          <w:color w:val="auto"/>
        </w:rPr>
      </w:pPr>
      <w:r>
        <w:rPr>
          <w:rFonts w:ascii="Arial" w:cs="Arial" w:eastAsia="Arial" w:hAnsi="Arial"/>
          <w:sz w:val="17"/>
          <w:szCs w:val="17"/>
          <w:b w:val="1"/>
          <w:bCs w:val="1"/>
          <w:color w:val="FFFFFF"/>
        </w:rPr>
        <w:t>Role of Management</w:t>
      </w:r>
    </w:p>
    <w:p>
      <w:pPr>
        <w:spacing w:after="0" w:line="200" w:lineRule="exact"/>
        <w:rPr>
          <w:sz w:val="20"/>
          <w:szCs w:val="20"/>
          <w:color w:val="auto"/>
        </w:rPr>
      </w:pPr>
    </w:p>
    <w:p>
      <w:pPr>
        <w:spacing w:after="0" w:line="347" w:lineRule="exact"/>
        <w:rPr>
          <w:sz w:val="20"/>
          <w:szCs w:val="20"/>
          <w:color w:val="auto"/>
        </w:rPr>
      </w:pPr>
    </w:p>
    <w:p>
      <w:pPr>
        <w:ind w:left="100" w:right="140"/>
        <w:spacing w:after="0" w:line="296" w:lineRule="auto"/>
        <w:rPr>
          <w:sz w:val="20"/>
          <w:szCs w:val="20"/>
          <w:color w:val="auto"/>
        </w:rPr>
      </w:pPr>
      <w:r>
        <w:rPr>
          <w:rFonts w:ascii="Arial" w:cs="Arial" w:eastAsia="Arial" w:hAnsi="Arial"/>
          <w:sz w:val="17"/>
          <w:szCs w:val="17"/>
          <w:b w:val="1"/>
          <w:bCs w:val="1"/>
          <w:color w:val="FFFFFF"/>
        </w:rPr>
        <w:t>Role of the Compensation and Talent Committee</w:t>
      </w:r>
    </w:p>
    <w:p>
      <w:pPr>
        <w:spacing w:after="0" w:line="20" w:lineRule="exact"/>
        <w:rPr>
          <w:sz w:val="20"/>
          <w:szCs w:val="20"/>
          <w:color w:val="auto"/>
        </w:rPr>
      </w:pPr>
      <w:r>
        <w:rPr>
          <w:sz w:val="20"/>
          <w:szCs w:val="20"/>
          <w:color w:val="auto"/>
        </w:rPr>
        <w:br w:type="column"/>
      </w:r>
    </w:p>
    <w:p>
      <w:pPr>
        <w:spacing w:after="0" w:line="237" w:lineRule="exact"/>
        <w:rPr>
          <w:sz w:val="20"/>
          <w:szCs w:val="20"/>
          <w:color w:val="auto"/>
        </w:rPr>
      </w:pPr>
    </w:p>
    <w:p>
      <w:pPr>
        <w:ind w:left="198" w:right="240" w:hanging="198"/>
        <w:spacing w:after="0" w:line="262" w:lineRule="auto"/>
        <w:tabs>
          <w:tab w:leader="none" w:pos="155" w:val="left"/>
        </w:tabs>
        <w:numPr>
          <w:ilvl w:val="0"/>
          <w:numId w:val="89"/>
        </w:numPr>
        <w:rPr>
          <w:rFonts w:ascii="Arial" w:cs="Arial" w:eastAsia="Arial" w:hAnsi="Arial"/>
          <w:sz w:val="13"/>
          <w:szCs w:val="13"/>
          <w:color w:val="0067B3"/>
        </w:rPr>
      </w:pPr>
      <w:r>
        <w:rPr>
          <w:rFonts w:ascii="Arial" w:cs="Arial" w:eastAsia="Arial" w:hAnsi="Arial"/>
          <w:sz w:val="18"/>
          <w:szCs w:val="18"/>
          <w:color w:val="auto"/>
        </w:rPr>
        <w:t>In June 2024, Pearl Meyer recommended a peer group of companies for the purpose of assessing our executive compensation programs, which was approved by the Compensation and Talent Committee. Pearl Meyer then gathered compensation information of these companies and provided market-based findings on pay levels and practices to the Compensation and Talent Committee.</w:t>
      </w:r>
    </w:p>
    <w:p>
      <w:pPr>
        <w:spacing w:after="0" w:line="270" w:lineRule="exact"/>
        <w:rPr>
          <w:rFonts w:ascii="Arial" w:cs="Arial" w:eastAsia="Arial" w:hAnsi="Arial"/>
          <w:sz w:val="13"/>
          <w:szCs w:val="13"/>
          <w:color w:val="0067B3"/>
        </w:rPr>
      </w:pPr>
    </w:p>
    <w:p>
      <w:pPr>
        <w:ind w:left="198" w:right="420" w:hanging="198"/>
        <w:spacing w:after="0" w:line="318" w:lineRule="auto"/>
        <w:tabs>
          <w:tab w:leader="none" w:pos="155" w:val="left"/>
        </w:tabs>
        <w:numPr>
          <w:ilvl w:val="0"/>
          <w:numId w:val="89"/>
        </w:numPr>
        <w:rPr>
          <w:rFonts w:ascii="Arial" w:cs="Arial" w:eastAsia="Arial" w:hAnsi="Arial"/>
          <w:sz w:val="12"/>
          <w:szCs w:val="12"/>
          <w:color w:val="0067B3"/>
        </w:rPr>
      </w:pPr>
      <w:r>
        <w:rPr>
          <w:rFonts w:ascii="Arial" w:cs="Arial" w:eastAsia="Arial" w:hAnsi="Arial"/>
          <w:sz w:val="17"/>
          <w:szCs w:val="17"/>
          <w:color w:val="auto"/>
        </w:rPr>
        <w:t>Mr. Roche reviewed the competitive market data for our NEOs, other than himself, as well as their performance in preparing recommendations for the Compensation and Talent Committee’s consideration.</w:t>
      </w:r>
    </w:p>
    <w:p>
      <w:pPr>
        <w:spacing w:after="0" w:line="224" w:lineRule="exact"/>
        <w:rPr>
          <w:rFonts w:ascii="Arial" w:cs="Arial" w:eastAsia="Arial" w:hAnsi="Arial"/>
          <w:sz w:val="12"/>
          <w:szCs w:val="12"/>
          <w:color w:val="0067B3"/>
        </w:rPr>
      </w:pPr>
    </w:p>
    <w:p>
      <w:pPr>
        <w:ind w:left="198" w:right="60" w:hanging="198"/>
        <w:spacing w:after="0" w:line="257" w:lineRule="auto"/>
        <w:tabs>
          <w:tab w:leader="none" w:pos="155" w:val="left"/>
        </w:tabs>
        <w:numPr>
          <w:ilvl w:val="0"/>
          <w:numId w:val="89"/>
        </w:numPr>
        <w:rPr>
          <w:rFonts w:ascii="Arial" w:cs="Arial" w:eastAsia="Arial" w:hAnsi="Arial"/>
          <w:sz w:val="13"/>
          <w:szCs w:val="13"/>
          <w:color w:val="0067B3"/>
        </w:rPr>
      </w:pPr>
      <w:r>
        <w:rPr>
          <w:rFonts w:ascii="Arial" w:cs="Arial" w:eastAsia="Arial" w:hAnsi="Arial"/>
          <w:sz w:val="18"/>
          <w:szCs w:val="18"/>
          <w:color w:val="auto"/>
        </w:rPr>
        <w:t>The Compensation and Talent Committee considered Pearl Meyer’s advice, Mr. Roche’s recommendations for those executive officers reporting to him, and management’s proposed fiscal year 2025 performance goals prior to making its final decision on all fiscal year 2025 executive compensation. At the Compensation and Talent Committee’s direction, Pearl Meyer provided a risk analysis of our executive compensation programs. Finally, the Compensation and Talent Committee also certified performance-based compensation payouts for the applicable periods ended in fiscal year 2025.</w:t>
      </w:r>
    </w:p>
    <w:p>
      <w:pPr>
        <w:spacing w:after="0" w:line="200" w:lineRule="exact"/>
        <w:rPr>
          <w:sz w:val="20"/>
          <w:szCs w:val="20"/>
          <w:color w:val="auto"/>
        </w:rPr>
      </w:pPr>
    </w:p>
    <w:p>
      <w:pPr>
        <w:sectPr>
          <w:pgSz w:w="11900" w:h="16838" w:orient="portrait"/>
          <w:cols w:equalWidth="0" w:num="2">
            <w:col w:w="1860" w:space="402"/>
            <w:col w:w="8978"/>
          </w:cols>
          <w:pgMar w:left="320" w:top="1311" w:right="339" w:bottom="900" w:gutter="0" w:footer="0" w:header="0"/>
          <w:type w:val="continuous"/>
        </w:sectPr>
      </w:pPr>
    </w:p>
    <w:p>
      <w:pPr>
        <w:spacing w:after="0" w:line="228" w:lineRule="exact"/>
        <w:rPr>
          <w:sz w:val="20"/>
          <w:szCs w:val="20"/>
          <w:color w:val="auto"/>
        </w:rPr>
      </w:pPr>
    </w:p>
    <w:p>
      <w:pPr>
        <w:spacing w:after="0"/>
        <w:rPr>
          <w:sz w:val="20"/>
          <w:szCs w:val="20"/>
          <w:color w:val="auto"/>
        </w:rPr>
      </w:pPr>
      <w:r>
        <w:rPr>
          <w:rFonts w:ascii="Arial" w:cs="Arial" w:eastAsia="Arial" w:hAnsi="Arial"/>
          <w:sz w:val="27"/>
          <w:szCs w:val="27"/>
          <w:b w:val="1"/>
          <w:bCs w:val="1"/>
          <w:color w:val="0067B3"/>
        </w:rPr>
        <w:t>Market Compensation Data</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color w:val="auto"/>
        </w:rPr>
        <w:t>The Compensation and Talent Committee seeks to select peer group companies that are publicly traded, are headquartered in the</w:t>
      </w:r>
    </w:p>
    <w:p>
      <w:pPr>
        <w:spacing w:after="0" w:line="27" w:lineRule="exact"/>
        <w:rPr>
          <w:sz w:val="20"/>
          <w:szCs w:val="20"/>
          <w:color w:val="auto"/>
        </w:rPr>
      </w:pPr>
    </w:p>
    <w:p>
      <w:pPr>
        <w:ind w:right="260"/>
        <w:spacing w:after="0" w:line="266" w:lineRule="auto"/>
        <w:rPr>
          <w:sz w:val="20"/>
          <w:szCs w:val="20"/>
          <w:color w:val="auto"/>
        </w:rPr>
      </w:pPr>
      <w:r>
        <w:rPr>
          <w:rFonts w:ascii="Arial" w:cs="Arial" w:eastAsia="Arial" w:hAnsi="Arial"/>
          <w:sz w:val="18"/>
          <w:szCs w:val="18"/>
          <w:color w:val="auto"/>
        </w:rPr>
        <w:t>United States, compete with us for talent, and are similar to ADI in their product and services offerings, business model, revenue size, and market capitalization.</w:t>
      </w:r>
    </w:p>
    <w:p>
      <w:pPr>
        <w:spacing w:after="0" w:line="63" w:lineRule="exact"/>
        <w:rPr>
          <w:sz w:val="20"/>
          <w:szCs w:val="20"/>
          <w:color w:val="auto"/>
        </w:rPr>
      </w:pPr>
    </w:p>
    <w:p>
      <w:pPr>
        <w:ind w:right="140"/>
        <w:spacing w:after="0" w:line="253" w:lineRule="auto"/>
        <w:rPr>
          <w:sz w:val="20"/>
          <w:szCs w:val="20"/>
          <w:color w:val="auto"/>
        </w:rPr>
      </w:pPr>
      <w:r>
        <w:rPr>
          <w:rFonts w:ascii="Arial" w:cs="Arial" w:eastAsia="Arial" w:hAnsi="Arial"/>
          <w:sz w:val="18"/>
          <w:szCs w:val="18"/>
          <w:color w:val="auto"/>
        </w:rPr>
        <w:t>As a result of rapid consolidation in the semiconductor industry over the last several years, in addition to companies that meet the criteria outlined above, the peer group also includes companies outside of the semiconductor industry. These additional companies are similar in size and have similar gross margins and research and development expenditures as ADI, include peers of peers and peers of other companies in our sector, and often compete with ADI for talent. Based on review and consultation with Pearl Meyer, for fiscal year 2025, the Compensation and Talent Committee determined to remove Broadcom, Inc., NVIDIA Corporation, and Skyworks Solutions, Inc. from our peer group and to replace them with Cadence Design Systems, Inc., ON Semiconductor Corporation, and Synopsys, Inc., which</w:t>
      </w:r>
    </w:p>
    <w:p>
      <w:pPr>
        <w:spacing w:after="0" w:line="5" w:lineRule="exact"/>
        <w:rPr>
          <w:sz w:val="20"/>
          <w:szCs w:val="20"/>
          <w:color w:val="auto"/>
        </w:rPr>
      </w:pPr>
    </w:p>
    <w:p>
      <w:pPr>
        <w:ind w:right="280"/>
        <w:spacing w:after="0" w:line="266" w:lineRule="auto"/>
        <w:rPr>
          <w:sz w:val="20"/>
          <w:szCs w:val="20"/>
          <w:color w:val="auto"/>
        </w:rPr>
      </w:pPr>
      <w:r>
        <w:rPr>
          <w:rFonts w:ascii="Arial" w:cs="Arial" w:eastAsia="Arial" w:hAnsi="Arial"/>
          <w:sz w:val="18"/>
          <w:szCs w:val="18"/>
          <w:color w:val="auto"/>
        </w:rPr>
        <w:t>the Compensation and Talent Committee believes are more appropriate comparators at the time such peer group was selected given their similar revenue and market capitalization characteristics.</w:t>
      </w:r>
    </w:p>
    <w:p>
      <w:pPr>
        <w:spacing w:after="0" w:line="63" w:lineRule="exact"/>
        <w:rPr>
          <w:sz w:val="20"/>
          <w:szCs w:val="20"/>
          <w:color w:val="auto"/>
        </w:rPr>
      </w:pPr>
    </w:p>
    <w:p>
      <w:pPr>
        <w:ind w:right="560"/>
        <w:spacing w:after="0" w:line="287" w:lineRule="auto"/>
        <w:rPr>
          <w:sz w:val="20"/>
          <w:szCs w:val="20"/>
          <w:color w:val="auto"/>
        </w:rPr>
      </w:pPr>
      <w:r>
        <w:rPr>
          <w:rFonts w:ascii="Arial" w:cs="Arial" w:eastAsia="Arial" w:hAnsi="Arial"/>
          <w:sz w:val="18"/>
          <w:szCs w:val="18"/>
          <w:color w:val="auto"/>
        </w:rPr>
        <w:t>For fiscal year 2025, the peer group companies used by the Compensation and Talent Committee to evaluate executive compensation consisted of the following companies: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57785</wp:posOffset>
            </wp:positionV>
            <wp:extent cx="7132320" cy="308610"/>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7132320" cy="308610"/>
                    </a:xfrm>
                    <a:prstGeom prst="rect">
                      <a:avLst/>
                    </a:prstGeom>
                    <a:noFill/>
                  </pic:spPr>
                </pic:pic>
              </a:graphicData>
            </a:graphic>
          </wp:anchor>
        </w:drawing>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FFFFFF"/>
        </w:rPr>
        <w:t>2025 Peer Group</w:t>
      </w:r>
    </w:p>
    <w:p>
      <w:pPr>
        <w:spacing w:after="0" w:line="387" w:lineRule="exact"/>
        <w:rPr>
          <w:sz w:val="20"/>
          <w:szCs w:val="20"/>
          <w:color w:val="auto"/>
        </w:rPr>
      </w:pPr>
    </w:p>
    <w:tbl>
      <w:tblPr>
        <w:tblLayout w:type="fixed"/>
        <w:tblInd w:w="100" w:type="dxa"/>
        <w:tblCellMar>
          <w:top w:w="0" w:type="dxa"/>
          <w:left w:w="0" w:type="dxa"/>
          <w:bottom w:w="0" w:type="dxa"/>
          <w:right w:w="0" w:type="dxa"/>
        </w:tblCellMar>
      </w:tblPr>
      <w:tr>
        <w:trPr>
          <w:trHeight w:val="239"/>
        </w:trPr>
        <w:tc>
          <w:tcPr>
            <w:tcW w:w="3100" w:type="dxa"/>
            <w:vAlign w:val="bottom"/>
          </w:tcPr>
          <w:p>
            <w:pPr>
              <w:spacing w:after="0"/>
              <w:rPr>
                <w:sz w:val="20"/>
                <w:szCs w:val="20"/>
                <w:color w:val="auto"/>
              </w:rPr>
            </w:pPr>
            <w:r>
              <w:rPr>
                <w:rFonts w:ascii="Arial" w:cs="Arial" w:eastAsia="Arial" w:hAnsi="Arial"/>
                <w:sz w:val="18"/>
                <w:szCs w:val="18"/>
                <w:color w:val="auto"/>
              </w:rPr>
              <w:t>Advanced Micro Devices, Inc.</w:t>
            </w:r>
          </w:p>
        </w:tc>
        <w:tc>
          <w:tcPr>
            <w:tcW w:w="3900" w:type="dxa"/>
            <w:vAlign w:val="bottom"/>
          </w:tcPr>
          <w:p>
            <w:pPr>
              <w:ind w:left="620"/>
              <w:spacing w:after="0"/>
              <w:rPr>
                <w:sz w:val="20"/>
                <w:szCs w:val="20"/>
                <w:color w:val="auto"/>
              </w:rPr>
            </w:pPr>
            <w:r>
              <w:rPr>
                <w:rFonts w:ascii="Arial" w:cs="Arial" w:eastAsia="Arial" w:hAnsi="Arial"/>
                <w:sz w:val="18"/>
                <w:szCs w:val="18"/>
                <w:color w:val="auto"/>
              </w:rPr>
              <w:t>KLA Corporation</w:t>
            </w:r>
          </w:p>
        </w:tc>
        <w:tc>
          <w:tcPr>
            <w:tcW w:w="3000" w:type="dxa"/>
            <w:vAlign w:val="bottom"/>
          </w:tcPr>
          <w:p>
            <w:pPr>
              <w:ind w:left="480"/>
              <w:spacing w:after="0"/>
              <w:rPr>
                <w:sz w:val="20"/>
                <w:szCs w:val="20"/>
                <w:color w:val="auto"/>
              </w:rPr>
            </w:pPr>
            <w:r>
              <w:rPr>
                <w:rFonts w:ascii="Arial" w:cs="Arial" w:eastAsia="Arial" w:hAnsi="Arial"/>
                <w:sz w:val="18"/>
                <w:szCs w:val="18"/>
                <w:color w:val="auto"/>
              </w:rPr>
              <w:t>NXP Semiconductors N.V.</w:t>
            </w:r>
          </w:p>
        </w:tc>
      </w:tr>
      <w:tr>
        <w:trPr>
          <w:trHeight w:val="283"/>
        </w:trPr>
        <w:tc>
          <w:tcPr>
            <w:tcW w:w="3100" w:type="dxa"/>
            <w:vAlign w:val="bottom"/>
          </w:tcPr>
          <w:p>
            <w:pPr>
              <w:spacing w:after="0"/>
              <w:rPr>
                <w:sz w:val="20"/>
                <w:szCs w:val="20"/>
                <w:color w:val="auto"/>
              </w:rPr>
            </w:pPr>
            <w:r>
              <w:rPr>
                <w:rFonts w:ascii="Arial" w:cs="Arial" w:eastAsia="Arial" w:hAnsi="Arial"/>
                <w:sz w:val="18"/>
                <w:szCs w:val="18"/>
                <w:color w:val="auto"/>
              </w:rPr>
              <w:t>Agilent Technologies, Inc.</w:t>
            </w:r>
          </w:p>
        </w:tc>
        <w:tc>
          <w:tcPr>
            <w:tcW w:w="3900" w:type="dxa"/>
            <w:vAlign w:val="bottom"/>
          </w:tcPr>
          <w:p>
            <w:pPr>
              <w:ind w:left="620"/>
              <w:spacing w:after="0"/>
              <w:rPr>
                <w:sz w:val="20"/>
                <w:szCs w:val="20"/>
                <w:color w:val="auto"/>
              </w:rPr>
            </w:pPr>
            <w:r>
              <w:rPr>
                <w:rFonts w:ascii="Arial" w:cs="Arial" w:eastAsia="Arial" w:hAnsi="Arial"/>
                <w:sz w:val="18"/>
                <w:szCs w:val="18"/>
                <w:color w:val="auto"/>
              </w:rPr>
              <w:t>Lam Research Corporation</w:t>
            </w:r>
          </w:p>
        </w:tc>
        <w:tc>
          <w:tcPr>
            <w:tcW w:w="3000" w:type="dxa"/>
            <w:vAlign w:val="bottom"/>
          </w:tcPr>
          <w:p>
            <w:pPr>
              <w:ind w:left="480"/>
              <w:spacing w:after="0"/>
              <w:rPr>
                <w:sz w:val="20"/>
                <w:szCs w:val="20"/>
                <w:color w:val="auto"/>
              </w:rPr>
            </w:pPr>
            <w:r>
              <w:rPr>
                <w:rFonts w:ascii="Arial" w:cs="Arial" w:eastAsia="Arial" w:hAnsi="Arial"/>
                <w:sz w:val="18"/>
                <w:szCs w:val="18"/>
                <w:color w:val="auto"/>
                <w:w w:val="99"/>
              </w:rPr>
              <w:t>ON Semiconductor Corporation</w:t>
            </w:r>
          </w:p>
        </w:tc>
      </w:tr>
      <w:tr>
        <w:trPr>
          <w:trHeight w:val="297"/>
        </w:trPr>
        <w:tc>
          <w:tcPr>
            <w:tcW w:w="3100" w:type="dxa"/>
            <w:vAlign w:val="bottom"/>
          </w:tcPr>
          <w:p>
            <w:pPr>
              <w:spacing w:after="0"/>
              <w:rPr>
                <w:sz w:val="20"/>
                <w:szCs w:val="20"/>
                <w:color w:val="auto"/>
              </w:rPr>
            </w:pPr>
            <w:r>
              <w:rPr>
                <w:rFonts w:ascii="Arial" w:cs="Arial" w:eastAsia="Arial" w:hAnsi="Arial"/>
                <w:sz w:val="18"/>
                <w:szCs w:val="18"/>
                <w:color w:val="auto"/>
              </w:rPr>
              <w:t>Applied Materials, Inc.</w:t>
            </w:r>
          </w:p>
        </w:tc>
        <w:tc>
          <w:tcPr>
            <w:tcW w:w="3900" w:type="dxa"/>
            <w:vAlign w:val="bottom"/>
          </w:tcPr>
          <w:p>
            <w:pPr>
              <w:ind w:left="620"/>
              <w:spacing w:after="0"/>
              <w:rPr>
                <w:sz w:val="20"/>
                <w:szCs w:val="20"/>
                <w:color w:val="auto"/>
              </w:rPr>
            </w:pPr>
            <w:r>
              <w:rPr>
                <w:rFonts w:ascii="Arial" w:cs="Arial" w:eastAsia="Arial" w:hAnsi="Arial"/>
                <w:sz w:val="18"/>
                <w:szCs w:val="18"/>
                <w:color w:val="auto"/>
              </w:rPr>
              <w:t>Marvell Technology, Inc.</w:t>
            </w:r>
          </w:p>
        </w:tc>
        <w:tc>
          <w:tcPr>
            <w:tcW w:w="3000" w:type="dxa"/>
            <w:vAlign w:val="bottom"/>
          </w:tcPr>
          <w:p>
            <w:pPr>
              <w:ind w:left="480"/>
              <w:spacing w:after="0"/>
              <w:rPr>
                <w:sz w:val="20"/>
                <w:szCs w:val="20"/>
                <w:color w:val="auto"/>
              </w:rPr>
            </w:pPr>
            <w:r>
              <w:rPr>
                <w:rFonts w:ascii="Arial" w:cs="Arial" w:eastAsia="Arial" w:hAnsi="Arial"/>
                <w:sz w:val="18"/>
                <w:szCs w:val="18"/>
                <w:color w:val="auto"/>
              </w:rPr>
              <w:t>QUALCOMM Incorporated</w:t>
            </w:r>
          </w:p>
        </w:tc>
      </w:tr>
      <w:tr>
        <w:trPr>
          <w:trHeight w:val="284"/>
        </w:trPr>
        <w:tc>
          <w:tcPr>
            <w:tcW w:w="3100" w:type="dxa"/>
            <w:vAlign w:val="bottom"/>
          </w:tcPr>
          <w:p>
            <w:pPr>
              <w:spacing w:after="0"/>
              <w:rPr>
                <w:sz w:val="20"/>
                <w:szCs w:val="20"/>
                <w:color w:val="auto"/>
              </w:rPr>
            </w:pPr>
            <w:r>
              <w:rPr>
                <w:rFonts w:ascii="Arial" w:cs="Arial" w:eastAsia="Arial" w:hAnsi="Arial"/>
                <w:sz w:val="18"/>
                <w:szCs w:val="18"/>
                <w:color w:val="auto"/>
              </w:rPr>
              <w:t>Boston Scientific Corporation</w:t>
            </w:r>
          </w:p>
        </w:tc>
        <w:tc>
          <w:tcPr>
            <w:tcW w:w="3900" w:type="dxa"/>
            <w:vAlign w:val="bottom"/>
          </w:tcPr>
          <w:p>
            <w:pPr>
              <w:ind w:left="620"/>
              <w:spacing w:after="0"/>
              <w:rPr>
                <w:sz w:val="20"/>
                <w:szCs w:val="20"/>
                <w:color w:val="auto"/>
              </w:rPr>
            </w:pPr>
            <w:r>
              <w:rPr>
                <w:rFonts w:ascii="Arial" w:cs="Arial" w:eastAsia="Arial" w:hAnsi="Arial"/>
                <w:sz w:val="18"/>
                <w:szCs w:val="18"/>
                <w:color w:val="auto"/>
              </w:rPr>
              <w:t>Microchip Technology Incorporated</w:t>
            </w:r>
          </w:p>
        </w:tc>
        <w:tc>
          <w:tcPr>
            <w:tcW w:w="3000" w:type="dxa"/>
            <w:vAlign w:val="bottom"/>
          </w:tcPr>
          <w:p>
            <w:pPr>
              <w:ind w:left="480"/>
              <w:spacing w:after="0"/>
              <w:rPr>
                <w:sz w:val="20"/>
                <w:szCs w:val="20"/>
                <w:color w:val="auto"/>
              </w:rPr>
            </w:pPr>
            <w:r>
              <w:rPr>
                <w:rFonts w:ascii="Arial" w:cs="Arial" w:eastAsia="Arial" w:hAnsi="Arial"/>
                <w:sz w:val="18"/>
                <w:szCs w:val="18"/>
                <w:color w:val="auto"/>
              </w:rPr>
              <w:t>Synopsys, Inc.</w:t>
            </w:r>
          </w:p>
        </w:tc>
      </w:tr>
      <w:tr>
        <w:trPr>
          <w:trHeight w:val="283"/>
        </w:trPr>
        <w:tc>
          <w:tcPr>
            <w:tcW w:w="3100" w:type="dxa"/>
            <w:vAlign w:val="bottom"/>
          </w:tcPr>
          <w:p>
            <w:pPr>
              <w:spacing w:after="0"/>
              <w:rPr>
                <w:sz w:val="20"/>
                <w:szCs w:val="20"/>
                <w:color w:val="auto"/>
              </w:rPr>
            </w:pPr>
            <w:r>
              <w:rPr>
                <w:rFonts w:ascii="Arial" w:cs="Arial" w:eastAsia="Arial" w:hAnsi="Arial"/>
                <w:sz w:val="18"/>
                <w:szCs w:val="18"/>
                <w:color w:val="auto"/>
              </w:rPr>
              <w:t>Cadence Design Systems, Inc.</w:t>
            </w:r>
          </w:p>
        </w:tc>
        <w:tc>
          <w:tcPr>
            <w:tcW w:w="3900" w:type="dxa"/>
            <w:vAlign w:val="bottom"/>
          </w:tcPr>
          <w:p>
            <w:pPr>
              <w:ind w:left="620"/>
              <w:spacing w:after="0"/>
              <w:rPr>
                <w:sz w:val="20"/>
                <w:szCs w:val="20"/>
                <w:color w:val="auto"/>
              </w:rPr>
            </w:pPr>
            <w:r>
              <w:rPr>
                <w:rFonts w:ascii="Arial" w:cs="Arial" w:eastAsia="Arial" w:hAnsi="Arial"/>
                <w:sz w:val="18"/>
                <w:szCs w:val="18"/>
                <w:color w:val="auto"/>
              </w:rPr>
              <w:t>Micron Technology, Inc.</w:t>
            </w:r>
          </w:p>
        </w:tc>
        <w:tc>
          <w:tcPr>
            <w:tcW w:w="3000" w:type="dxa"/>
            <w:vAlign w:val="bottom"/>
          </w:tcPr>
          <w:p>
            <w:pPr>
              <w:ind w:left="480"/>
              <w:spacing w:after="0"/>
              <w:rPr>
                <w:sz w:val="20"/>
                <w:szCs w:val="20"/>
                <w:color w:val="auto"/>
              </w:rPr>
            </w:pPr>
            <w:r>
              <w:rPr>
                <w:rFonts w:ascii="Arial" w:cs="Arial" w:eastAsia="Arial" w:hAnsi="Arial"/>
                <w:sz w:val="18"/>
                <w:szCs w:val="18"/>
                <w:color w:val="auto"/>
                <w:w w:val="98"/>
              </w:rPr>
              <w:t>Texas Instruments Incorporated</w:t>
            </w:r>
          </w:p>
        </w:tc>
      </w:tr>
      <w:tr>
        <w:trPr>
          <w:trHeight w:val="297"/>
        </w:trPr>
        <w:tc>
          <w:tcPr>
            <w:tcW w:w="3100" w:type="dxa"/>
            <w:vAlign w:val="bottom"/>
          </w:tcPr>
          <w:p>
            <w:pPr>
              <w:spacing w:after="0"/>
              <w:rPr>
                <w:sz w:val="20"/>
                <w:szCs w:val="20"/>
                <w:color w:val="auto"/>
              </w:rPr>
            </w:pPr>
            <w:r>
              <w:rPr>
                <w:rFonts w:ascii="Arial" w:cs="Arial" w:eastAsia="Arial" w:hAnsi="Arial"/>
                <w:sz w:val="18"/>
                <w:szCs w:val="18"/>
                <w:color w:val="auto"/>
              </w:rPr>
              <w:t>Intel Corporation</w:t>
            </w:r>
          </w:p>
        </w:tc>
        <w:tc>
          <w:tcPr>
            <w:tcW w:w="3900" w:type="dxa"/>
            <w:vAlign w:val="bottom"/>
          </w:tcPr>
          <w:p>
            <w:pPr>
              <w:spacing w:after="0"/>
              <w:rPr>
                <w:sz w:val="24"/>
                <w:szCs w:val="24"/>
                <w:color w:val="auto"/>
              </w:rPr>
            </w:pPr>
          </w:p>
        </w:tc>
        <w:tc>
          <w:tcPr>
            <w:tcW w:w="300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126365</wp:posOffset>
            </wp:positionV>
            <wp:extent cx="7132320" cy="8890"/>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362"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Of the 16 selected peers, at the time of the annual peer group review, ADI had a higher estimated fiscal year 2024 revenue than 6 of the peer companies, and a market capitalization higher than 8 of the peer companies. Although ADI was smaller in terms of estimated fiscal year 2024 revenue and market capitalization than some of the peer companies, ADI regularly competes for talent with larger peer companies in terms of revenue and market capitalization. The Compensation and Talent Committee believes it is critical to ADI’s performance to hire highly talented, specialized, and experienced employees, and these individuals often join ADI from larger technology companies.</w:t>
      </w:r>
    </w:p>
    <w:p>
      <w:pPr>
        <w:sectPr>
          <w:pgSz w:w="11900" w:h="16838" w:orient="portrait"/>
          <w:cols w:equalWidth="0" w:num="1">
            <w:col w:w="11240"/>
          </w:cols>
          <w:pgMar w:left="320" w:top="1311" w:right="339" w:bottom="900" w:gutter="0" w:footer="0" w:header="0"/>
          <w:type w:val="continuous"/>
        </w:sectPr>
      </w:pPr>
    </w:p>
    <w:p>
      <w:pPr>
        <w:spacing w:after="0" w:line="200" w:lineRule="exact"/>
        <w:rPr>
          <w:sz w:val="20"/>
          <w:szCs w:val="20"/>
          <w:color w:val="auto"/>
        </w:rPr>
      </w:pPr>
    </w:p>
    <w:p>
      <w:pPr>
        <w:spacing w:after="0" w:line="244" w:lineRule="exact"/>
        <w:rPr>
          <w:sz w:val="20"/>
          <w:szCs w:val="20"/>
          <w:color w:val="auto"/>
        </w:rPr>
      </w:pPr>
    </w:p>
    <w:p>
      <w:pPr>
        <w:ind w:left="8980"/>
        <w:spacing w:after="0"/>
        <w:tabs>
          <w:tab w:leader="none" w:pos="10980" w:val="left"/>
        </w:tabs>
        <w:rPr>
          <w:sz w:val="20"/>
          <w:szCs w:val="20"/>
          <w:color w:val="auto"/>
        </w:rPr>
      </w:pPr>
      <w:r>
        <w:rPr>
          <w:rFonts w:ascii="Arial" w:cs="Arial" w:eastAsia="Arial" w:hAnsi="Arial"/>
          <w:sz w:val="16"/>
          <w:szCs w:val="16"/>
          <w:color w:val="0067B3"/>
        </w:rPr>
        <w:t>2026 Proxy Statement</w:t>
      </w:r>
      <w:r>
        <w:rPr>
          <w:sz w:val="20"/>
          <w:szCs w:val="20"/>
          <w:color w:val="auto"/>
        </w:rPr>
        <w:tab/>
      </w:r>
      <w:r>
        <w:rPr>
          <w:rFonts w:ascii="Arial" w:cs="Arial" w:eastAsia="Arial" w:hAnsi="Arial"/>
          <w:sz w:val="19"/>
          <w:szCs w:val="19"/>
          <w:b w:val="1"/>
          <w:bCs w:val="1"/>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232410</wp:posOffset>
            </wp:positionV>
            <wp:extent cx="7157720" cy="4254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11" w:right="339" w:bottom="900" w:gutter="0" w:footer="0" w:header="0"/>
          <w:type w:val="continuous"/>
        </w:sectPr>
      </w:pPr>
    </w:p>
    <w:bookmarkStart w:id="53" w:name="page54"/>
    <w:bookmarkEnd w:id="53"/>
    <w:p>
      <w:pPr>
        <w:ind w:right="520"/>
        <w:spacing w:after="0" w:line="262" w:lineRule="auto"/>
        <w:rPr>
          <w:sz w:val="20"/>
          <w:szCs w:val="20"/>
          <w:color w:val="auto"/>
        </w:rPr>
      </w:pPr>
      <w:r>
        <w:rPr>
          <w:rFonts w:ascii="Arial" w:cs="Arial" w:eastAsia="Arial" w:hAnsi="Arial"/>
          <w:sz w:val="18"/>
          <w:szCs w:val="18"/>
          <w:color w:val="auto"/>
        </w:rPr>
        <w:t>For executive officers in positions for which the fiscal year 2025 peer group companies do not publicly disclose compensation data, the Compensation and Talent Committee reviewed data collected from Radford’s Global Technology Survey. This survey depicts executive compensation levels across a wide spectrum of technology sector companies comparable to ADI in annual revenue and market capitalization.</w:t>
      </w:r>
    </w:p>
    <w:p>
      <w:pPr>
        <w:spacing w:after="0" w:line="109" w:lineRule="exact"/>
        <w:rPr>
          <w:sz w:val="20"/>
          <w:szCs w:val="20"/>
          <w:color w:val="auto"/>
        </w:rPr>
      </w:pPr>
    </w:p>
    <w:p>
      <w:pPr>
        <w:spacing w:after="0"/>
        <w:rPr>
          <w:sz w:val="20"/>
          <w:szCs w:val="20"/>
          <w:color w:val="auto"/>
        </w:rPr>
      </w:pPr>
      <w:r>
        <w:rPr>
          <w:rFonts w:ascii="Arial" w:cs="Arial" w:eastAsia="Arial" w:hAnsi="Arial"/>
          <w:sz w:val="18"/>
          <w:szCs w:val="18"/>
          <w:b w:val="1"/>
          <w:bCs w:val="1"/>
          <w:color w:val="0067B3"/>
        </w:rPr>
        <w:t>Positioning of ADI Relative to 2025 Peer Group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1102360</wp:posOffset>
            </wp:positionH>
            <wp:positionV relativeFrom="paragraph">
              <wp:posOffset>86360</wp:posOffset>
            </wp:positionV>
            <wp:extent cx="4937760" cy="1748790"/>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4937760" cy="17487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ind w:left="220" w:hanging="212"/>
        <w:spacing w:after="0"/>
        <w:tabs>
          <w:tab w:leader="none" w:pos="220" w:val="left"/>
        </w:tabs>
        <w:numPr>
          <w:ilvl w:val="0"/>
          <w:numId w:val="90"/>
        </w:numPr>
        <w:rPr>
          <w:rFonts w:ascii="Arial" w:cs="Arial" w:eastAsia="Arial" w:hAnsi="Arial"/>
          <w:sz w:val="21"/>
          <w:szCs w:val="21"/>
          <w:color w:val="auto"/>
          <w:vertAlign w:val="superscript"/>
        </w:rPr>
      </w:pPr>
      <w:r>
        <w:rPr>
          <w:rFonts w:ascii="Arial" w:cs="Arial" w:eastAsia="Arial" w:hAnsi="Arial"/>
          <w:sz w:val="16"/>
          <w:szCs w:val="16"/>
          <w:color w:val="auto"/>
        </w:rPr>
        <w:t>Reflects estimated revenue for fiscal year 2024 at time 2025 peer group was determined.</w:t>
      </w:r>
    </w:p>
    <w:p>
      <w:pPr>
        <w:spacing w:after="0" w:line="55" w:lineRule="exact"/>
        <w:rPr>
          <w:rFonts w:ascii="Arial" w:cs="Arial" w:eastAsia="Arial" w:hAnsi="Arial"/>
          <w:sz w:val="21"/>
          <w:szCs w:val="21"/>
          <w:color w:val="auto"/>
          <w:vertAlign w:val="superscript"/>
        </w:rPr>
      </w:pPr>
    </w:p>
    <w:p>
      <w:pPr>
        <w:ind w:left="220" w:hanging="212"/>
        <w:spacing w:after="0" w:line="200" w:lineRule="auto"/>
        <w:tabs>
          <w:tab w:leader="none" w:pos="220" w:val="left"/>
        </w:tabs>
        <w:numPr>
          <w:ilvl w:val="0"/>
          <w:numId w:val="90"/>
        </w:numPr>
        <w:rPr>
          <w:rFonts w:ascii="Arial" w:cs="Arial" w:eastAsia="Arial" w:hAnsi="Arial"/>
          <w:sz w:val="21"/>
          <w:szCs w:val="21"/>
          <w:color w:val="auto"/>
          <w:vertAlign w:val="superscript"/>
        </w:rPr>
      </w:pPr>
      <w:r>
        <w:rPr>
          <w:rFonts w:ascii="Arial" w:cs="Arial" w:eastAsia="Arial" w:hAnsi="Arial"/>
          <w:sz w:val="16"/>
          <w:szCs w:val="16"/>
          <w:color w:val="auto"/>
        </w:rPr>
        <w:t>30-day average as of May 7, 2024.</w:t>
      </w:r>
    </w:p>
    <w:p>
      <w:pPr>
        <w:spacing w:after="0" w:line="91"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Based on a regular review of our peer group, in June 2025 in connection with discussions regarding the peer group that would be used for purposes of setting fiscal year 2026 compensation, our Compensation and Talent Committee, after consultation with Pearl Meyer, determined to make no changes to the peer group for fiscal year 2026 compensation.</w:t>
      </w:r>
    </w:p>
    <w:p>
      <w:pPr>
        <w:spacing w:after="0" w:line="254" w:lineRule="exact"/>
        <w:rPr>
          <w:sz w:val="20"/>
          <w:szCs w:val="20"/>
          <w:color w:val="auto"/>
        </w:rPr>
      </w:pPr>
    </w:p>
    <w:p>
      <w:pPr>
        <w:spacing w:after="0"/>
        <w:rPr>
          <w:sz w:val="20"/>
          <w:szCs w:val="20"/>
          <w:color w:val="auto"/>
        </w:rPr>
      </w:pPr>
      <w:r>
        <w:rPr>
          <w:rFonts w:ascii="Arial" w:cs="Arial" w:eastAsia="Arial" w:hAnsi="Arial"/>
          <w:sz w:val="32"/>
          <w:szCs w:val="32"/>
          <w:b w:val="1"/>
          <w:bCs w:val="1"/>
          <w:color w:val="auto"/>
        </w:rPr>
        <w:t>Components of Executive Compensation</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color w:val="auto"/>
        </w:rPr>
        <w:t>For fiscal year 2025, compensation for our executive officers, including our NEOs, consisted of the following principal elements: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172085</wp:posOffset>
            </wp:positionV>
            <wp:extent cx="7115175" cy="445770"/>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7115175" cy="445770"/>
                    </a:xfrm>
                    <a:prstGeom prst="rect">
                      <a:avLst/>
                    </a:prstGeom>
                    <a:noFill/>
                  </pic:spPr>
                </pic:pic>
              </a:graphicData>
            </a:graphic>
          </wp:anchor>
        </w:drawing>
      </w:r>
    </w:p>
    <w:p>
      <w:pPr>
        <w:sectPr>
          <w:pgSz w:w="11900" w:h="16838" w:orient="portrait"/>
          <w:cols w:equalWidth="0" w:num="1">
            <w:col w:w="11220"/>
          </w:cols>
          <w:pgMar w:left="320" w:top="1174" w:right="359" w:bottom="1440" w:gutter="0" w:footer="0" w:header="0"/>
        </w:sectPr>
      </w:pPr>
    </w:p>
    <w:p>
      <w:pPr>
        <w:spacing w:after="0" w:line="200" w:lineRule="exact"/>
        <w:rPr>
          <w:sz w:val="20"/>
          <w:szCs w:val="20"/>
          <w:color w:val="auto"/>
        </w:rPr>
      </w:pPr>
    </w:p>
    <w:p>
      <w:pPr>
        <w:spacing w:after="0" w:line="295" w:lineRule="exact"/>
        <w:rPr>
          <w:sz w:val="20"/>
          <w:szCs w:val="20"/>
          <w:color w:val="auto"/>
        </w:rPr>
      </w:pPr>
    </w:p>
    <w:p>
      <w:pPr>
        <w:ind w:left="580"/>
        <w:spacing w:after="0"/>
        <w:rPr>
          <w:sz w:val="20"/>
          <w:szCs w:val="20"/>
          <w:color w:val="auto"/>
        </w:rPr>
      </w:pPr>
      <w:r>
        <w:rPr>
          <w:rFonts w:ascii="Arial" w:cs="Arial" w:eastAsia="Arial" w:hAnsi="Arial"/>
          <w:sz w:val="18"/>
          <w:szCs w:val="18"/>
          <w:b w:val="1"/>
          <w:bCs w:val="1"/>
          <w:color w:val="auto"/>
        </w:rPr>
        <w:t>BASE SALARY</w:t>
      </w:r>
    </w:p>
    <w:p>
      <w:pPr>
        <w:spacing w:after="0" w:line="200" w:lineRule="exact"/>
        <w:rPr>
          <w:sz w:val="20"/>
          <w:szCs w:val="20"/>
          <w:color w:val="auto"/>
        </w:rPr>
      </w:pPr>
    </w:p>
    <w:p>
      <w:pPr>
        <w:spacing w:after="0" w:line="241" w:lineRule="exact"/>
        <w:rPr>
          <w:sz w:val="20"/>
          <w:szCs w:val="20"/>
          <w:color w:val="auto"/>
        </w:rPr>
      </w:pPr>
    </w:p>
    <w:p>
      <w:pPr>
        <w:ind w:left="220" w:right="695" w:hanging="194"/>
        <w:spacing w:after="0" w:line="314" w:lineRule="auto"/>
        <w:tabs>
          <w:tab w:leader="none" w:pos="177" w:val="left"/>
        </w:tabs>
        <w:numPr>
          <w:ilvl w:val="0"/>
          <w:numId w:val="91"/>
        </w:numPr>
        <w:rPr>
          <w:rFonts w:ascii="Arial" w:cs="Arial" w:eastAsia="Arial" w:hAnsi="Arial"/>
          <w:sz w:val="12"/>
          <w:szCs w:val="12"/>
          <w:color w:val="0067B3"/>
        </w:rPr>
      </w:pPr>
      <w:r>
        <w:rPr>
          <w:rFonts w:ascii="Arial" w:cs="Arial" w:eastAsia="Arial" w:hAnsi="Arial"/>
          <w:sz w:val="17"/>
          <w:szCs w:val="17"/>
          <w:color w:val="auto"/>
        </w:rPr>
        <w:t>Attract and retain executive talent</w:t>
      </w:r>
    </w:p>
    <w:p>
      <w:pPr>
        <w:spacing w:after="0" w:line="1" w:lineRule="exact"/>
        <w:rPr>
          <w:rFonts w:ascii="Arial" w:cs="Arial" w:eastAsia="Arial" w:hAnsi="Arial"/>
          <w:sz w:val="12"/>
          <w:szCs w:val="12"/>
          <w:color w:val="0067B3"/>
        </w:rPr>
      </w:pPr>
    </w:p>
    <w:p>
      <w:pPr>
        <w:ind w:left="220" w:right="335" w:hanging="194"/>
        <w:spacing w:after="0" w:line="287" w:lineRule="auto"/>
        <w:tabs>
          <w:tab w:leader="none" w:pos="177" w:val="left"/>
        </w:tabs>
        <w:numPr>
          <w:ilvl w:val="0"/>
          <w:numId w:val="91"/>
        </w:numPr>
        <w:rPr>
          <w:rFonts w:ascii="Arial" w:cs="Arial" w:eastAsia="Arial" w:hAnsi="Arial"/>
          <w:sz w:val="13"/>
          <w:szCs w:val="13"/>
          <w:color w:val="0067B3"/>
        </w:rPr>
      </w:pPr>
      <w:r>
        <w:rPr>
          <w:rFonts w:ascii="Arial" w:cs="Arial" w:eastAsia="Arial" w:hAnsi="Arial"/>
          <w:sz w:val="18"/>
          <w:szCs w:val="18"/>
          <w:color w:val="auto"/>
        </w:rPr>
        <w:t>Provide stable source of income</w:t>
      </w:r>
    </w:p>
    <w:p>
      <w:pPr>
        <w:spacing w:after="0" w:line="20" w:lineRule="exact"/>
        <w:rPr>
          <w:sz w:val="20"/>
          <w:szCs w:val="20"/>
          <w:color w:val="auto"/>
        </w:rPr>
      </w:pPr>
      <w:r>
        <w:rPr>
          <w:sz w:val="20"/>
          <w:szCs w:val="20"/>
          <w:color w:val="auto"/>
        </w:rPr>
        <w:br w:type="column"/>
      </w:r>
    </w:p>
    <w:p>
      <w:pPr>
        <w:spacing w:after="0" w:line="367" w:lineRule="exact"/>
        <w:rPr>
          <w:sz w:val="20"/>
          <w:szCs w:val="20"/>
          <w:color w:val="auto"/>
        </w:rPr>
      </w:pPr>
    </w:p>
    <w:p>
      <w:pPr>
        <w:jc w:val="center"/>
        <w:ind w:left="-124"/>
        <w:spacing w:after="0" w:line="328" w:lineRule="auto"/>
        <w:rPr>
          <w:sz w:val="20"/>
          <w:szCs w:val="20"/>
          <w:color w:val="auto"/>
        </w:rPr>
      </w:pPr>
      <w:r>
        <w:rPr>
          <w:rFonts w:ascii="Arial" w:cs="Arial" w:eastAsia="Arial" w:hAnsi="Arial"/>
          <w:sz w:val="17"/>
          <w:szCs w:val="17"/>
          <w:b w:val="1"/>
          <w:bCs w:val="1"/>
          <w:color w:val="0067B3"/>
        </w:rPr>
        <w:t>SHORT-TERM VARIABLE CASH INCENTIVE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-250825</wp:posOffset>
            </wp:positionH>
            <wp:positionV relativeFrom="paragraph">
              <wp:posOffset>-300990</wp:posOffset>
            </wp:positionV>
            <wp:extent cx="162560" cy="16319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clrChange>
                        <a:clrFrom>
                          <a:srgbClr val="000000"/>
                        </a:clrFrom>
                        <a:clrTo>
                          <a:srgbClr val="000000">
                            <a:alpha val="0"/>
                          </a:srgbClr>
                        </a:clrTo>
                      </a:clrChange>
                      <a:extLst>
                        <a:ext uri="{28A0092B-C50C-407E-A947-70E740481C1C}"/>
                      </a:extLst>
                    </a:blip>
                    <a:srcRect/>
                    <a:stretch>
                      <a:fillRect/>
                    </a:stretch>
                  </pic:blipFill>
                  <pic:spPr bwMode="auto">
                    <a:xfrm>
                      <a:off x="0" y="0"/>
                      <a:ext cx="162560" cy="163195"/>
                    </a:xfrm>
                    <a:prstGeom prst="rect">
                      <a:avLst/>
                    </a:prstGeom>
                    <a:noFill/>
                  </pic:spPr>
                </pic:pic>
              </a:graphicData>
            </a:graphic>
          </wp:anchor>
        </w:drawing>
        <w:drawing>
          <wp:anchor simplePos="0" relativeHeight="251657728" behindDoc="1" locked="0" layoutInCell="0" allowOverlap="1">
            <wp:simplePos x="0" y="0"/>
            <wp:positionH relativeFrom="column">
              <wp:posOffset>-250825</wp:posOffset>
            </wp:positionH>
            <wp:positionV relativeFrom="paragraph">
              <wp:posOffset>-300990</wp:posOffset>
            </wp:positionV>
            <wp:extent cx="162560" cy="16319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clrChange>
                        <a:clrFrom>
                          <a:srgbClr val="FFFFFF"/>
                        </a:clrFrom>
                        <a:clrTo>
                          <a:srgbClr val="FFFFFF">
                            <a:alpha val="0"/>
                          </a:srgbClr>
                        </a:clrTo>
                      </a:clrChange>
                      <a:extLst>
                        <a:ext uri="{28A0092B-C50C-407E-A947-70E740481C1C}"/>
                      </a:extLst>
                    </a:blip>
                    <a:srcRect/>
                    <a:stretch>
                      <a:fillRect/>
                    </a:stretch>
                  </pic:blipFill>
                  <pic:spPr bwMode="auto">
                    <a:xfrm>
                      <a:off x="0" y="0"/>
                      <a:ext cx="162560" cy="163195"/>
                    </a:xfrm>
                    <a:prstGeom prst="rect">
                      <a:avLst/>
                    </a:prstGeom>
                    <a:noFill/>
                  </pic:spPr>
                </pic:pic>
              </a:graphicData>
            </a:graphic>
          </wp:anchor>
        </w:drawing>
      </w:r>
    </w:p>
    <w:p>
      <w:pPr>
        <w:spacing w:after="0" w:line="202" w:lineRule="exact"/>
        <w:rPr>
          <w:sz w:val="20"/>
          <w:szCs w:val="20"/>
          <w:color w:val="auto"/>
        </w:rPr>
      </w:pPr>
    </w:p>
    <w:p>
      <w:pPr>
        <w:jc w:val="both"/>
        <w:ind w:left="185" w:right="220" w:hanging="185"/>
        <w:spacing w:after="0" w:line="287" w:lineRule="auto"/>
        <w:tabs>
          <w:tab w:leader="none" w:pos="141" w:val="left"/>
        </w:tabs>
        <w:numPr>
          <w:ilvl w:val="0"/>
          <w:numId w:val="92"/>
        </w:numPr>
        <w:rPr>
          <w:rFonts w:ascii="Arial" w:cs="Arial" w:eastAsia="Arial" w:hAnsi="Arial"/>
          <w:sz w:val="13"/>
          <w:szCs w:val="13"/>
          <w:color w:val="0067B3"/>
        </w:rPr>
      </w:pPr>
      <w:r>
        <w:rPr>
          <w:rFonts w:ascii="Arial" w:cs="Arial" w:eastAsia="Arial" w:hAnsi="Arial"/>
          <w:sz w:val="18"/>
          <w:szCs w:val="18"/>
          <w:color w:val="auto"/>
        </w:rPr>
        <w:t>Link pay and short-term company performance</w:t>
      </w:r>
    </w:p>
    <w:p>
      <w:pPr>
        <w:spacing w:after="0" w:line="17" w:lineRule="exact"/>
        <w:rPr>
          <w:rFonts w:ascii="Arial" w:cs="Arial" w:eastAsia="Arial" w:hAnsi="Arial"/>
          <w:sz w:val="13"/>
          <w:szCs w:val="13"/>
          <w:color w:val="0067B3"/>
        </w:rPr>
      </w:pPr>
    </w:p>
    <w:p>
      <w:pPr>
        <w:ind w:left="185" w:right="260" w:hanging="185"/>
        <w:spacing w:after="0" w:line="259" w:lineRule="auto"/>
        <w:tabs>
          <w:tab w:leader="none" w:pos="141" w:val="left"/>
        </w:tabs>
        <w:numPr>
          <w:ilvl w:val="0"/>
          <w:numId w:val="92"/>
        </w:numPr>
        <w:rPr>
          <w:rFonts w:ascii="Arial" w:cs="Arial" w:eastAsia="Arial" w:hAnsi="Arial"/>
          <w:sz w:val="13"/>
          <w:szCs w:val="13"/>
          <w:color w:val="0067B3"/>
        </w:rPr>
      </w:pPr>
      <w:r>
        <w:rPr>
          <w:rFonts w:ascii="Arial" w:cs="Arial" w:eastAsia="Arial" w:hAnsi="Arial"/>
          <w:sz w:val="18"/>
          <w:szCs w:val="18"/>
          <w:color w:val="auto"/>
        </w:rPr>
        <w:t>Reward executives for achieving short-term company financial objectives aligned with value creation</w:t>
      </w:r>
    </w:p>
    <w:p>
      <w:pPr>
        <w:spacing w:after="0" w:line="20" w:lineRule="exact"/>
        <w:rPr>
          <w:sz w:val="20"/>
          <w:szCs w:val="20"/>
          <w:color w:val="auto"/>
        </w:rPr>
      </w:pPr>
      <w:r>
        <w:rPr>
          <w:sz w:val="20"/>
          <w:szCs w:val="20"/>
          <w:color w:val="auto"/>
        </w:rPr>
        <w:br w:type="column"/>
      </w:r>
    </w:p>
    <w:p>
      <w:pPr>
        <w:spacing w:after="0" w:line="259" w:lineRule="exact"/>
        <w:rPr>
          <w:sz w:val="20"/>
          <w:szCs w:val="20"/>
          <w:color w:val="auto"/>
        </w:rPr>
      </w:pPr>
    </w:p>
    <w:p>
      <w:pPr>
        <w:jc w:val="center"/>
        <w:ind w:left="-74"/>
        <w:spacing w:after="0"/>
        <w:rPr>
          <w:sz w:val="20"/>
          <w:szCs w:val="20"/>
          <w:color w:val="auto"/>
        </w:rPr>
      </w:pPr>
      <w:r>
        <w:rPr>
          <w:rFonts w:ascii="Arial" w:cs="Arial" w:eastAsia="Arial" w:hAnsi="Arial"/>
          <w:sz w:val="18"/>
          <w:szCs w:val="18"/>
          <w:b w:val="1"/>
          <w:bCs w:val="1"/>
          <w:color w:val="FFFFFF"/>
        </w:rPr>
        <w:t>LONG-TERM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-250825</wp:posOffset>
            </wp:positionH>
            <wp:positionV relativeFrom="paragraph">
              <wp:posOffset>-24765</wp:posOffset>
            </wp:positionV>
            <wp:extent cx="162560" cy="16319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clrChange>
                        <a:clrFrom>
                          <a:srgbClr val="000000"/>
                        </a:clrFrom>
                        <a:clrTo>
                          <a:srgbClr val="000000">
                            <a:alpha val="0"/>
                          </a:srgbClr>
                        </a:clrTo>
                      </a:clrChange>
                      <a:extLst>
                        <a:ext uri="{28A0092B-C50C-407E-A947-70E740481C1C}"/>
                      </a:extLst>
                    </a:blip>
                    <a:srcRect/>
                    <a:stretch>
                      <a:fillRect/>
                    </a:stretch>
                  </pic:blipFill>
                  <pic:spPr bwMode="auto">
                    <a:xfrm>
                      <a:off x="0" y="0"/>
                      <a:ext cx="162560" cy="163195"/>
                    </a:xfrm>
                    <a:prstGeom prst="rect">
                      <a:avLst/>
                    </a:prstGeom>
                    <a:noFill/>
                  </pic:spPr>
                </pic:pic>
              </a:graphicData>
            </a:graphic>
          </wp:anchor>
        </w:drawing>
        <w:drawing>
          <wp:anchor simplePos="0" relativeHeight="251657728" behindDoc="1" locked="0" layoutInCell="0" allowOverlap="1">
            <wp:simplePos x="0" y="0"/>
            <wp:positionH relativeFrom="column">
              <wp:posOffset>-250825</wp:posOffset>
            </wp:positionH>
            <wp:positionV relativeFrom="paragraph">
              <wp:posOffset>-24765</wp:posOffset>
            </wp:positionV>
            <wp:extent cx="162560" cy="16319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clrChange>
                        <a:clrFrom>
                          <a:srgbClr val="FFFFFF"/>
                        </a:clrFrom>
                        <a:clrTo>
                          <a:srgbClr val="FFFFFF">
                            <a:alpha val="0"/>
                          </a:srgbClr>
                        </a:clrTo>
                      </a:clrChange>
                      <a:extLst>
                        <a:ext uri="{28A0092B-C50C-407E-A947-70E740481C1C}"/>
                      </a:extLst>
                    </a:blip>
                    <a:srcRect/>
                    <a:stretch>
                      <a:fillRect/>
                    </a:stretch>
                  </pic:blipFill>
                  <pic:spPr bwMode="auto">
                    <a:xfrm>
                      <a:off x="0" y="0"/>
                      <a:ext cx="162560" cy="163195"/>
                    </a:xfrm>
                    <a:prstGeom prst="rect">
                      <a:avLst/>
                    </a:prstGeom>
                    <a:noFill/>
                  </pic:spPr>
                </pic:pic>
              </a:graphicData>
            </a:graphic>
          </wp:anchor>
        </w:drawing>
      </w:r>
    </w:p>
    <w:p>
      <w:pPr>
        <w:spacing w:after="0" w:line="7" w:lineRule="exact"/>
        <w:rPr>
          <w:sz w:val="20"/>
          <w:szCs w:val="20"/>
          <w:color w:val="auto"/>
        </w:rPr>
      </w:pPr>
    </w:p>
    <w:p>
      <w:pPr>
        <w:jc w:val="center"/>
        <w:ind w:left="-74"/>
        <w:spacing w:after="0"/>
        <w:rPr>
          <w:sz w:val="20"/>
          <w:szCs w:val="20"/>
          <w:color w:val="auto"/>
        </w:rPr>
      </w:pPr>
      <w:r>
        <w:rPr>
          <w:rFonts w:ascii="Arial" w:cs="Arial" w:eastAsia="Arial" w:hAnsi="Arial"/>
          <w:sz w:val="18"/>
          <w:szCs w:val="18"/>
          <w:b w:val="1"/>
          <w:bCs w:val="1"/>
          <w:color w:val="FFFFFF"/>
        </w:rPr>
        <w:t>EQUITY</w:t>
      </w:r>
    </w:p>
    <w:p>
      <w:pPr>
        <w:spacing w:after="0" w:line="9" w:lineRule="exact"/>
        <w:rPr>
          <w:sz w:val="20"/>
          <w:szCs w:val="20"/>
          <w:color w:val="auto"/>
        </w:rPr>
      </w:pPr>
    </w:p>
    <w:p>
      <w:pPr>
        <w:jc w:val="center"/>
        <w:ind w:left="-74"/>
        <w:spacing w:after="0"/>
        <w:rPr>
          <w:sz w:val="20"/>
          <w:szCs w:val="20"/>
          <w:color w:val="auto"/>
        </w:rPr>
      </w:pPr>
      <w:r>
        <w:rPr>
          <w:rFonts w:ascii="Arial" w:cs="Arial" w:eastAsia="Arial" w:hAnsi="Arial"/>
          <w:sz w:val="18"/>
          <w:szCs w:val="18"/>
          <w:b w:val="1"/>
          <w:bCs w:val="1"/>
          <w:color w:val="FFFFFF"/>
        </w:rPr>
        <w:t>INCENTIVES</w:t>
      </w:r>
    </w:p>
    <w:p>
      <w:pPr>
        <w:spacing w:after="0" w:line="207" w:lineRule="exact"/>
        <w:rPr>
          <w:sz w:val="20"/>
          <w:szCs w:val="20"/>
          <w:color w:val="auto"/>
        </w:rPr>
      </w:pPr>
    </w:p>
    <w:p>
      <w:pPr>
        <w:jc w:val="both"/>
        <w:ind w:left="195" w:right="340" w:hanging="195"/>
        <w:spacing w:after="0" w:line="314" w:lineRule="auto"/>
        <w:tabs>
          <w:tab w:leader="none" w:pos="152" w:val="left"/>
        </w:tabs>
        <w:numPr>
          <w:ilvl w:val="0"/>
          <w:numId w:val="93"/>
        </w:numPr>
        <w:rPr>
          <w:rFonts w:ascii="Arial" w:cs="Arial" w:eastAsia="Arial" w:hAnsi="Arial"/>
          <w:sz w:val="12"/>
          <w:szCs w:val="12"/>
          <w:color w:val="0067B3"/>
        </w:rPr>
      </w:pPr>
      <w:r>
        <w:rPr>
          <w:rFonts w:ascii="Arial" w:cs="Arial" w:eastAsia="Arial" w:hAnsi="Arial"/>
          <w:sz w:val="17"/>
          <w:szCs w:val="17"/>
          <w:color w:val="auto"/>
        </w:rPr>
        <w:t>Link pay and long-term company performance</w:t>
      </w:r>
    </w:p>
    <w:p>
      <w:pPr>
        <w:spacing w:after="0" w:line="1" w:lineRule="exact"/>
        <w:rPr>
          <w:rFonts w:ascii="Arial" w:cs="Arial" w:eastAsia="Arial" w:hAnsi="Arial"/>
          <w:sz w:val="12"/>
          <w:szCs w:val="12"/>
          <w:color w:val="0067B3"/>
        </w:rPr>
      </w:pPr>
    </w:p>
    <w:p>
      <w:pPr>
        <w:ind w:left="195" w:hanging="195"/>
        <w:spacing w:after="0" w:line="255" w:lineRule="auto"/>
        <w:tabs>
          <w:tab w:leader="none" w:pos="152" w:val="left"/>
        </w:tabs>
        <w:numPr>
          <w:ilvl w:val="0"/>
          <w:numId w:val="93"/>
        </w:numPr>
        <w:rPr>
          <w:rFonts w:ascii="Arial" w:cs="Arial" w:eastAsia="Arial" w:hAnsi="Arial"/>
          <w:sz w:val="13"/>
          <w:szCs w:val="13"/>
          <w:color w:val="0067B3"/>
        </w:rPr>
      </w:pPr>
      <w:r>
        <w:rPr>
          <w:rFonts w:ascii="Arial" w:cs="Arial" w:eastAsia="Arial" w:hAnsi="Arial"/>
          <w:sz w:val="18"/>
          <w:szCs w:val="18"/>
          <w:color w:val="auto"/>
        </w:rPr>
        <w:t>Align the interests of executives with shareholders by rewarding long-term stock</w:t>
      </w:r>
    </w:p>
    <w:p>
      <w:pPr>
        <w:spacing w:after="0" w:line="2" w:lineRule="exact"/>
        <w:rPr>
          <w:rFonts w:ascii="Arial" w:cs="Arial" w:eastAsia="Arial" w:hAnsi="Arial"/>
          <w:sz w:val="13"/>
          <w:szCs w:val="13"/>
          <w:color w:val="0067B3"/>
        </w:rPr>
      </w:pPr>
    </w:p>
    <w:p>
      <w:pPr>
        <w:ind w:left="195"/>
        <w:spacing w:after="0"/>
        <w:rPr>
          <w:rFonts w:ascii="Arial" w:cs="Arial" w:eastAsia="Arial" w:hAnsi="Arial"/>
          <w:sz w:val="13"/>
          <w:szCs w:val="13"/>
          <w:color w:val="0067B3"/>
        </w:rPr>
      </w:pPr>
      <w:r>
        <w:rPr>
          <w:rFonts w:ascii="Arial" w:cs="Arial" w:eastAsia="Arial" w:hAnsi="Arial"/>
          <w:sz w:val="18"/>
          <w:szCs w:val="18"/>
          <w:color w:val="auto"/>
        </w:rPr>
        <w:t>price appreciation</w:t>
      </w:r>
    </w:p>
    <w:p>
      <w:pPr>
        <w:spacing w:after="0" w:line="20" w:lineRule="exact"/>
        <w:rPr>
          <w:sz w:val="20"/>
          <w:szCs w:val="20"/>
          <w:color w:val="auto"/>
        </w:rPr>
      </w:pPr>
      <w:r>
        <w:rPr>
          <w:sz w:val="20"/>
          <w:szCs w:val="20"/>
          <w:color w:val="auto"/>
        </w:rPr>
        <w:br w:type="column"/>
      </w:r>
    </w:p>
    <w:p>
      <w:pPr>
        <w:spacing w:after="0" w:line="259" w:lineRule="exact"/>
        <w:rPr>
          <w:sz w:val="20"/>
          <w:szCs w:val="20"/>
          <w:color w:val="auto"/>
        </w:rPr>
      </w:pPr>
    </w:p>
    <w:p>
      <w:pPr>
        <w:jc w:val="center"/>
        <w:ind w:left="-185" w:right="40"/>
        <w:spacing w:after="0" w:line="273" w:lineRule="auto"/>
        <w:rPr>
          <w:sz w:val="20"/>
          <w:szCs w:val="20"/>
          <w:color w:val="auto"/>
        </w:rPr>
      </w:pPr>
      <w:r>
        <w:rPr>
          <w:rFonts w:ascii="Arial" w:cs="Arial" w:eastAsia="Arial" w:hAnsi="Arial"/>
          <w:sz w:val="18"/>
          <w:szCs w:val="18"/>
          <w:b w:val="1"/>
          <w:bCs w:val="1"/>
          <w:color w:val="FFFFFF"/>
        </w:rPr>
        <w:t>RETIREMENT AND OTHER EMPLOYEE BENEFITS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-250825</wp:posOffset>
            </wp:positionH>
            <wp:positionV relativeFrom="paragraph">
              <wp:posOffset>-341630</wp:posOffset>
            </wp:positionV>
            <wp:extent cx="162560" cy="16319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clrChange>
                        <a:clrFrom>
                          <a:srgbClr val="000000"/>
                        </a:clrFrom>
                        <a:clrTo>
                          <a:srgbClr val="000000">
                            <a:alpha val="0"/>
                          </a:srgbClr>
                        </a:clrTo>
                      </a:clrChange>
                      <a:extLst>
                        <a:ext uri="{28A0092B-C50C-407E-A947-70E740481C1C}"/>
                      </a:extLst>
                    </a:blip>
                    <a:srcRect/>
                    <a:stretch>
                      <a:fillRect/>
                    </a:stretch>
                  </pic:blipFill>
                  <pic:spPr bwMode="auto">
                    <a:xfrm>
                      <a:off x="0" y="0"/>
                      <a:ext cx="162560" cy="163195"/>
                    </a:xfrm>
                    <a:prstGeom prst="rect">
                      <a:avLst/>
                    </a:prstGeom>
                    <a:noFill/>
                  </pic:spPr>
                </pic:pic>
              </a:graphicData>
            </a:graphic>
          </wp:anchor>
        </w:drawing>
        <w:drawing>
          <wp:anchor simplePos="0" relativeHeight="251657728" behindDoc="1" locked="0" layoutInCell="0" allowOverlap="1">
            <wp:simplePos x="0" y="0"/>
            <wp:positionH relativeFrom="column">
              <wp:posOffset>-250825</wp:posOffset>
            </wp:positionH>
            <wp:positionV relativeFrom="paragraph">
              <wp:posOffset>-341630</wp:posOffset>
            </wp:positionV>
            <wp:extent cx="162560" cy="16319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clrChange>
                        <a:clrFrom>
                          <a:srgbClr val="FFFFFF"/>
                        </a:clrFrom>
                        <a:clrTo>
                          <a:srgbClr val="FFFFFF">
                            <a:alpha val="0"/>
                          </a:srgbClr>
                        </a:clrTo>
                      </a:clrChange>
                      <a:extLst>
                        <a:ext uri="{28A0092B-C50C-407E-A947-70E740481C1C}"/>
                      </a:extLst>
                    </a:blip>
                    <a:srcRect/>
                    <a:stretch>
                      <a:fillRect/>
                    </a:stretch>
                  </pic:blipFill>
                  <pic:spPr bwMode="auto">
                    <a:xfrm>
                      <a:off x="0" y="0"/>
                      <a:ext cx="162560" cy="163195"/>
                    </a:xfrm>
                    <a:prstGeom prst="rect">
                      <a:avLst/>
                    </a:prstGeom>
                    <a:noFill/>
                  </pic:spPr>
                </pic:pic>
              </a:graphicData>
            </a:graphic>
          </wp:anchor>
        </w:drawing>
      </w:r>
    </w:p>
    <w:p>
      <w:pPr>
        <w:spacing w:after="0" w:line="138" w:lineRule="exact"/>
        <w:rPr>
          <w:sz w:val="20"/>
          <w:szCs w:val="20"/>
          <w:color w:val="auto"/>
        </w:rPr>
      </w:pPr>
    </w:p>
    <w:p>
      <w:pPr>
        <w:ind w:left="186" w:right="200" w:hanging="186"/>
        <w:spacing w:after="0" w:line="268" w:lineRule="auto"/>
        <w:tabs>
          <w:tab w:leader="none" w:pos="142" w:val="left"/>
        </w:tabs>
        <w:numPr>
          <w:ilvl w:val="0"/>
          <w:numId w:val="94"/>
        </w:numPr>
        <w:rPr>
          <w:rFonts w:ascii="Arial" w:cs="Arial" w:eastAsia="Arial" w:hAnsi="Arial"/>
          <w:sz w:val="13"/>
          <w:szCs w:val="13"/>
          <w:color w:val="0067B3"/>
        </w:rPr>
      </w:pPr>
      <w:r>
        <w:rPr>
          <w:rFonts w:ascii="Arial" w:cs="Arial" w:eastAsia="Arial" w:hAnsi="Arial"/>
          <w:sz w:val="18"/>
          <w:szCs w:val="18"/>
          <w:color w:val="auto"/>
        </w:rPr>
        <w:t>Retain executive talent by providing financial protection and security</w:t>
      </w:r>
    </w:p>
    <w:p>
      <w:pPr>
        <w:spacing w:after="0" w:line="1136" w:lineRule="exact"/>
        <w:rPr>
          <w:sz w:val="20"/>
          <w:szCs w:val="20"/>
          <w:color w:val="auto"/>
        </w:rPr>
      </w:pPr>
    </w:p>
    <w:p>
      <w:pPr>
        <w:sectPr>
          <w:pgSz w:w="11900" w:h="16838" w:orient="portrait"/>
          <w:cols w:equalWidth="0" w:num="4">
            <w:col w:w="2235" w:space="720"/>
            <w:col w:w="2265" w:space="665"/>
            <w:col w:w="2315" w:space="614"/>
            <w:col w:w="2406"/>
          </w:cols>
          <w:pgMar w:left="320" w:top="1174" w:right="359" w:bottom="1440" w:gutter="0" w:footer="0" w:header="0"/>
          <w:type w:val="continuous"/>
        </w:sectPr>
      </w:pPr>
    </w:p>
    <w:p>
      <w:pPr>
        <w:spacing w:after="0" w:line="158" w:lineRule="exact"/>
        <w:rPr>
          <w:sz w:val="20"/>
          <w:szCs w:val="20"/>
          <w:color w:val="auto"/>
        </w:rPr>
      </w:pPr>
    </w:p>
    <w:p>
      <w:pPr>
        <w:spacing w:after="0"/>
        <w:rPr>
          <w:sz w:val="20"/>
          <w:szCs w:val="20"/>
          <w:color w:val="auto"/>
        </w:rPr>
      </w:pPr>
      <w:r>
        <w:rPr>
          <w:rFonts w:ascii="Arial" w:cs="Arial" w:eastAsia="Arial" w:hAnsi="Arial"/>
          <w:sz w:val="27"/>
          <w:szCs w:val="27"/>
          <w:b w:val="1"/>
          <w:bCs w:val="1"/>
          <w:color w:val="0067B3"/>
        </w:rPr>
        <w:t>Base Salary</w:t>
      </w:r>
    </w:p>
    <w:p>
      <w:pPr>
        <w:spacing w:after="0" w:line="132" w:lineRule="exact"/>
        <w:rPr>
          <w:sz w:val="20"/>
          <w:szCs w:val="20"/>
          <w:color w:val="auto"/>
        </w:rPr>
      </w:pPr>
    </w:p>
    <w:p>
      <w:pPr>
        <w:ind w:right="80"/>
        <w:spacing w:after="0" w:line="262" w:lineRule="auto"/>
        <w:rPr>
          <w:sz w:val="20"/>
          <w:szCs w:val="20"/>
          <w:color w:val="auto"/>
        </w:rPr>
      </w:pPr>
      <w:r>
        <w:rPr>
          <w:rFonts w:ascii="Arial" w:cs="Arial" w:eastAsia="Arial" w:hAnsi="Arial"/>
          <w:sz w:val="18"/>
          <w:szCs w:val="18"/>
          <w:color w:val="auto"/>
        </w:rPr>
        <w:t>We use salaries for similar positions within our peer group companies as an important factor in setting the base salaries of our executive officers at a level designed to attract and retain talent. When setting the fiscal year 2025 base salary for each individual executive officer, the Compensation and Talent Committee also considered other factors, including the scope of the role and the performance and experience of the individual.</w:t>
      </w:r>
    </w:p>
    <w:p>
      <w:pPr>
        <w:spacing w:after="0" w:line="200" w:lineRule="exact"/>
        <w:rPr>
          <w:sz w:val="20"/>
          <w:szCs w:val="20"/>
          <w:color w:val="auto"/>
        </w:rPr>
      </w:pPr>
    </w:p>
    <w:p>
      <w:pPr>
        <w:spacing w:after="0" w:line="290" w:lineRule="exact"/>
        <w:rPr>
          <w:sz w:val="20"/>
          <w:szCs w:val="20"/>
          <w:color w:val="auto"/>
        </w:rPr>
      </w:pPr>
    </w:p>
    <w:p>
      <w:pPr>
        <w:ind w:left="640" w:hanging="614"/>
        <w:spacing w:after="0"/>
        <w:tabs>
          <w:tab w:leader="none" w:pos="640" w:val="left"/>
        </w:tabs>
        <w:numPr>
          <w:ilvl w:val="0"/>
          <w:numId w:val="95"/>
        </w:numPr>
        <w:rPr>
          <w:rFonts w:ascii="Arial" w:cs="Arial" w:eastAsia="Arial" w:hAnsi="Arial"/>
          <w:sz w:val="20"/>
          <w:szCs w:val="20"/>
          <w:b w:val="1"/>
          <w:bCs w:val="1"/>
          <w:color w:val="auto"/>
        </w:rPr>
      </w:pPr>
      <w:r>
        <w:rPr>
          <w:rFonts w:ascii="Arial" w:cs="Arial" w:eastAsia="Arial" w:hAnsi="Arial"/>
          <w:sz w:val="16"/>
          <w:szCs w:val="16"/>
          <w:color w:val="6D6E71"/>
        </w:rPr>
        <w:t>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194310</wp:posOffset>
            </wp:positionV>
            <wp:extent cx="7157720" cy="4254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4" w:right="359" w:bottom="1440" w:gutter="0" w:footer="0" w:header="0"/>
          <w:type w:val="continuous"/>
        </w:sectPr>
      </w:pPr>
    </w:p>
    <w:bookmarkStart w:id="54" w:name="page55"/>
    <w:bookmarkEnd w:id="54"/>
    <w:p>
      <w:pPr>
        <w:spacing w:after="0"/>
        <w:rPr>
          <w:sz w:val="20"/>
          <w:szCs w:val="20"/>
          <w:color w:val="auto"/>
        </w:rPr>
      </w:pPr>
      <w:r>
        <w:rPr>
          <w:rFonts w:ascii="Arial" w:cs="Arial" w:eastAsia="Arial" w:hAnsi="Arial"/>
          <w:sz w:val="27"/>
          <w:szCs w:val="27"/>
          <w:b w:val="1"/>
          <w:bCs w:val="1"/>
          <w:color w:val="0067B3"/>
        </w:rPr>
        <w:t>Executive Performance Incentive Plan</w:t>
      </w:r>
    </w:p>
    <w:p>
      <w:pPr>
        <w:spacing w:after="0" w:line="146" w:lineRule="exact"/>
        <w:rPr>
          <w:sz w:val="20"/>
          <w:szCs w:val="20"/>
          <w:color w:val="auto"/>
        </w:rPr>
      </w:pPr>
    </w:p>
    <w:p>
      <w:pPr>
        <w:ind w:right="220"/>
        <w:spacing w:after="0" w:line="287" w:lineRule="auto"/>
        <w:rPr>
          <w:sz w:val="20"/>
          <w:szCs w:val="20"/>
          <w:color w:val="auto"/>
        </w:rPr>
      </w:pPr>
      <w:r>
        <w:rPr>
          <w:rFonts w:ascii="Arial" w:cs="Arial" w:eastAsia="Arial" w:hAnsi="Arial"/>
          <w:sz w:val="18"/>
          <w:szCs w:val="18"/>
          <w:color w:val="auto"/>
        </w:rPr>
        <w:t>In September 2024, the Compensation and Talent Committee approved our executive performance incentive plan for fiscal year 2025. The plan is designed to be variable, depending on ADI’s operating results.</w:t>
      </w:r>
    </w:p>
    <w:p>
      <w:pPr>
        <w:spacing w:after="0" w:line="4" w:lineRule="exact"/>
        <w:rPr>
          <w:sz w:val="20"/>
          <w:szCs w:val="20"/>
          <w:color w:val="auto"/>
        </w:rPr>
      </w:pPr>
    </w:p>
    <w:p>
      <w:pPr>
        <w:spacing w:after="0"/>
        <w:rPr>
          <w:sz w:val="20"/>
          <w:szCs w:val="20"/>
          <w:color w:val="auto"/>
        </w:rPr>
      </w:pPr>
      <w:r>
        <w:rPr>
          <w:rFonts w:ascii="Arial" w:cs="Arial" w:eastAsia="Arial" w:hAnsi="Arial"/>
          <w:sz w:val="18"/>
          <w:szCs w:val="18"/>
          <w:color w:val="auto"/>
        </w:rPr>
        <w:t>All executive officers, including our NEOs, participated in our fiscal year 2025 executive performance incentive plan.</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We calculated and made variable cash incentive payments under the plan as follows:</w:t>
      </w: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224"/>
        </w:trPr>
        <w:tc>
          <w:tcPr>
            <w:tcW w:w="2420" w:type="dxa"/>
            <w:vAlign w:val="bottom"/>
            <w:shd w:val="clear" w:color="auto" w:fill="BCBEC0"/>
          </w:tcPr>
          <w:p>
            <w:pPr>
              <w:spacing w:after="0"/>
              <w:rPr>
                <w:sz w:val="19"/>
                <w:szCs w:val="19"/>
                <w:color w:val="auto"/>
              </w:rPr>
            </w:pPr>
          </w:p>
        </w:tc>
        <w:tc>
          <w:tcPr>
            <w:tcW w:w="520" w:type="dxa"/>
            <w:vAlign w:val="bottom"/>
          </w:tcPr>
          <w:p>
            <w:pPr>
              <w:spacing w:after="0"/>
              <w:rPr>
                <w:sz w:val="19"/>
                <w:szCs w:val="19"/>
                <w:color w:val="auto"/>
              </w:rPr>
            </w:pPr>
          </w:p>
        </w:tc>
        <w:tc>
          <w:tcPr>
            <w:tcW w:w="2420" w:type="dxa"/>
            <w:vAlign w:val="bottom"/>
            <w:shd w:val="clear" w:color="auto" w:fill="E2E6F4"/>
          </w:tcPr>
          <w:p>
            <w:pPr>
              <w:jc w:val="center"/>
              <w:spacing w:after="0"/>
              <w:rPr>
                <w:sz w:val="20"/>
                <w:szCs w:val="20"/>
                <w:color w:val="auto"/>
              </w:rPr>
            </w:pPr>
            <w:r>
              <w:rPr>
                <w:rFonts w:ascii="Arial" w:cs="Arial" w:eastAsia="Arial" w:hAnsi="Arial"/>
                <w:sz w:val="18"/>
                <w:szCs w:val="18"/>
                <w:b w:val="1"/>
                <w:bCs w:val="1"/>
                <w:color w:val="0067B3"/>
                <w:w w:val="98"/>
              </w:rPr>
              <w:t>INDIVIDUAL</w:t>
            </w:r>
          </w:p>
        </w:tc>
        <w:tc>
          <w:tcPr>
            <w:tcW w:w="500" w:type="dxa"/>
            <w:vAlign w:val="bottom"/>
          </w:tcPr>
          <w:p>
            <w:pPr>
              <w:spacing w:after="0"/>
              <w:rPr>
                <w:sz w:val="19"/>
                <w:szCs w:val="19"/>
                <w:color w:val="auto"/>
              </w:rPr>
            </w:pPr>
          </w:p>
        </w:tc>
        <w:tc>
          <w:tcPr>
            <w:tcW w:w="2420" w:type="dxa"/>
            <w:vAlign w:val="bottom"/>
            <w:shd w:val="clear" w:color="auto" w:fill="7292CB"/>
          </w:tcPr>
          <w:p>
            <w:pPr>
              <w:jc w:val="center"/>
              <w:spacing w:after="0"/>
              <w:rPr>
                <w:sz w:val="20"/>
                <w:szCs w:val="20"/>
                <w:color w:val="auto"/>
              </w:rPr>
            </w:pPr>
            <w:r>
              <w:rPr>
                <w:rFonts w:ascii="Arial" w:cs="Arial" w:eastAsia="Arial" w:hAnsi="Arial"/>
                <w:sz w:val="18"/>
                <w:szCs w:val="18"/>
                <w:b w:val="1"/>
                <w:bCs w:val="1"/>
                <w:color w:val="FFFFFF"/>
                <w:w w:val="98"/>
              </w:rPr>
              <w:t>VARIABLE CASH</w:t>
            </w:r>
          </w:p>
        </w:tc>
        <w:tc>
          <w:tcPr>
            <w:tcW w:w="520" w:type="dxa"/>
            <w:vAlign w:val="bottom"/>
          </w:tcPr>
          <w:p>
            <w:pPr>
              <w:spacing w:after="0"/>
              <w:rPr>
                <w:sz w:val="19"/>
                <w:szCs w:val="19"/>
                <w:color w:val="auto"/>
              </w:rPr>
            </w:pPr>
          </w:p>
        </w:tc>
        <w:tc>
          <w:tcPr>
            <w:tcW w:w="2420" w:type="dxa"/>
            <w:vAlign w:val="bottom"/>
            <w:shd w:val="clear" w:color="auto" w:fill="0067B3"/>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420" w:type="dxa"/>
            <w:vAlign w:val="bottom"/>
            <w:vMerge w:val="restart"/>
            <w:shd w:val="clear" w:color="auto" w:fill="BCBEC0"/>
          </w:tcPr>
          <w:p>
            <w:pPr>
              <w:ind w:left="580"/>
              <w:spacing w:after="0"/>
              <w:rPr>
                <w:sz w:val="20"/>
                <w:szCs w:val="20"/>
                <w:color w:val="auto"/>
              </w:rPr>
            </w:pPr>
            <w:r>
              <w:rPr>
                <w:rFonts w:ascii="Arial" w:cs="Arial" w:eastAsia="Arial" w:hAnsi="Arial"/>
                <w:sz w:val="18"/>
                <w:szCs w:val="18"/>
                <w:b w:val="1"/>
                <w:bCs w:val="1"/>
                <w:color w:val="auto"/>
              </w:rPr>
              <w:t>BASE SALARY</w:t>
            </w:r>
          </w:p>
        </w:tc>
        <w:tc>
          <w:tcPr>
            <w:tcW w:w="520" w:type="dxa"/>
            <w:vAlign w:val="bottom"/>
          </w:tcPr>
          <w:p>
            <w:pPr>
              <w:spacing w:after="0"/>
              <w:rPr>
                <w:sz w:val="18"/>
                <w:szCs w:val="18"/>
                <w:color w:val="auto"/>
              </w:rPr>
            </w:pPr>
          </w:p>
        </w:tc>
        <w:tc>
          <w:tcPr>
            <w:tcW w:w="2420" w:type="dxa"/>
            <w:vAlign w:val="bottom"/>
            <w:shd w:val="clear" w:color="auto" w:fill="E2E6F4"/>
          </w:tcPr>
          <w:p>
            <w:pPr>
              <w:jc w:val="center"/>
              <w:spacing w:after="0"/>
              <w:rPr>
                <w:sz w:val="20"/>
                <w:szCs w:val="20"/>
                <w:color w:val="auto"/>
              </w:rPr>
            </w:pPr>
            <w:r>
              <w:rPr>
                <w:rFonts w:ascii="Arial" w:cs="Arial" w:eastAsia="Arial" w:hAnsi="Arial"/>
                <w:sz w:val="18"/>
                <w:szCs w:val="18"/>
                <w:b w:val="1"/>
                <w:bCs w:val="1"/>
                <w:color w:val="0067B3"/>
                <w:w w:val="98"/>
              </w:rPr>
              <w:t>TARGET VARIABLE</w:t>
            </w:r>
          </w:p>
        </w:tc>
        <w:tc>
          <w:tcPr>
            <w:tcW w:w="500" w:type="dxa"/>
            <w:vAlign w:val="bottom"/>
          </w:tcPr>
          <w:p>
            <w:pPr>
              <w:spacing w:after="0"/>
              <w:rPr>
                <w:sz w:val="18"/>
                <w:szCs w:val="18"/>
                <w:color w:val="auto"/>
              </w:rPr>
            </w:pPr>
          </w:p>
        </w:tc>
        <w:tc>
          <w:tcPr>
            <w:tcW w:w="2420" w:type="dxa"/>
            <w:vAlign w:val="bottom"/>
            <w:shd w:val="clear" w:color="auto" w:fill="7292CB"/>
          </w:tcPr>
          <w:p>
            <w:pPr>
              <w:jc w:val="center"/>
              <w:spacing w:after="0"/>
              <w:rPr>
                <w:sz w:val="20"/>
                <w:szCs w:val="20"/>
                <w:color w:val="auto"/>
              </w:rPr>
            </w:pPr>
            <w:r>
              <w:rPr>
                <w:rFonts w:ascii="Arial" w:cs="Arial" w:eastAsia="Arial" w:hAnsi="Arial"/>
                <w:sz w:val="18"/>
                <w:szCs w:val="18"/>
                <w:b w:val="1"/>
                <w:bCs w:val="1"/>
                <w:color w:val="FFFFFF"/>
                <w:w w:val="99"/>
              </w:rPr>
              <w:t>INCENTIVE</w:t>
            </w:r>
          </w:p>
        </w:tc>
        <w:tc>
          <w:tcPr>
            <w:tcW w:w="520" w:type="dxa"/>
            <w:vAlign w:val="bottom"/>
          </w:tcPr>
          <w:p>
            <w:pPr>
              <w:spacing w:after="0"/>
              <w:rPr>
                <w:sz w:val="18"/>
                <w:szCs w:val="18"/>
                <w:color w:val="auto"/>
              </w:rPr>
            </w:pPr>
          </w:p>
        </w:tc>
        <w:tc>
          <w:tcPr>
            <w:tcW w:w="2420" w:type="dxa"/>
            <w:vAlign w:val="bottom"/>
            <w:shd w:val="clear" w:color="auto" w:fill="0067B3"/>
          </w:tcPr>
          <w:p>
            <w:pPr>
              <w:jc w:val="center"/>
              <w:spacing w:after="0"/>
              <w:rPr>
                <w:sz w:val="20"/>
                <w:szCs w:val="20"/>
                <w:color w:val="auto"/>
              </w:rPr>
            </w:pPr>
            <w:r>
              <w:rPr>
                <w:rFonts w:ascii="Arial" w:cs="Arial" w:eastAsia="Arial" w:hAnsi="Arial"/>
                <w:sz w:val="18"/>
                <w:szCs w:val="18"/>
                <w:b w:val="1"/>
                <w:bCs w:val="1"/>
                <w:color w:val="FFFFFF"/>
                <w:w w:val="98"/>
              </w:rPr>
              <w:t>VARIABLE CASH</w:t>
            </w:r>
          </w:p>
        </w:tc>
        <w:tc>
          <w:tcPr>
            <w:tcW w:w="0" w:type="dxa"/>
            <w:vAlign w:val="bottom"/>
          </w:tcPr>
          <w:p>
            <w:pPr>
              <w:spacing w:after="0"/>
              <w:rPr>
                <w:sz w:val="1"/>
                <w:szCs w:val="1"/>
                <w:color w:val="auto"/>
              </w:rPr>
            </w:pPr>
          </w:p>
        </w:tc>
      </w:tr>
      <w:tr>
        <w:trPr>
          <w:trHeight w:val="139"/>
        </w:trPr>
        <w:tc>
          <w:tcPr>
            <w:tcW w:w="2420" w:type="dxa"/>
            <w:vAlign w:val="bottom"/>
            <w:vMerge w:val="continue"/>
            <w:shd w:val="clear" w:color="auto" w:fill="BCBEC0"/>
          </w:tcPr>
          <w:p>
            <w:pPr>
              <w:spacing w:after="0"/>
              <w:rPr>
                <w:sz w:val="12"/>
                <w:szCs w:val="12"/>
                <w:color w:val="auto"/>
              </w:rPr>
            </w:pPr>
          </w:p>
        </w:tc>
        <w:tc>
          <w:tcPr>
            <w:tcW w:w="520" w:type="dxa"/>
            <w:vAlign w:val="bottom"/>
          </w:tcPr>
          <w:p>
            <w:pPr>
              <w:spacing w:after="0"/>
              <w:rPr>
                <w:sz w:val="12"/>
                <w:szCs w:val="12"/>
                <w:color w:val="auto"/>
              </w:rPr>
            </w:pPr>
          </w:p>
        </w:tc>
        <w:tc>
          <w:tcPr>
            <w:tcW w:w="2420" w:type="dxa"/>
            <w:vAlign w:val="bottom"/>
            <w:vMerge w:val="restart"/>
            <w:shd w:val="clear" w:color="auto" w:fill="E2E6F4"/>
          </w:tcPr>
          <w:p>
            <w:pPr>
              <w:jc w:val="center"/>
              <w:spacing w:after="0"/>
              <w:rPr>
                <w:sz w:val="20"/>
                <w:szCs w:val="20"/>
                <w:color w:val="auto"/>
              </w:rPr>
            </w:pPr>
            <w:r>
              <w:rPr>
                <w:rFonts w:ascii="Arial" w:cs="Arial" w:eastAsia="Arial" w:hAnsi="Arial"/>
                <w:sz w:val="18"/>
                <w:szCs w:val="18"/>
                <w:b w:val="1"/>
                <w:bCs w:val="1"/>
                <w:color w:val="0067B3"/>
                <w:w w:val="99"/>
              </w:rPr>
              <w:t>CASH INCENTIVE</w:t>
            </w:r>
          </w:p>
        </w:tc>
        <w:tc>
          <w:tcPr>
            <w:tcW w:w="500" w:type="dxa"/>
            <w:vAlign w:val="bottom"/>
          </w:tcPr>
          <w:p>
            <w:pPr>
              <w:spacing w:after="0"/>
              <w:rPr>
                <w:sz w:val="12"/>
                <w:szCs w:val="12"/>
                <w:color w:val="auto"/>
              </w:rPr>
            </w:pPr>
          </w:p>
        </w:tc>
        <w:tc>
          <w:tcPr>
            <w:tcW w:w="2420" w:type="dxa"/>
            <w:vAlign w:val="bottom"/>
            <w:vMerge w:val="restart"/>
            <w:shd w:val="clear" w:color="auto" w:fill="7292CB"/>
          </w:tcPr>
          <w:p>
            <w:pPr>
              <w:jc w:val="center"/>
              <w:spacing w:after="0"/>
              <w:rPr>
                <w:sz w:val="20"/>
                <w:szCs w:val="20"/>
                <w:color w:val="auto"/>
              </w:rPr>
            </w:pPr>
            <w:r>
              <w:rPr>
                <w:rFonts w:ascii="Arial" w:cs="Arial" w:eastAsia="Arial" w:hAnsi="Arial"/>
                <w:sz w:val="18"/>
                <w:szCs w:val="18"/>
                <w:b w:val="1"/>
                <w:bCs w:val="1"/>
                <w:color w:val="FFFFFF"/>
                <w:w w:val="95"/>
              </w:rPr>
              <w:t>PAYOUT</w:t>
            </w:r>
          </w:p>
        </w:tc>
        <w:tc>
          <w:tcPr>
            <w:tcW w:w="520" w:type="dxa"/>
            <w:vAlign w:val="bottom"/>
          </w:tcPr>
          <w:p>
            <w:pPr>
              <w:spacing w:after="0"/>
              <w:rPr>
                <w:sz w:val="12"/>
                <w:szCs w:val="12"/>
                <w:color w:val="auto"/>
              </w:rPr>
            </w:pPr>
          </w:p>
        </w:tc>
        <w:tc>
          <w:tcPr>
            <w:tcW w:w="2420" w:type="dxa"/>
            <w:vAlign w:val="bottom"/>
            <w:vMerge w:val="restart"/>
            <w:shd w:val="clear" w:color="auto" w:fill="0067B3"/>
          </w:tcPr>
          <w:p>
            <w:pPr>
              <w:jc w:val="center"/>
              <w:spacing w:after="0"/>
              <w:rPr>
                <w:sz w:val="20"/>
                <w:szCs w:val="20"/>
                <w:color w:val="auto"/>
              </w:rPr>
            </w:pPr>
            <w:r>
              <w:rPr>
                <w:rFonts w:ascii="Arial" w:cs="Arial" w:eastAsia="Arial" w:hAnsi="Arial"/>
                <w:sz w:val="18"/>
                <w:szCs w:val="18"/>
                <w:b w:val="1"/>
                <w:bCs w:val="1"/>
                <w:color w:val="FFFFFF"/>
                <w:w w:val="97"/>
              </w:rPr>
              <w:t>INCENTIVE PAYOUT</w:t>
            </w:r>
          </w:p>
        </w:tc>
        <w:tc>
          <w:tcPr>
            <w:tcW w:w="0" w:type="dxa"/>
            <w:vAlign w:val="bottom"/>
          </w:tcPr>
          <w:p>
            <w:pPr>
              <w:spacing w:after="0"/>
              <w:rPr>
                <w:sz w:val="1"/>
                <w:szCs w:val="1"/>
                <w:color w:val="auto"/>
              </w:rPr>
            </w:pPr>
          </w:p>
        </w:tc>
      </w:tr>
      <w:tr>
        <w:trPr>
          <w:trHeight w:val="77"/>
        </w:trPr>
        <w:tc>
          <w:tcPr>
            <w:tcW w:w="2420" w:type="dxa"/>
            <w:vAlign w:val="bottom"/>
            <w:shd w:val="clear" w:color="auto" w:fill="BCBEC0"/>
          </w:tcPr>
          <w:p>
            <w:pPr>
              <w:spacing w:after="0"/>
              <w:rPr>
                <w:sz w:val="6"/>
                <w:szCs w:val="6"/>
                <w:color w:val="auto"/>
              </w:rPr>
            </w:pPr>
          </w:p>
        </w:tc>
        <w:tc>
          <w:tcPr>
            <w:tcW w:w="520" w:type="dxa"/>
            <w:vAlign w:val="bottom"/>
          </w:tcPr>
          <w:p>
            <w:pPr>
              <w:spacing w:after="0"/>
              <w:rPr>
                <w:sz w:val="6"/>
                <w:szCs w:val="6"/>
                <w:color w:val="auto"/>
              </w:rPr>
            </w:pPr>
          </w:p>
        </w:tc>
        <w:tc>
          <w:tcPr>
            <w:tcW w:w="2420" w:type="dxa"/>
            <w:vAlign w:val="bottom"/>
            <w:vMerge w:val="continue"/>
            <w:shd w:val="clear" w:color="auto" w:fill="E2E6F4"/>
          </w:tcPr>
          <w:p>
            <w:pPr>
              <w:spacing w:after="0"/>
              <w:rPr>
                <w:sz w:val="6"/>
                <w:szCs w:val="6"/>
                <w:color w:val="auto"/>
              </w:rPr>
            </w:pPr>
          </w:p>
        </w:tc>
        <w:tc>
          <w:tcPr>
            <w:tcW w:w="500" w:type="dxa"/>
            <w:vAlign w:val="bottom"/>
          </w:tcPr>
          <w:p>
            <w:pPr>
              <w:spacing w:after="0"/>
              <w:rPr>
                <w:sz w:val="6"/>
                <w:szCs w:val="6"/>
                <w:color w:val="auto"/>
              </w:rPr>
            </w:pPr>
          </w:p>
        </w:tc>
        <w:tc>
          <w:tcPr>
            <w:tcW w:w="2420" w:type="dxa"/>
            <w:vAlign w:val="bottom"/>
            <w:vMerge w:val="continue"/>
            <w:shd w:val="clear" w:color="auto" w:fill="7292CB"/>
          </w:tcPr>
          <w:p>
            <w:pPr>
              <w:spacing w:after="0"/>
              <w:rPr>
                <w:sz w:val="6"/>
                <w:szCs w:val="6"/>
                <w:color w:val="auto"/>
              </w:rPr>
            </w:pPr>
          </w:p>
        </w:tc>
        <w:tc>
          <w:tcPr>
            <w:tcW w:w="520" w:type="dxa"/>
            <w:vAlign w:val="bottom"/>
          </w:tcPr>
          <w:p>
            <w:pPr>
              <w:spacing w:after="0"/>
              <w:rPr>
                <w:sz w:val="6"/>
                <w:szCs w:val="6"/>
                <w:color w:val="auto"/>
              </w:rPr>
            </w:pPr>
          </w:p>
        </w:tc>
        <w:tc>
          <w:tcPr>
            <w:tcW w:w="2420" w:type="dxa"/>
            <w:vAlign w:val="bottom"/>
            <w:vMerge w:val="continue"/>
            <w:shd w:val="clear" w:color="auto" w:fill="0067B3"/>
          </w:tcPr>
          <w:p>
            <w:pPr>
              <w:spacing w:after="0"/>
              <w:rPr>
                <w:sz w:val="6"/>
                <w:szCs w:val="6"/>
                <w:color w:val="auto"/>
              </w:rPr>
            </w:pPr>
          </w:p>
        </w:tc>
        <w:tc>
          <w:tcPr>
            <w:tcW w:w="0" w:type="dxa"/>
            <w:vAlign w:val="bottom"/>
          </w:tcPr>
          <w:p>
            <w:pPr>
              <w:spacing w:after="0"/>
              <w:rPr>
                <w:sz w:val="1"/>
                <w:szCs w:val="1"/>
                <w:color w:val="auto"/>
              </w:rPr>
            </w:pPr>
          </w:p>
        </w:tc>
      </w:tr>
      <w:tr>
        <w:trPr>
          <w:trHeight w:val="262"/>
        </w:trPr>
        <w:tc>
          <w:tcPr>
            <w:tcW w:w="2420" w:type="dxa"/>
            <w:vAlign w:val="bottom"/>
            <w:shd w:val="clear" w:color="auto" w:fill="BCBEC0"/>
          </w:tcPr>
          <w:p>
            <w:pPr>
              <w:spacing w:after="0"/>
              <w:rPr>
                <w:sz w:val="22"/>
                <w:szCs w:val="22"/>
                <w:color w:val="auto"/>
              </w:rPr>
            </w:pPr>
          </w:p>
        </w:tc>
        <w:tc>
          <w:tcPr>
            <w:tcW w:w="520" w:type="dxa"/>
            <w:vAlign w:val="bottom"/>
          </w:tcPr>
          <w:p>
            <w:pPr>
              <w:spacing w:after="0"/>
              <w:rPr>
                <w:sz w:val="22"/>
                <w:szCs w:val="22"/>
                <w:color w:val="auto"/>
              </w:rPr>
            </w:pPr>
          </w:p>
        </w:tc>
        <w:tc>
          <w:tcPr>
            <w:tcW w:w="2420" w:type="dxa"/>
            <w:vAlign w:val="bottom"/>
            <w:shd w:val="clear" w:color="auto" w:fill="E2E6F4"/>
          </w:tcPr>
          <w:p>
            <w:pPr>
              <w:jc w:val="center"/>
              <w:spacing w:after="0"/>
              <w:rPr>
                <w:sz w:val="20"/>
                <w:szCs w:val="20"/>
                <w:color w:val="auto"/>
              </w:rPr>
            </w:pPr>
            <w:r>
              <w:rPr>
                <w:rFonts w:ascii="Arial" w:cs="Arial" w:eastAsia="Arial" w:hAnsi="Arial"/>
                <w:sz w:val="18"/>
                <w:szCs w:val="18"/>
                <w:b w:val="1"/>
                <w:bCs w:val="1"/>
                <w:color w:val="0067B3"/>
                <w:w w:val="99"/>
              </w:rPr>
              <w:t>PERCENTAGE</w:t>
            </w:r>
          </w:p>
        </w:tc>
        <w:tc>
          <w:tcPr>
            <w:tcW w:w="500" w:type="dxa"/>
            <w:vAlign w:val="bottom"/>
          </w:tcPr>
          <w:p>
            <w:pPr>
              <w:spacing w:after="0"/>
              <w:rPr>
                <w:sz w:val="22"/>
                <w:szCs w:val="22"/>
                <w:color w:val="auto"/>
              </w:rPr>
            </w:pPr>
          </w:p>
        </w:tc>
        <w:tc>
          <w:tcPr>
            <w:tcW w:w="2420" w:type="dxa"/>
            <w:vAlign w:val="bottom"/>
            <w:shd w:val="clear" w:color="auto" w:fill="7292CB"/>
          </w:tcPr>
          <w:p>
            <w:pPr>
              <w:jc w:val="center"/>
              <w:spacing w:after="0"/>
              <w:rPr>
                <w:sz w:val="20"/>
                <w:szCs w:val="20"/>
                <w:color w:val="auto"/>
              </w:rPr>
            </w:pPr>
            <w:r>
              <w:rPr>
                <w:rFonts w:ascii="Arial" w:cs="Arial" w:eastAsia="Arial" w:hAnsi="Arial"/>
                <w:sz w:val="18"/>
                <w:szCs w:val="18"/>
                <w:b w:val="1"/>
                <w:bCs w:val="1"/>
                <w:color w:val="FFFFFF"/>
                <w:w w:val="98"/>
              </w:rPr>
              <w:t>FACTOR</w:t>
            </w:r>
          </w:p>
        </w:tc>
        <w:tc>
          <w:tcPr>
            <w:tcW w:w="520" w:type="dxa"/>
            <w:vAlign w:val="bottom"/>
          </w:tcPr>
          <w:p>
            <w:pPr>
              <w:spacing w:after="0"/>
              <w:rPr>
                <w:sz w:val="22"/>
                <w:szCs w:val="22"/>
                <w:color w:val="auto"/>
              </w:rPr>
            </w:pPr>
          </w:p>
        </w:tc>
        <w:tc>
          <w:tcPr>
            <w:tcW w:w="2420" w:type="dxa"/>
            <w:vAlign w:val="bottom"/>
            <w:shd w:val="clear" w:color="auto" w:fill="0067B3"/>
          </w:tcPr>
          <w:p>
            <w:pPr>
              <w:spacing w:after="0"/>
              <w:rPr>
                <w:sz w:val="22"/>
                <w:szCs w:val="2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1624965</wp:posOffset>
            </wp:positionH>
            <wp:positionV relativeFrom="paragraph">
              <wp:posOffset>-402590</wp:posOffset>
            </wp:positionV>
            <wp:extent cx="162560" cy="16319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162560" cy="163195"/>
                    </a:xfrm>
                    <a:prstGeom prst="rect">
                      <a:avLst/>
                    </a:prstGeom>
                    <a:noFill/>
                  </pic:spPr>
                </pic:pic>
              </a:graphicData>
            </a:graphic>
          </wp:anchor>
        </w:drawing>
        <w:drawing>
          <wp:anchor simplePos="0" relativeHeight="251657728" behindDoc="1" locked="0" layoutInCell="0" allowOverlap="1">
            <wp:simplePos x="0" y="0"/>
            <wp:positionH relativeFrom="column">
              <wp:posOffset>3485515</wp:posOffset>
            </wp:positionH>
            <wp:positionV relativeFrom="paragraph">
              <wp:posOffset>-402590</wp:posOffset>
            </wp:positionV>
            <wp:extent cx="162560" cy="16319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162560" cy="163195"/>
                    </a:xfrm>
                    <a:prstGeom prst="rect">
                      <a:avLst/>
                    </a:prstGeom>
                    <a:noFill/>
                  </pic:spPr>
                </pic:pic>
              </a:graphicData>
            </a:graphic>
          </wp:anchor>
        </w:drawing>
        <w:drawing>
          <wp:anchor simplePos="0" relativeHeight="251657728" behindDoc="1" locked="0" layoutInCell="0" allowOverlap="1">
            <wp:simplePos x="0" y="0"/>
            <wp:positionH relativeFrom="column">
              <wp:posOffset>5345430</wp:posOffset>
            </wp:positionH>
            <wp:positionV relativeFrom="paragraph">
              <wp:posOffset>-402590</wp:posOffset>
            </wp:positionV>
            <wp:extent cx="162560" cy="16319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162560" cy="163195"/>
                    </a:xfrm>
                    <a:prstGeom prst="rect">
                      <a:avLst/>
                    </a:prstGeom>
                    <a:noFill/>
                  </pic:spPr>
                </pic:pic>
              </a:graphicData>
            </a:graphic>
          </wp:anchor>
        </w:drawing>
      </w:r>
    </w:p>
    <w:p>
      <w:pPr>
        <w:spacing w:after="0" w:line="217" w:lineRule="exact"/>
        <w:rPr>
          <w:sz w:val="20"/>
          <w:szCs w:val="20"/>
          <w:color w:val="auto"/>
        </w:rPr>
      </w:pPr>
    </w:p>
    <w:p>
      <w:pPr>
        <w:spacing w:after="0"/>
        <w:rPr>
          <w:sz w:val="20"/>
          <w:szCs w:val="20"/>
          <w:color w:val="auto"/>
        </w:rPr>
      </w:pPr>
      <w:r>
        <w:rPr>
          <w:rFonts w:ascii="Arial" w:cs="Arial" w:eastAsia="Arial" w:hAnsi="Arial"/>
          <w:sz w:val="23"/>
          <w:szCs w:val="23"/>
          <w:b w:val="1"/>
          <w:bCs w:val="1"/>
          <w:color w:val="auto"/>
        </w:rPr>
        <w:t>Individual Target Variable Cash Incentive Percentage</w:t>
      </w:r>
    </w:p>
    <w:p>
      <w:pPr>
        <w:spacing w:after="0" w:line="141"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The Compensation and Talent Committee set target variable cash incentive percentages at 200% of base salary for our CEO and ranging from 100% to 125% of annual base salary for each of our NEOs other than our CEO as part of our fiscal year 2025 compensation cycle. The Compensation and Talent Committee selected these target variable cash incentive percentages to ensure that a substantial portion of each executive officer’s cash compensation is performance-based and linked directly to our business performance, and to ensure that total compensation is competitive with those in similar positions within our peer group companies. Setting our CEO’s target at 200% of base salary also ties the majority of his cash compensation directly to company performance.</w:t>
      </w:r>
    </w:p>
    <w:p>
      <w:pPr>
        <w:spacing w:after="0" w:line="141" w:lineRule="exact"/>
        <w:rPr>
          <w:sz w:val="20"/>
          <w:szCs w:val="20"/>
          <w:color w:val="auto"/>
        </w:rPr>
      </w:pPr>
    </w:p>
    <w:p>
      <w:pPr>
        <w:spacing w:after="0"/>
        <w:rPr>
          <w:sz w:val="20"/>
          <w:szCs w:val="20"/>
          <w:color w:val="auto"/>
        </w:rPr>
      </w:pPr>
      <w:r>
        <w:rPr>
          <w:rFonts w:ascii="Arial" w:cs="Arial" w:eastAsia="Arial" w:hAnsi="Arial"/>
          <w:sz w:val="23"/>
          <w:szCs w:val="23"/>
          <w:b w:val="1"/>
          <w:bCs w:val="1"/>
          <w:color w:val="auto"/>
        </w:rPr>
        <w:t>Variable Cash Incentive Payout Factor</w:t>
      </w:r>
    </w:p>
    <w:p>
      <w:pPr>
        <w:spacing w:after="0" w:line="141" w:lineRule="exact"/>
        <w:rPr>
          <w:sz w:val="20"/>
          <w:szCs w:val="20"/>
          <w:color w:val="auto"/>
        </w:rPr>
      </w:pPr>
    </w:p>
    <w:p>
      <w:pPr>
        <w:ind w:right="60"/>
        <w:spacing w:after="0" w:line="262" w:lineRule="auto"/>
        <w:rPr>
          <w:sz w:val="20"/>
          <w:szCs w:val="20"/>
          <w:color w:val="auto"/>
        </w:rPr>
      </w:pPr>
      <w:r>
        <w:rPr>
          <w:rFonts w:ascii="Arial" w:cs="Arial" w:eastAsia="Arial" w:hAnsi="Arial"/>
          <w:sz w:val="18"/>
          <w:szCs w:val="18"/>
          <w:color w:val="auto"/>
        </w:rPr>
        <w:t>The Compensation and Talent Committee reviews and approves our performance targets, and historically these targets have not been re-set during the performance period, regardless of company performance or economic conditions. We believe that this approach fosters accountability for our business results and aligns with our core belief that variable compensation expense, which increases when our performance is good and contracts when it is poor, gives us maximum flexibility to operate our business.</w:t>
      </w:r>
    </w:p>
    <w:p>
      <w:pPr>
        <w:spacing w:after="0" w:line="41"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In setting performance targets for our executive performance incentive plan, multiple factors are considered, including our actual past business results, estimates of multi-year performance from our long-term strategic planning, and the performance of market competitors. The Compensation and Talent Committee strives to set challenging growth targets that will remain in place for more than one year, are not adjusted once set, and are aligned with our long-term strategy. We believe that our financial results and corresponding variable cash incentive payouts over the past several years clearly indicate that the Compensation and Talent Committee sets rigorous performance targets in our executive short-term variable cash incentive plan that are very difficult to achieve.</w:t>
      </w:r>
    </w:p>
    <w:p>
      <w:pPr>
        <w:spacing w:after="0" w:line="34"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For fiscal year 2025, we based the variable cash incentive payout factor on our annual OPBT margin and year-over-year revenue growth, which is consistent with prior years. The Compensation and Talent Committee designed this plan to drive long-term performance. The targets are directly linked to our long-term corporate strategy of profitable growth, which drives shareholder value creation. We believe this combination ensures that we encourage a long-term focus on our business objectives. To more closely align with market compensation practices, we decreased the maximum payout factor under our executive performance incentive plan from 3.0x to 2.5x of target in fiscal year 2025 and beyond. We also moved to an annual measurement period and payout, replacing the prior plan’s quarterly measurement periods and semi-annual payouts.</w:t>
      </w:r>
    </w:p>
    <w:p>
      <w:pPr>
        <w:spacing w:after="0" w:line="34"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Based on our evaluation of the factors described above, the Compensation and Talent Committee determined that our fiscal year 2025 OPBT margin and year-over-year revenue growth targets would remain the same as those from fiscal year 2024 and that these performance targets were challenging and consistent with our long-term strategy, incentivizing continued strong profit margins and long-term growth. These long-term targets are focused on factors that do not quickly become obsolete and thus drive long-term results.</w:t>
      </w:r>
    </w:p>
    <w:p>
      <w:pPr>
        <w:spacing w:after="0" w:line="200" w:lineRule="exact"/>
        <w:rPr>
          <w:sz w:val="20"/>
          <w:szCs w:val="20"/>
          <w:color w:val="auto"/>
        </w:rPr>
      </w:pP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78"/>
        </w:trPr>
        <w:tc>
          <w:tcPr>
            <w:tcW w:w="10800" w:type="dxa"/>
            <w:vAlign w:val="bottom"/>
          </w:tcPr>
          <w:p>
            <w:pPr>
              <w:ind w:left="8980"/>
              <w:spacing w:after="0"/>
              <w:rPr>
                <w:sz w:val="20"/>
                <w:szCs w:val="20"/>
                <w:color w:val="auto"/>
              </w:rPr>
            </w:pPr>
            <w:r>
              <w:rPr>
                <w:rFonts w:ascii="Arial" w:cs="Arial" w:eastAsia="Arial" w:hAnsi="Arial"/>
                <w:sz w:val="16"/>
                <w:szCs w:val="16"/>
                <w:color w:val="0067B3"/>
              </w:rPr>
              <w:t>2026 Proxy Statement</w:t>
            </w:r>
          </w:p>
        </w:tc>
        <w:tc>
          <w:tcPr>
            <w:tcW w:w="440" w:type="dxa"/>
            <w:vAlign w:val="bottom"/>
          </w:tcPr>
          <w:p>
            <w:pPr>
              <w:jc w:val="right"/>
              <w:spacing w:after="0"/>
              <w:rPr>
                <w:sz w:val="20"/>
                <w:szCs w:val="20"/>
                <w:color w:val="auto"/>
              </w:rPr>
            </w:pPr>
            <w:r>
              <w:rPr>
                <w:rFonts w:ascii="Arial" w:cs="Arial" w:eastAsia="Arial" w:hAnsi="Arial"/>
                <w:sz w:val="20"/>
                <w:szCs w:val="20"/>
                <w:b w:val="1"/>
                <w:bCs w:val="1"/>
                <w:color w:val="auto"/>
              </w:rPr>
              <w:t>47</w:t>
            </w:r>
          </w:p>
        </w:tc>
      </w:tr>
      <w:tr>
        <w:trPr>
          <w:trHeight w:val="319"/>
        </w:trPr>
        <w:tc>
          <w:tcPr>
            <w:tcW w:w="1080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71" w:right="339" w:bottom="1440" w:gutter="0" w:footer="0" w:header="0"/>
        </w:sectPr>
      </w:pPr>
    </w:p>
    <w:bookmarkStart w:id="55" w:name="page56"/>
    <w:bookmarkEnd w:id="55"/>
    <w:p>
      <w:pPr>
        <w:ind w:right="80"/>
        <w:spacing w:after="0" w:line="253" w:lineRule="auto"/>
        <w:rPr>
          <w:sz w:val="20"/>
          <w:szCs w:val="20"/>
          <w:color w:val="auto"/>
        </w:rPr>
      </w:pPr>
      <w:r>
        <w:rPr>
          <w:rFonts w:ascii="Arial" w:cs="Arial" w:eastAsia="Arial" w:hAnsi="Arial"/>
          <w:sz w:val="18"/>
          <w:szCs w:val="18"/>
          <w:color w:val="auto"/>
        </w:rPr>
        <w:t>The Compensation and Talent Committee implemented the following targets and payout factors for the executive performance incentive plan for fiscal year 2025, reflecting no changes from the prior year (other than the reduction of the maximum payout factor from 3.0x to 2.5x of target), which is consistent with past practice:</w:t>
      </w:r>
    </w:p>
    <w:p>
      <w:pPr>
        <w:sectPr>
          <w:pgSz w:w="11900" w:h="16838" w:orient="portrait"/>
          <w:cols w:equalWidth="0" w:num="1">
            <w:col w:w="11240"/>
          </w:cols>
          <w:pgMar w:left="320" w:top="1160" w:right="339" w:bottom="948" w:gutter="0" w:footer="0" w:header="0"/>
        </w:sectPr>
      </w:pPr>
    </w:p>
    <w:p>
      <w:pPr>
        <w:spacing w:after="0" w:line="269"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2180" w:type="dxa"/>
            <w:vAlign w:val="bottom"/>
            <w:shd w:val="clear" w:color="auto" w:fill="0067B3"/>
          </w:tcPr>
          <w:p>
            <w:pPr>
              <w:spacing w:after="0"/>
              <w:rPr>
                <w:sz w:val="21"/>
                <w:szCs w:val="21"/>
                <w:color w:val="auto"/>
              </w:rPr>
            </w:pPr>
          </w:p>
        </w:tc>
        <w:tc>
          <w:tcPr>
            <w:tcW w:w="3260" w:type="dxa"/>
            <w:vAlign w:val="bottom"/>
            <w:shd w:val="clear" w:color="auto" w:fill="0067B3"/>
          </w:tcPr>
          <w:p>
            <w:pPr>
              <w:ind w:left="60"/>
              <w:spacing w:after="0"/>
              <w:rPr>
                <w:sz w:val="20"/>
                <w:szCs w:val="20"/>
                <w:color w:val="auto"/>
              </w:rPr>
            </w:pPr>
            <w:r>
              <w:rPr>
                <w:rFonts w:ascii="Arial" w:cs="Arial" w:eastAsia="Arial" w:hAnsi="Arial"/>
                <w:sz w:val="16"/>
                <w:szCs w:val="16"/>
                <w:color w:val="FFFFFF"/>
              </w:rPr>
              <w:t>OPBT Margin</w:t>
            </w:r>
          </w:p>
        </w:tc>
      </w:tr>
      <w:tr>
        <w:trPr>
          <w:trHeight w:val="54"/>
        </w:trPr>
        <w:tc>
          <w:tcPr>
            <w:tcW w:w="2180" w:type="dxa"/>
            <w:vAlign w:val="bottom"/>
          </w:tcPr>
          <w:p>
            <w:pPr>
              <w:spacing w:after="0"/>
              <w:rPr>
                <w:sz w:val="4"/>
                <w:szCs w:val="4"/>
                <w:color w:val="auto"/>
              </w:rPr>
            </w:pPr>
          </w:p>
        </w:tc>
        <w:tc>
          <w:tcPr>
            <w:tcW w:w="3260" w:type="dxa"/>
            <w:vAlign w:val="bottom"/>
          </w:tcPr>
          <w:p>
            <w:pPr>
              <w:spacing w:after="0"/>
              <w:rPr>
                <w:sz w:val="4"/>
                <w:szCs w:val="4"/>
                <w:color w:val="auto"/>
              </w:rPr>
            </w:pPr>
          </w:p>
        </w:tc>
      </w:tr>
      <w:tr>
        <w:trPr>
          <w:trHeight w:val="215"/>
        </w:trPr>
        <w:tc>
          <w:tcPr>
            <w:tcW w:w="2180" w:type="dxa"/>
            <w:vAlign w:val="bottom"/>
            <w:shd w:val="clear" w:color="auto" w:fill="0067B3"/>
          </w:tcPr>
          <w:p>
            <w:pPr>
              <w:spacing w:after="0"/>
              <w:rPr>
                <w:sz w:val="18"/>
                <w:szCs w:val="18"/>
                <w:color w:val="auto"/>
              </w:rPr>
            </w:pPr>
          </w:p>
        </w:tc>
        <w:tc>
          <w:tcPr>
            <w:tcW w:w="3260" w:type="dxa"/>
            <w:vAlign w:val="bottom"/>
            <w:shd w:val="clear" w:color="auto" w:fill="0067B3"/>
          </w:tcPr>
          <w:p>
            <w:pPr>
              <w:jc w:val="center"/>
              <w:ind w:left="474"/>
              <w:spacing w:after="0"/>
              <w:rPr>
                <w:sz w:val="20"/>
                <w:szCs w:val="20"/>
                <w:color w:val="auto"/>
              </w:rPr>
            </w:pPr>
            <w:r>
              <w:rPr>
                <w:rFonts w:ascii="Arial" w:cs="Arial" w:eastAsia="Arial" w:hAnsi="Arial"/>
                <w:sz w:val="16"/>
                <w:szCs w:val="16"/>
                <w:color w:val="FFFFFF"/>
              </w:rPr>
              <w:t>Variable Cash Incentive Payout</w:t>
            </w:r>
          </w:p>
        </w:tc>
      </w:tr>
      <w:tr>
        <w:trPr>
          <w:trHeight w:val="230"/>
        </w:trPr>
        <w:tc>
          <w:tcPr>
            <w:tcW w:w="2180" w:type="dxa"/>
            <w:vAlign w:val="bottom"/>
            <w:shd w:val="clear" w:color="auto" w:fill="0067B3"/>
          </w:tcPr>
          <w:p>
            <w:pPr>
              <w:ind w:left="600"/>
              <w:spacing w:after="0"/>
              <w:rPr>
                <w:sz w:val="20"/>
                <w:szCs w:val="20"/>
                <w:color w:val="auto"/>
              </w:rPr>
            </w:pPr>
            <w:r>
              <w:rPr>
                <w:rFonts w:ascii="Arial" w:cs="Arial" w:eastAsia="Arial" w:hAnsi="Arial"/>
                <w:sz w:val="16"/>
                <w:szCs w:val="16"/>
                <w:color w:val="FFFFFF"/>
              </w:rPr>
              <w:t>Annual OPBT Margin</w:t>
            </w:r>
          </w:p>
        </w:tc>
        <w:tc>
          <w:tcPr>
            <w:tcW w:w="3260" w:type="dxa"/>
            <w:vAlign w:val="bottom"/>
            <w:shd w:val="clear" w:color="auto" w:fill="0067B3"/>
          </w:tcPr>
          <w:p>
            <w:pPr>
              <w:jc w:val="center"/>
              <w:ind w:left="474"/>
              <w:spacing w:after="0"/>
              <w:rPr>
                <w:sz w:val="20"/>
                <w:szCs w:val="20"/>
                <w:color w:val="auto"/>
              </w:rPr>
            </w:pPr>
            <w:r>
              <w:rPr>
                <w:rFonts w:ascii="Arial" w:cs="Arial" w:eastAsia="Arial" w:hAnsi="Arial"/>
                <w:sz w:val="16"/>
                <w:szCs w:val="16"/>
                <w:color w:val="FFFFFF"/>
              </w:rPr>
              <w:t>Factor</w:t>
            </w:r>
          </w:p>
        </w:tc>
      </w:tr>
      <w:tr>
        <w:trPr>
          <w:trHeight w:val="263"/>
        </w:trPr>
        <w:tc>
          <w:tcPr>
            <w:tcW w:w="2180" w:type="dxa"/>
            <w:vAlign w:val="bottom"/>
            <w:tcBorders>
              <w:bottom w:val="single" w:sz="8" w:color="E6E7E8"/>
            </w:tcBorders>
            <w:shd w:val="clear" w:color="auto" w:fill="E6E7E8"/>
          </w:tcPr>
          <w:p>
            <w:pPr>
              <w:jc w:val="center"/>
              <w:ind w:left="472"/>
              <w:spacing w:after="0"/>
              <w:rPr>
                <w:sz w:val="20"/>
                <w:szCs w:val="20"/>
                <w:color w:val="auto"/>
              </w:rPr>
            </w:pPr>
            <w:r>
              <w:rPr>
                <w:rFonts w:ascii="Arial" w:cs="Arial" w:eastAsia="Arial" w:hAnsi="Arial"/>
                <w:sz w:val="18"/>
                <w:szCs w:val="18"/>
                <w:color w:val="auto"/>
              </w:rPr>
              <w:t>≤ 40.0%</w:t>
            </w:r>
          </w:p>
        </w:tc>
        <w:tc>
          <w:tcPr>
            <w:tcW w:w="3260" w:type="dxa"/>
            <w:vAlign w:val="bottom"/>
            <w:tcBorders>
              <w:bottom w:val="single" w:sz="8" w:color="E6E7E8"/>
            </w:tcBorders>
            <w:shd w:val="clear" w:color="auto" w:fill="E6E7E8"/>
          </w:tcPr>
          <w:p>
            <w:pPr>
              <w:jc w:val="center"/>
              <w:ind w:left="514"/>
              <w:spacing w:after="0"/>
              <w:rPr>
                <w:sz w:val="20"/>
                <w:szCs w:val="20"/>
                <w:color w:val="auto"/>
              </w:rPr>
            </w:pPr>
            <w:r>
              <w:rPr>
                <w:rFonts w:ascii="Arial" w:cs="Arial" w:eastAsia="Arial" w:hAnsi="Arial"/>
                <w:sz w:val="18"/>
                <w:szCs w:val="18"/>
                <w:color w:val="auto"/>
                <w:w w:val="99"/>
              </w:rPr>
              <w:t>0</w:t>
            </w:r>
          </w:p>
        </w:tc>
      </w:tr>
      <w:tr>
        <w:trPr>
          <w:trHeight w:val="284"/>
        </w:trPr>
        <w:tc>
          <w:tcPr>
            <w:tcW w:w="2180" w:type="dxa"/>
            <w:vAlign w:val="bottom"/>
            <w:shd w:val="clear" w:color="auto" w:fill="CAD3EC"/>
          </w:tcPr>
          <w:p>
            <w:pPr>
              <w:jc w:val="center"/>
              <w:ind w:left="452"/>
              <w:spacing w:after="0"/>
              <w:rPr>
                <w:sz w:val="20"/>
                <w:szCs w:val="20"/>
                <w:color w:val="auto"/>
              </w:rPr>
            </w:pPr>
            <w:r>
              <w:rPr>
                <w:rFonts w:ascii="Arial" w:cs="Arial" w:eastAsia="Arial" w:hAnsi="Arial"/>
                <w:sz w:val="18"/>
                <w:szCs w:val="18"/>
                <w:b w:val="1"/>
                <w:bCs w:val="1"/>
                <w:color w:val="auto"/>
              </w:rPr>
              <w:t>42.0%</w:t>
            </w:r>
          </w:p>
        </w:tc>
        <w:tc>
          <w:tcPr>
            <w:tcW w:w="3260" w:type="dxa"/>
            <w:vAlign w:val="bottom"/>
            <w:shd w:val="clear" w:color="auto" w:fill="CAD3EC"/>
          </w:tcPr>
          <w:p>
            <w:pPr>
              <w:jc w:val="center"/>
              <w:ind w:left="474"/>
              <w:spacing w:after="0"/>
              <w:rPr>
                <w:sz w:val="20"/>
                <w:szCs w:val="20"/>
                <w:color w:val="auto"/>
              </w:rPr>
            </w:pPr>
            <w:r>
              <w:rPr>
                <w:rFonts w:ascii="Arial" w:cs="Arial" w:eastAsia="Arial" w:hAnsi="Arial"/>
                <w:sz w:val="18"/>
                <w:szCs w:val="18"/>
                <w:b w:val="1"/>
                <w:bCs w:val="1"/>
                <w:color w:val="auto"/>
                <w:w w:val="96"/>
              </w:rPr>
              <w:t>1.0x</w:t>
            </w:r>
          </w:p>
        </w:tc>
      </w:tr>
      <w:tr>
        <w:trPr>
          <w:trHeight w:val="263"/>
        </w:trPr>
        <w:tc>
          <w:tcPr>
            <w:tcW w:w="2180" w:type="dxa"/>
            <w:vAlign w:val="bottom"/>
            <w:tcBorders>
              <w:bottom w:val="single" w:sz="8" w:color="E6E7E8"/>
            </w:tcBorders>
            <w:shd w:val="clear" w:color="auto" w:fill="E6E7E8"/>
          </w:tcPr>
          <w:p>
            <w:pPr>
              <w:jc w:val="center"/>
              <w:ind w:left="452"/>
              <w:spacing w:after="0"/>
              <w:rPr>
                <w:sz w:val="20"/>
                <w:szCs w:val="20"/>
                <w:color w:val="auto"/>
              </w:rPr>
            </w:pPr>
            <w:r>
              <w:rPr>
                <w:rFonts w:ascii="Arial" w:cs="Arial" w:eastAsia="Arial" w:hAnsi="Arial"/>
                <w:sz w:val="18"/>
                <w:szCs w:val="18"/>
                <w:color w:val="auto"/>
              </w:rPr>
              <w:t>45.0%</w:t>
            </w:r>
          </w:p>
        </w:tc>
        <w:tc>
          <w:tcPr>
            <w:tcW w:w="3260" w:type="dxa"/>
            <w:vAlign w:val="bottom"/>
            <w:tcBorders>
              <w:bottom w:val="single" w:sz="8" w:color="E6E7E8"/>
            </w:tcBorders>
            <w:shd w:val="clear" w:color="auto" w:fill="E6E7E8"/>
          </w:tcPr>
          <w:p>
            <w:pPr>
              <w:jc w:val="center"/>
              <w:ind w:left="474"/>
              <w:spacing w:after="0"/>
              <w:rPr>
                <w:sz w:val="20"/>
                <w:szCs w:val="20"/>
                <w:color w:val="auto"/>
              </w:rPr>
            </w:pPr>
            <w:r>
              <w:rPr>
                <w:rFonts w:ascii="Arial" w:cs="Arial" w:eastAsia="Arial" w:hAnsi="Arial"/>
                <w:sz w:val="18"/>
                <w:szCs w:val="18"/>
                <w:color w:val="auto"/>
                <w:w w:val="99"/>
              </w:rPr>
              <w:t>2.0x</w:t>
            </w:r>
          </w:p>
        </w:tc>
      </w:tr>
      <w:tr>
        <w:trPr>
          <w:trHeight w:val="261"/>
        </w:trPr>
        <w:tc>
          <w:tcPr>
            <w:tcW w:w="2180" w:type="dxa"/>
            <w:vAlign w:val="bottom"/>
            <w:shd w:val="clear" w:color="auto" w:fill="BCBEC0"/>
          </w:tcPr>
          <w:p>
            <w:pPr>
              <w:jc w:val="center"/>
              <w:ind w:left="472"/>
              <w:spacing w:after="0"/>
              <w:rPr>
                <w:sz w:val="20"/>
                <w:szCs w:val="20"/>
                <w:color w:val="auto"/>
              </w:rPr>
            </w:pPr>
            <w:r>
              <w:rPr>
                <w:rFonts w:ascii="Arial" w:cs="Arial" w:eastAsia="Arial" w:hAnsi="Arial"/>
                <w:sz w:val="18"/>
                <w:szCs w:val="18"/>
                <w:color w:val="auto"/>
              </w:rPr>
              <w:t>≥ 50.0%</w:t>
            </w:r>
          </w:p>
        </w:tc>
        <w:tc>
          <w:tcPr>
            <w:tcW w:w="3260" w:type="dxa"/>
            <w:vAlign w:val="bottom"/>
            <w:shd w:val="clear" w:color="auto" w:fill="BCBEC0"/>
          </w:tcPr>
          <w:p>
            <w:pPr>
              <w:jc w:val="center"/>
              <w:ind w:left="474"/>
              <w:spacing w:after="0"/>
              <w:rPr>
                <w:sz w:val="20"/>
                <w:szCs w:val="20"/>
                <w:color w:val="auto"/>
              </w:rPr>
            </w:pPr>
            <w:r>
              <w:rPr>
                <w:rFonts w:ascii="Arial" w:cs="Arial" w:eastAsia="Arial" w:hAnsi="Arial"/>
                <w:sz w:val="18"/>
                <w:szCs w:val="18"/>
                <w:color w:val="auto"/>
                <w:w w:val="99"/>
              </w:rPr>
              <w:t>2.5x</w:t>
            </w:r>
          </w:p>
        </w:tc>
      </w:tr>
      <w:tr>
        <w:trPr>
          <w:trHeight w:val="23"/>
        </w:trPr>
        <w:tc>
          <w:tcPr>
            <w:tcW w:w="2180" w:type="dxa"/>
            <w:vAlign w:val="bottom"/>
            <w:shd w:val="clear" w:color="auto" w:fill="BCBEC0"/>
          </w:tcPr>
          <w:p>
            <w:pPr>
              <w:spacing w:after="0"/>
              <w:rPr>
                <w:sz w:val="2"/>
                <w:szCs w:val="2"/>
                <w:color w:val="auto"/>
              </w:rPr>
            </w:pPr>
          </w:p>
        </w:tc>
        <w:tc>
          <w:tcPr>
            <w:tcW w:w="3260" w:type="dxa"/>
            <w:vAlign w:val="bottom"/>
            <w:shd w:val="clear" w:color="auto" w:fill="BCBEC0"/>
          </w:tcPr>
          <w:p>
            <w:pPr>
              <w:spacing w:after="0"/>
              <w:rPr>
                <w:sz w:val="2"/>
                <w:szCs w:val="2"/>
                <w:color w:val="auto"/>
              </w:rPr>
            </w:pPr>
          </w:p>
        </w:tc>
      </w:tr>
    </w:tbl>
    <w:p>
      <w:pPr>
        <w:spacing w:after="0" w:line="20" w:lineRule="exact"/>
        <w:rPr>
          <w:sz w:val="20"/>
          <w:szCs w:val="20"/>
          <w:color w:val="auto"/>
        </w:rPr>
      </w:pPr>
      <w:r>
        <w:rPr>
          <w:sz w:val="20"/>
          <w:szCs w:val="20"/>
          <w:color w:val="auto"/>
        </w:rPr>
        <w:br w:type="column"/>
      </w:r>
    </w:p>
    <w:p>
      <w:pPr>
        <w:spacing w:after="0" w:line="24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3"/>
        </w:trPr>
        <w:tc>
          <w:tcPr>
            <w:tcW w:w="2100" w:type="dxa"/>
            <w:vAlign w:val="bottom"/>
            <w:shd w:val="clear" w:color="auto" w:fill="0067B3"/>
          </w:tcPr>
          <w:p>
            <w:pPr>
              <w:spacing w:after="0"/>
              <w:rPr>
                <w:sz w:val="21"/>
                <w:szCs w:val="21"/>
                <w:color w:val="auto"/>
              </w:rPr>
            </w:pPr>
          </w:p>
        </w:tc>
        <w:tc>
          <w:tcPr>
            <w:tcW w:w="3360" w:type="dxa"/>
            <w:vAlign w:val="bottom"/>
            <w:shd w:val="clear" w:color="auto" w:fill="0067B3"/>
          </w:tcPr>
          <w:p>
            <w:pPr>
              <w:ind w:left="300"/>
              <w:spacing w:after="0"/>
              <w:rPr>
                <w:sz w:val="20"/>
                <w:szCs w:val="20"/>
                <w:color w:val="auto"/>
              </w:rPr>
            </w:pPr>
            <w:r>
              <w:rPr>
                <w:rFonts w:ascii="Arial" w:cs="Arial" w:eastAsia="Arial" w:hAnsi="Arial"/>
                <w:sz w:val="16"/>
                <w:szCs w:val="16"/>
                <w:color w:val="FFFFFF"/>
              </w:rPr>
              <w:t>Revenue</w:t>
            </w:r>
          </w:p>
        </w:tc>
      </w:tr>
      <w:tr>
        <w:trPr>
          <w:trHeight w:val="54"/>
        </w:trPr>
        <w:tc>
          <w:tcPr>
            <w:tcW w:w="2100" w:type="dxa"/>
            <w:vAlign w:val="bottom"/>
          </w:tcPr>
          <w:p>
            <w:pPr>
              <w:spacing w:after="0"/>
              <w:rPr>
                <w:sz w:val="4"/>
                <w:szCs w:val="4"/>
                <w:color w:val="auto"/>
              </w:rPr>
            </w:pPr>
          </w:p>
        </w:tc>
        <w:tc>
          <w:tcPr>
            <w:tcW w:w="3360" w:type="dxa"/>
            <w:vAlign w:val="bottom"/>
          </w:tcPr>
          <w:p>
            <w:pPr>
              <w:spacing w:after="0"/>
              <w:rPr>
                <w:sz w:val="4"/>
                <w:szCs w:val="4"/>
                <w:color w:val="auto"/>
              </w:rPr>
            </w:pPr>
          </w:p>
        </w:tc>
      </w:tr>
      <w:tr>
        <w:trPr>
          <w:trHeight w:val="215"/>
        </w:trPr>
        <w:tc>
          <w:tcPr>
            <w:tcW w:w="2100" w:type="dxa"/>
            <w:vAlign w:val="bottom"/>
            <w:shd w:val="clear" w:color="auto" w:fill="0067B3"/>
          </w:tcPr>
          <w:p>
            <w:pPr>
              <w:spacing w:after="0"/>
              <w:rPr>
                <w:sz w:val="18"/>
                <w:szCs w:val="18"/>
                <w:color w:val="auto"/>
              </w:rPr>
            </w:pPr>
          </w:p>
        </w:tc>
        <w:tc>
          <w:tcPr>
            <w:tcW w:w="3360" w:type="dxa"/>
            <w:vAlign w:val="bottom"/>
            <w:shd w:val="clear" w:color="auto" w:fill="0067B3"/>
          </w:tcPr>
          <w:p>
            <w:pPr>
              <w:jc w:val="center"/>
              <w:ind w:left="554"/>
              <w:spacing w:after="0"/>
              <w:rPr>
                <w:sz w:val="20"/>
                <w:szCs w:val="20"/>
                <w:color w:val="auto"/>
              </w:rPr>
            </w:pPr>
            <w:r>
              <w:rPr>
                <w:rFonts w:ascii="Arial" w:cs="Arial" w:eastAsia="Arial" w:hAnsi="Arial"/>
                <w:sz w:val="16"/>
                <w:szCs w:val="16"/>
                <w:color w:val="FFFFFF"/>
              </w:rPr>
              <w:t>Variable Cash Incentive Payout</w:t>
            </w:r>
          </w:p>
        </w:tc>
      </w:tr>
      <w:tr>
        <w:trPr>
          <w:trHeight w:val="230"/>
        </w:trPr>
        <w:tc>
          <w:tcPr>
            <w:tcW w:w="2100" w:type="dxa"/>
            <w:vAlign w:val="bottom"/>
            <w:shd w:val="clear" w:color="auto" w:fill="0067B3"/>
          </w:tcPr>
          <w:p>
            <w:pPr>
              <w:ind w:left="920"/>
              <w:spacing w:after="0"/>
              <w:rPr>
                <w:sz w:val="20"/>
                <w:szCs w:val="20"/>
                <w:color w:val="auto"/>
              </w:rPr>
            </w:pPr>
            <w:r>
              <w:rPr>
                <w:rFonts w:ascii="Arial" w:cs="Arial" w:eastAsia="Arial" w:hAnsi="Arial"/>
                <w:sz w:val="16"/>
                <w:szCs w:val="16"/>
                <w:color w:val="FFFFFF"/>
              </w:rPr>
              <w:t>YTY Growth</w:t>
            </w:r>
          </w:p>
        </w:tc>
        <w:tc>
          <w:tcPr>
            <w:tcW w:w="3360" w:type="dxa"/>
            <w:vAlign w:val="bottom"/>
            <w:shd w:val="clear" w:color="auto" w:fill="0067B3"/>
          </w:tcPr>
          <w:p>
            <w:pPr>
              <w:jc w:val="center"/>
              <w:ind w:left="574"/>
              <w:spacing w:after="0"/>
              <w:rPr>
                <w:sz w:val="20"/>
                <w:szCs w:val="20"/>
                <w:color w:val="auto"/>
              </w:rPr>
            </w:pPr>
            <w:r>
              <w:rPr>
                <w:rFonts w:ascii="Arial" w:cs="Arial" w:eastAsia="Arial" w:hAnsi="Arial"/>
                <w:sz w:val="16"/>
                <w:szCs w:val="16"/>
                <w:color w:val="FFFFFF"/>
              </w:rPr>
              <w:t>Factor</w:t>
            </w:r>
          </w:p>
        </w:tc>
      </w:tr>
      <w:tr>
        <w:trPr>
          <w:trHeight w:val="263"/>
        </w:trPr>
        <w:tc>
          <w:tcPr>
            <w:tcW w:w="2100" w:type="dxa"/>
            <w:vAlign w:val="bottom"/>
            <w:tcBorders>
              <w:bottom w:val="single" w:sz="8" w:color="E6E7E8"/>
            </w:tcBorders>
            <w:shd w:val="clear" w:color="auto" w:fill="E6E7E8"/>
          </w:tcPr>
          <w:p>
            <w:pPr>
              <w:jc w:val="center"/>
              <w:ind w:left="552"/>
              <w:spacing w:after="0"/>
              <w:rPr>
                <w:sz w:val="20"/>
                <w:szCs w:val="20"/>
                <w:color w:val="auto"/>
              </w:rPr>
            </w:pPr>
            <w:r>
              <w:rPr>
                <w:rFonts w:ascii="Arial" w:cs="Arial" w:eastAsia="Arial" w:hAnsi="Arial"/>
                <w:sz w:val="18"/>
                <w:szCs w:val="18"/>
                <w:color w:val="auto"/>
              </w:rPr>
              <w:t>≤ 0%</w:t>
            </w:r>
          </w:p>
        </w:tc>
        <w:tc>
          <w:tcPr>
            <w:tcW w:w="3360" w:type="dxa"/>
            <w:vAlign w:val="bottom"/>
            <w:tcBorders>
              <w:bottom w:val="single" w:sz="8" w:color="E6E7E8"/>
            </w:tcBorders>
            <w:shd w:val="clear" w:color="auto" w:fill="E6E7E8"/>
          </w:tcPr>
          <w:p>
            <w:pPr>
              <w:jc w:val="center"/>
              <w:ind w:left="614"/>
              <w:spacing w:after="0"/>
              <w:rPr>
                <w:sz w:val="20"/>
                <w:szCs w:val="20"/>
                <w:color w:val="auto"/>
              </w:rPr>
            </w:pPr>
            <w:r>
              <w:rPr>
                <w:rFonts w:ascii="Arial" w:cs="Arial" w:eastAsia="Arial" w:hAnsi="Arial"/>
                <w:sz w:val="18"/>
                <w:szCs w:val="18"/>
                <w:color w:val="auto"/>
                <w:w w:val="99"/>
              </w:rPr>
              <w:t>0</w:t>
            </w:r>
          </w:p>
        </w:tc>
      </w:tr>
      <w:tr>
        <w:trPr>
          <w:trHeight w:val="284"/>
        </w:trPr>
        <w:tc>
          <w:tcPr>
            <w:tcW w:w="2100" w:type="dxa"/>
            <w:vAlign w:val="bottom"/>
            <w:shd w:val="clear" w:color="auto" w:fill="CAD3EC"/>
          </w:tcPr>
          <w:p>
            <w:pPr>
              <w:jc w:val="center"/>
              <w:ind w:left="552"/>
              <w:spacing w:after="0"/>
              <w:rPr>
                <w:sz w:val="20"/>
                <w:szCs w:val="20"/>
                <w:color w:val="auto"/>
              </w:rPr>
            </w:pPr>
            <w:r>
              <w:rPr>
                <w:rFonts w:ascii="Arial" w:cs="Arial" w:eastAsia="Arial" w:hAnsi="Arial"/>
                <w:sz w:val="18"/>
                <w:szCs w:val="18"/>
                <w:b w:val="1"/>
                <w:bCs w:val="1"/>
                <w:color w:val="auto"/>
              </w:rPr>
              <w:t>8.0%</w:t>
            </w:r>
          </w:p>
        </w:tc>
        <w:tc>
          <w:tcPr>
            <w:tcW w:w="3360" w:type="dxa"/>
            <w:vAlign w:val="bottom"/>
            <w:shd w:val="clear" w:color="auto" w:fill="CAD3EC"/>
          </w:tcPr>
          <w:p>
            <w:pPr>
              <w:jc w:val="center"/>
              <w:ind w:left="554"/>
              <w:spacing w:after="0"/>
              <w:rPr>
                <w:sz w:val="20"/>
                <w:szCs w:val="20"/>
                <w:color w:val="auto"/>
              </w:rPr>
            </w:pPr>
            <w:r>
              <w:rPr>
                <w:rFonts w:ascii="Arial" w:cs="Arial" w:eastAsia="Arial" w:hAnsi="Arial"/>
                <w:sz w:val="18"/>
                <w:szCs w:val="18"/>
                <w:b w:val="1"/>
                <w:bCs w:val="1"/>
                <w:color w:val="auto"/>
              </w:rPr>
              <w:t>1.0x</w:t>
            </w:r>
          </w:p>
        </w:tc>
      </w:tr>
      <w:tr>
        <w:trPr>
          <w:trHeight w:val="263"/>
        </w:trPr>
        <w:tc>
          <w:tcPr>
            <w:tcW w:w="2100" w:type="dxa"/>
            <w:vAlign w:val="bottom"/>
            <w:tcBorders>
              <w:bottom w:val="single" w:sz="8" w:color="E6E7E8"/>
            </w:tcBorders>
            <w:shd w:val="clear" w:color="auto" w:fill="E6E7E8"/>
          </w:tcPr>
          <w:p>
            <w:pPr>
              <w:jc w:val="center"/>
              <w:ind w:left="552"/>
              <w:spacing w:after="0"/>
              <w:rPr>
                <w:sz w:val="20"/>
                <w:szCs w:val="20"/>
                <w:color w:val="auto"/>
              </w:rPr>
            </w:pPr>
            <w:r>
              <w:rPr>
                <w:rFonts w:ascii="Arial" w:cs="Arial" w:eastAsia="Arial" w:hAnsi="Arial"/>
                <w:sz w:val="18"/>
                <w:szCs w:val="18"/>
                <w:color w:val="auto"/>
                <w:w w:val="97"/>
              </w:rPr>
              <w:t>15.0%</w:t>
            </w:r>
          </w:p>
        </w:tc>
        <w:tc>
          <w:tcPr>
            <w:tcW w:w="3360" w:type="dxa"/>
            <w:vAlign w:val="bottom"/>
            <w:tcBorders>
              <w:bottom w:val="single" w:sz="8" w:color="E6E7E8"/>
            </w:tcBorders>
            <w:shd w:val="clear" w:color="auto" w:fill="E6E7E8"/>
          </w:tcPr>
          <w:p>
            <w:pPr>
              <w:jc w:val="center"/>
              <w:ind w:left="574"/>
              <w:spacing w:after="0"/>
              <w:rPr>
                <w:sz w:val="20"/>
                <w:szCs w:val="20"/>
                <w:color w:val="auto"/>
              </w:rPr>
            </w:pPr>
            <w:r>
              <w:rPr>
                <w:rFonts w:ascii="Arial" w:cs="Arial" w:eastAsia="Arial" w:hAnsi="Arial"/>
                <w:sz w:val="18"/>
                <w:szCs w:val="18"/>
                <w:color w:val="auto"/>
                <w:w w:val="99"/>
              </w:rPr>
              <w:t>2.0x</w:t>
            </w:r>
          </w:p>
        </w:tc>
      </w:tr>
      <w:tr>
        <w:trPr>
          <w:trHeight w:val="261"/>
        </w:trPr>
        <w:tc>
          <w:tcPr>
            <w:tcW w:w="2100" w:type="dxa"/>
            <w:vAlign w:val="bottom"/>
            <w:shd w:val="clear" w:color="auto" w:fill="BCBEC0"/>
          </w:tcPr>
          <w:p>
            <w:pPr>
              <w:jc w:val="center"/>
              <w:ind w:left="552"/>
              <w:spacing w:after="0"/>
              <w:rPr>
                <w:sz w:val="20"/>
                <w:szCs w:val="20"/>
                <w:color w:val="auto"/>
              </w:rPr>
            </w:pPr>
            <w:r>
              <w:rPr>
                <w:rFonts w:ascii="Arial" w:cs="Arial" w:eastAsia="Arial" w:hAnsi="Arial"/>
                <w:sz w:val="18"/>
                <w:szCs w:val="18"/>
                <w:color w:val="auto"/>
                <w:w w:val="98"/>
              </w:rPr>
              <w:t>≥ 22%</w:t>
            </w:r>
          </w:p>
        </w:tc>
        <w:tc>
          <w:tcPr>
            <w:tcW w:w="3360" w:type="dxa"/>
            <w:vAlign w:val="bottom"/>
            <w:shd w:val="clear" w:color="auto" w:fill="BCBEC0"/>
          </w:tcPr>
          <w:p>
            <w:pPr>
              <w:jc w:val="center"/>
              <w:ind w:left="574"/>
              <w:spacing w:after="0"/>
              <w:rPr>
                <w:sz w:val="20"/>
                <w:szCs w:val="20"/>
                <w:color w:val="auto"/>
              </w:rPr>
            </w:pPr>
            <w:r>
              <w:rPr>
                <w:rFonts w:ascii="Arial" w:cs="Arial" w:eastAsia="Arial" w:hAnsi="Arial"/>
                <w:sz w:val="18"/>
                <w:szCs w:val="18"/>
                <w:color w:val="auto"/>
                <w:w w:val="99"/>
              </w:rPr>
              <w:t>2.5x</w:t>
            </w:r>
          </w:p>
        </w:tc>
      </w:tr>
      <w:tr>
        <w:trPr>
          <w:trHeight w:val="23"/>
        </w:trPr>
        <w:tc>
          <w:tcPr>
            <w:tcW w:w="2100" w:type="dxa"/>
            <w:vAlign w:val="bottom"/>
            <w:shd w:val="clear" w:color="auto" w:fill="BCBEC0"/>
          </w:tcPr>
          <w:p>
            <w:pPr>
              <w:spacing w:after="0"/>
              <w:rPr>
                <w:sz w:val="2"/>
                <w:szCs w:val="2"/>
                <w:color w:val="auto"/>
              </w:rPr>
            </w:pPr>
          </w:p>
        </w:tc>
        <w:tc>
          <w:tcPr>
            <w:tcW w:w="3360" w:type="dxa"/>
            <w:vAlign w:val="bottom"/>
            <w:shd w:val="clear" w:color="auto" w:fill="BCBEC0"/>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-3664585</wp:posOffset>
            </wp:positionH>
            <wp:positionV relativeFrom="paragraph">
              <wp:posOffset>-1002030</wp:posOffset>
            </wp:positionV>
            <wp:extent cx="7132320" cy="101155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7132320" cy="1011555"/>
                    </a:xfrm>
                    <a:prstGeom prst="rect">
                      <a:avLst/>
                    </a:prstGeom>
                    <a:noFill/>
                  </pic:spPr>
                </pic:pic>
              </a:graphicData>
            </a:graphic>
          </wp:anchor>
        </w:drawing>
      </w:r>
    </w:p>
    <w:p>
      <w:pPr>
        <w:spacing w:after="0" w:line="170" w:lineRule="exact"/>
        <w:rPr>
          <w:sz w:val="20"/>
          <w:szCs w:val="20"/>
          <w:color w:val="auto"/>
        </w:rPr>
      </w:pPr>
    </w:p>
    <w:p>
      <w:pPr>
        <w:sectPr>
          <w:pgSz w:w="11900" w:h="16838" w:orient="portrait"/>
          <w:cols w:equalWidth="0" w:num="2">
            <w:col w:w="5440" w:space="340"/>
            <w:col w:w="5460"/>
          </w:cols>
          <w:pgMar w:left="320" w:top="1160" w:right="339" w:bottom="948" w:gutter="0" w:footer="0" w:header="0"/>
          <w:type w:val="continuous"/>
        </w:sectPr>
      </w:pPr>
    </w:p>
    <w:p>
      <w:pPr>
        <w:jc w:val="center"/>
        <w:spacing w:after="0"/>
        <w:rPr>
          <w:sz w:val="20"/>
          <w:szCs w:val="20"/>
          <w:color w:val="auto"/>
        </w:rPr>
      </w:pPr>
      <w:r>
        <w:rPr>
          <w:rFonts w:ascii="Arial" w:cs="Arial" w:eastAsia="Arial" w:hAnsi="Arial"/>
          <w:sz w:val="18"/>
          <w:szCs w:val="18"/>
          <w:color w:val="auto"/>
        </w:rPr>
        <w:t>If OPBT margin ≤40% the entire variable cash incentive will pay at 0% regardless of revenue attainment</w:t>
      </w:r>
    </w:p>
    <w:p>
      <w:pPr>
        <w:spacing w:after="0" w:line="338" w:lineRule="exact"/>
        <w:rPr>
          <w:sz w:val="20"/>
          <w:szCs w:val="20"/>
          <w:color w:val="auto"/>
        </w:rPr>
      </w:pPr>
    </w:p>
    <w:p>
      <w:pPr>
        <w:ind w:left="200" w:right="120" w:hanging="192"/>
        <w:spacing w:after="0" w:line="228" w:lineRule="auto"/>
        <w:tabs>
          <w:tab w:leader="none" w:pos="215" w:val="left"/>
        </w:tabs>
        <w:numPr>
          <w:ilvl w:val="0"/>
          <w:numId w:val="96"/>
        </w:numPr>
        <w:rPr>
          <w:rFonts w:ascii="Arial" w:cs="Arial" w:eastAsia="Arial" w:hAnsi="Arial"/>
          <w:sz w:val="21"/>
          <w:szCs w:val="21"/>
          <w:color w:val="auto"/>
          <w:vertAlign w:val="superscript"/>
        </w:rPr>
      </w:pPr>
      <w:r>
        <w:rPr>
          <w:rFonts w:ascii="Arial" w:cs="Arial" w:eastAsia="Arial" w:hAnsi="Arial"/>
          <w:sz w:val="16"/>
          <w:szCs w:val="16"/>
          <w:color w:val="auto"/>
        </w:rPr>
        <w:t>OPBT margin is equivalent to our Adjusted Operating Margin as reported in our annual earnings release. The Compensation and Talent Committee may adjust the OPBT margin and year-over-year revenue growth metrics in its sole discretion to exclude special items such as (but not limited to) restructuring-related expense, acquisition-related expense, amortization of intangibles, gain or loss on disposition of businesses, non-recurring royalty payments, and other similar non-cash or non-recurring items. The Compensation and Talent Committee may exclude these items if it believes necessary in order to prevent payments under the plan from being adversely or advantageously affected by special items. For purposes of determining the variable cash incentive payout factor for fiscal year 2025, OPBT margin was calculated to exclude acquisition-related expenses and special charges, net, consistent with the non-GAAP adjustments included in our quarterly earnings releases.</w:t>
      </w:r>
    </w:p>
    <w:p>
      <w:pPr>
        <w:spacing w:after="0" w:line="40" w:lineRule="exact"/>
        <w:rPr>
          <w:sz w:val="20"/>
          <w:szCs w:val="20"/>
          <w:color w:val="auto"/>
        </w:rPr>
      </w:pPr>
    </w:p>
    <w:p>
      <w:pPr>
        <w:ind w:right="200"/>
        <w:spacing w:after="0" w:line="251" w:lineRule="auto"/>
        <w:rPr>
          <w:sz w:val="20"/>
          <w:szCs w:val="20"/>
          <w:color w:val="auto"/>
        </w:rPr>
      </w:pPr>
      <w:r>
        <w:rPr>
          <w:rFonts w:ascii="Arial" w:cs="Arial" w:eastAsia="Arial" w:hAnsi="Arial"/>
          <w:sz w:val="17"/>
          <w:szCs w:val="17"/>
          <w:color w:val="auto"/>
        </w:rPr>
        <w:t>The OPBT margin and year-over-year revenue growth targets are set annually. For fiscal year 2025, we measured performance against those targets on an annual basis, applying the corresponding variable cash incentive payout factor to base salary for the year, and paid the</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variable cash incentive amounts to our executive officers following the end of the fiscal year.</w:t>
      </w:r>
    </w:p>
    <w:p>
      <w:pPr>
        <w:spacing w:after="0" w:line="45" w:lineRule="exact"/>
        <w:rPr>
          <w:sz w:val="20"/>
          <w:szCs w:val="20"/>
          <w:color w:val="auto"/>
        </w:rPr>
      </w:pPr>
    </w:p>
    <w:p>
      <w:pPr>
        <w:spacing w:after="0"/>
        <w:rPr>
          <w:sz w:val="20"/>
          <w:szCs w:val="20"/>
          <w:color w:val="auto"/>
        </w:rPr>
      </w:pPr>
      <w:r>
        <w:rPr>
          <w:rFonts w:ascii="Arial" w:cs="Arial" w:eastAsia="Arial" w:hAnsi="Arial"/>
          <w:sz w:val="18"/>
          <w:szCs w:val="18"/>
          <w:color w:val="auto"/>
        </w:rPr>
        <w:t>We have a floor on the OPBT margin target so that profitability at or below the minimum listed OPBT margin will result in no variable cash</w:t>
      </w:r>
    </w:p>
    <w:p>
      <w:pPr>
        <w:spacing w:after="0" w:line="14" w:lineRule="exact"/>
        <w:rPr>
          <w:sz w:val="20"/>
          <w:szCs w:val="20"/>
          <w:color w:val="auto"/>
        </w:rPr>
      </w:pPr>
    </w:p>
    <w:p>
      <w:pPr>
        <w:ind w:right="40"/>
        <w:spacing w:after="0" w:line="237" w:lineRule="auto"/>
        <w:rPr>
          <w:sz w:val="20"/>
          <w:szCs w:val="20"/>
          <w:color w:val="auto"/>
        </w:rPr>
      </w:pPr>
      <w:r>
        <w:rPr>
          <w:rFonts w:ascii="Arial" w:cs="Arial" w:eastAsia="Arial" w:hAnsi="Arial"/>
          <w:sz w:val="18"/>
          <w:szCs w:val="18"/>
          <w:color w:val="auto"/>
        </w:rPr>
        <w:t>incentive payments for that performance period, regardless of revenue growth levels. The variable cash incentive payout factor is determined using linear interpolation between the values specified in the tables above.</w:t>
      </w:r>
    </w:p>
    <w:p>
      <w:pPr>
        <w:spacing w:after="0" w:line="32" w:lineRule="exact"/>
        <w:rPr>
          <w:sz w:val="20"/>
          <w:szCs w:val="20"/>
          <w:color w:val="auto"/>
        </w:rPr>
      </w:pPr>
    </w:p>
    <w:p>
      <w:pPr>
        <w:ind w:right="440"/>
        <w:spacing w:after="0" w:line="259" w:lineRule="auto"/>
        <w:rPr>
          <w:sz w:val="20"/>
          <w:szCs w:val="20"/>
          <w:color w:val="auto"/>
        </w:rPr>
      </w:pPr>
      <w:r>
        <w:rPr>
          <w:rFonts w:ascii="Arial" w:cs="Arial" w:eastAsia="Arial" w:hAnsi="Arial"/>
          <w:sz w:val="17"/>
          <w:szCs w:val="17"/>
          <w:color w:val="auto"/>
        </w:rPr>
        <w:t>To align payout opportunities among our executive officers and our other employees, our executive performance incentive plan caps the maximum payout factor for executive officers so that it does not exceed the annualized payout factor under our employee performance</w:t>
      </w:r>
    </w:p>
    <w:p>
      <w:pPr>
        <w:spacing w:after="0" w:line="1" w:lineRule="exact"/>
        <w:rPr>
          <w:sz w:val="20"/>
          <w:szCs w:val="20"/>
          <w:color w:val="auto"/>
        </w:rPr>
      </w:pPr>
    </w:p>
    <w:p>
      <w:pPr>
        <w:spacing w:after="0" w:line="226" w:lineRule="auto"/>
        <w:rPr>
          <w:sz w:val="20"/>
          <w:szCs w:val="20"/>
          <w:color w:val="auto"/>
        </w:rPr>
      </w:pPr>
      <w:r>
        <w:rPr>
          <w:rFonts w:ascii="Arial" w:cs="Arial" w:eastAsia="Arial" w:hAnsi="Arial"/>
          <w:sz w:val="18"/>
          <w:szCs w:val="18"/>
          <w:color w:val="auto"/>
        </w:rPr>
        <w:t>incentive plan. The employee performance incentive plan measures quarterly OPBT margin and year-over-year growth by quarter against the same targets as the executive performance incentive plan, calculated as the average of the payout factors for the four quarters of the fiscal</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year.</w:t>
      </w:r>
    </w:p>
    <w:p>
      <w:pPr>
        <w:spacing w:after="0" w:line="45" w:lineRule="exact"/>
        <w:rPr>
          <w:sz w:val="20"/>
          <w:szCs w:val="20"/>
          <w:color w:val="auto"/>
        </w:rPr>
      </w:pPr>
    </w:p>
    <w:p>
      <w:pPr>
        <w:ind w:right="560"/>
        <w:spacing w:after="0" w:line="271" w:lineRule="auto"/>
        <w:rPr>
          <w:sz w:val="20"/>
          <w:szCs w:val="20"/>
          <w:color w:val="auto"/>
        </w:rPr>
      </w:pPr>
      <w:r>
        <w:rPr>
          <w:rFonts w:ascii="Arial" w:cs="Arial" w:eastAsia="Arial" w:hAnsi="Arial"/>
          <w:sz w:val="18"/>
          <w:szCs w:val="18"/>
          <w:color w:val="auto"/>
        </w:rPr>
        <w:t>For fiscal year 2025, the calculated OPBT margin, year-over-year revenue growth, and variable cash incentive payout factor under our executive performance incentive plan were as follows:</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4440" w:type="dxa"/>
            <w:vAlign w:val="bottom"/>
            <w:gridSpan w:val="2"/>
            <w:shd w:val="clear" w:color="auto" w:fill="0067B3"/>
          </w:tcPr>
          <w:p>
            <w:pPr>
              <w:ind w:left="1060"/>
              <w:spacing w:after="0"/>
              <w:rPr>
                <w:sz w:val="20"/>
                <w:szCs w:val="20"/>
                <w:color w:val="auto"/>
              </w:rPr>
            </w:pPr>
            <w:r>
              <w:rPr>
                <w:rFonts w:ascii="Arial" w:cs="Arial" w:eastAsia="Arial" w:hAnsi="Arial"/>
                <w:sz w:val="16"/>
                <w:szCs w:val="16"/>
                <w:b w:val="1"/>
                <w:bCs w:val="1"/>
                <w:color w:val="FFFFFF"/>
              </w:rPr>
              <w:t>OPBT Margin (50% weight)</w:t>
            </w:r>
          </w:p>
        </w:tc>
        <w:tc>
          <w:tcPr>
            <w:tcW w:w="4280" w:type="dxa"/>
            <w:vAlign w:val="bottom"/>
            <w:gridSpan w:val="2"/>
            <w:shd w:val="clear" w:color="auto" w:fill="0067B3"/>
          </w:tcPr>
          <w:p>
            <w:pPr>
              <w:ind w:left="1100"/>
              <w:spacing w:after="0"/>
              <w:rPr>
                <w:sz w:val="20"/>
                <w:szCs w:val="20"/>
                <w:color w:val="auto"/>
              </w:rPr>
            </w:pPr>
            <w:r>
              <w:rPr>
                <w:rFonts w:ascii="Arial" w:cs="Arial" w:eastAsia="Arial" w:hAnsi="Arial"/>
                <w:sz w:val="16"/>
                <w:szCs w:val="16"/>
                <w:b w:val="1"/>
                <w:bCs w:val="1"/>
                <w:color w:val="FFFFFF"/>
              </w:rPr>
              <w:t>Revenue Growth (50% weight)</w:t>
            </w:r>
          </w:p>
        </w:tc>
        <w:tc>
          <w:tcPr>
            <w:tcW w:w="2520" w:type="dxa"/>
            <w:vAlign w:val="bottom"/>
            <w:shd w:val="clear" w:color="auto" w:fill="0067B3"/>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2040" w:type="dxa"/>
            <w:vAlign w:val="bottom"/>
            <w:shd w:val="clear" w:color="auto" w:fill="0067B3"/>
          </w:tcPr>
          <w:p>
            <w:pPr>
              <w:spacing w:after="0"/>
              <w:rPr>
                <w:sz w:val="19"/>
                <w:szCs w:val="19"/>
                <w:color w:val="auto"/>
              </w:rPr>
            </w:pPr>
          </w:p>
        </w:tc>
        <w:tc>
          <w:tcPr>
            <w:tcW w:w="2400" w:type="dxa"/>
            <w:vAlign w:val="bottom"/>
            <w:shd w:val="clear" w:color="auto" w:fill="0067B3"/>
          </w:tcPr>
          <w:p>
            <w:pPr>
              <w:jc w:val="center"/>
              <w:ind w:right="97"/>
              <w:spacing w:after="0"/>
              <w:rPr>
                <w:sz w:val="20"/>
                <w:szCs w:val="20"/>
                <w:color w:val="auto"/>
              </w:rPr>
            </w:pPr>
            <w:r>
              <w:rPr>
                <w:rFonts w:ascii="Arial" w:cs="Arial" w:eastAsia="Arial" w:hAnsi="Arial"/>
                <w:sz w:val="16"/>
                <w:szCs w:val="16"/>
                <w:b w:val="1"/>
                <w:bCs w:val="1"/>
                <w:color w:val="FFFFFF"/>
              </w:rPr>
              <w:t>Variable Cash</w:t>
            </w:r>
          </w:p>
        </w:tc>
        <w:tc>
          <w:tcPr>
            <w:tcW w:w="2180" w:type="dxa"/>
            <w:vAlign w:val="bottom"/>
            <w:vMerge w:val="restart"/>
            <w:shd w:val="clear" w:color="auto" w:fill="0067B3"/>
          </w:tcPr>
          <w:p>
            <w:pPr>
              <w:jc w:val="center"/>
              <w:ind w:left="117"/>
              <w:spacing w:after="0"/>
              <w:rPr>
                <w:sz w:val="20"/>
                <w:szCs w:val="20"/>
                <w:color w:val="auto"/>
              </w:rPr>
            </w:pPr>
            <w:r>
              <w:rPr>
                <w:rFonts w:ascii="Arial" w:cs="Arial" w:eastAsia="Arial" w:hAnsi="Arial"/>
                <w:sz w:val="16"/>
                <w:szCs w:val="16"/>
                <w:b w:val="1"/>
                <w:bCs w:val="1"/>
                <w:color w:val="FFFFFF"/>
              </w:rPr>
              <w:t>YOY Revenue</w:t>
            </w:r>
          </w:p>
        </w:tc>
        <w:tc>
          <w:tcPr>
            <w:tcW w:w="2100" w:type="dxa"/>
            <w:vAlign w:val="bottom"/>
            <w:shd w:val="clear" w:color="auto" w:fill="0067B3"/>
          </w:tcPr>
          <w:p>
            <w:pPr>
              <w:jc w:val="center"/>
              <w:ind w:left="37"/>
              <w:spacing w:after="0"/>
              <w:rPr>
                <w:sz w:val="20"/>
                <w:szCs w:val="20"/>
                <w:color w:val="auto"/>
              </w:rPr>
            </w:pPr>
            <w:r>
              <w:rPr>
                <w:rFonts w:ascii="Arial" w:cs="Arial" w:eastAsia="Arial" w:hAnsi="Arial"/>
                <w:sz w:val="16"/>
                <w:szCs w:val="16"/>
                <w:b w:val="1"/>
                <w:bCs w:val="1"/>
                <w:color w:val="FFFFFF"/>
              </w:rPr>
              <w:t>Variable Cash</w:t>
            </w:r>
          </w:p>
        </w:tc>
        <w:tc>
          <w:tcPr>
            <w:tcW w:w="2520" w:type="dxa"/>
            <w:vAlign w:val="bottom"/>
            <w:shd w:val="clear" w:color="auto" w:fill="0067B3"/>
          </w:tcPr>
          <w:p>
            <w:pPr>
              <w:jc w:val="center"/>
              <w:ind w:left="17"/>
              <w:spacing w:after="0"/>
              <w:rPr>
                <w:sz w:val="20"/>
                <w:szCs w:val="20"/>
                <w:color w:val="auto"/>
              </w:rPr>
            </w:pPr>
            <w:r>
              <w:rPr>
                <w:rFonts w:ascii="Arial" w:cs="Arial" w:eastAsia="Arial" w:hAnsi="Arial"/>
                <w:sz w:val="16"/>
                <w:szCs w:val="16"/>
                <w:b w:val="1"/>
                <w:bCs w:val="1"/>
                <w:color w:val="FFFFFF"/>
              </w:rPr>
              <w:t>Aggregate Variable Cash</w:t>
            </w:r>
          </w:p>
        </w:tc>
        <w:tc>
          <w:tcPr>
            <w:tcW w:w="0" w:type="dxa"/>
            <w:vAlign w:val="bottom"/>
          </w:tcPr>
          <w:p>
            <w:pPr>
              <w:spacing w:after="0"/>
              <w:rPr>
                <w:sz w:val="1"/>
                <w:szCs w:val="1"/>
                <w:color w:val="auto"/>
              </w:rPr>
            </w:pPr>
          </w:p>
        </w:tc>
      </w:tr>
      <w:tr>
        <w:trPr>
          <w:trHeight w:val="189"/>
        </w:trPr>
        <w:tc>
          <w:tcPr>
            <w:tcW w:w="2040" w:type="dxa"/>
            <w:vAlign w:val="bottom"/>
            <w:shd w:val="clear" w:color="auto" w:fill="0067B3"/>
          </w:tcPr>
          <w:p>
            <w:pPr>
              <w:spacing w:after="0"/>
              <w:rPr>
                <w:sz w:val="16"/>
                <w:szCs w:val="16"/>
                <w:color w:val="auto"/>
              </w:rPr>
            </w:pPr>
          </w:p>
        </w:tc>
        <w:tc>
          <w:tcPr>
            <w:tcW w:w="2400" w:type="dxa"/>
            <w:vAlign w:val="bottom"/>
            <w:shd w:val="clear" w:color="auto" w:fill="0067B3"/>
          </w:tcPr>
          <w:p>
            <w:pPr>
              <w:jc w:val="center"/>
              <w:ind w:right="97"/>
              <w:spacing w:after="0"/>
              <w:rPr>
                <w:sz w:val="20"/>
                <w:szCs w:val="20"/>
                <w:color w:val="auto"/>
              </w:rPr>
            </w:pPr>
            <w:r>
              <w:rPr>
                <w:rFonts w:ascii="Arial" w:cs="Arial" w:eastAsia="Arial" w:hAnsi="Arial"/>
                <w:sz w:val="16"/>
                <w:szCs w:val="16"/>
                <w:b w:val="1"/>
                <w:bCs w:val="1"/>
                <w:color w:val="FFFFFF"/>
              </w:rPr>
              <w:t>Incentive Payout</w:t>
            </w:r>
          </w:p>
        </w:tc>
        <w:tc>
          <w:tcPr>
            <w:tcW w:w="2180" w:type="dxa"/>
            <w:vAlign w:val="bottom"/>
            <w:vMerge w:val="continue"/>
            <w:shd w:val="clear" w:color="auto" w:fill="0067B3"/>
          </w:tcPr>
          <w:p>
            <w:pPr>
              <w:spacing w:after="0"/>
              <w:rPr>
                <w:sz w:val="16"/>
                <w:szCs w:val="16"/>
                <w:color w:val="auto"/>
              </w:rPr>
            </w:pPr>
          </w:p>
        </w:tc>
        <w:tc>
          <w:tcPr>
            <w:tcW w:w="2100" w:type="dxa"/>
            <w:vAlign w:val="bottom"/>
            <w:shd w:val="clear" w:color="auto" w:fill="0067B3"/>
          </w:tcPr>
          <w:p>
            <w:pPr>
              <w:jc w:val="center"/>
              <w:ind w:left="57"/>
              <w:spacing w:after="0"/>
              <w:rPr>
                <w:sz w:val="20"/>
                <w:szCs w:val="20"/>
                <w:color w:val="auto"/>
              </w:rPr>
            </w:pPr>
            <w:r>
              <w:rPr>
                <w:rFonts w:ascii="Arial" w:cs="Arial" w:eastAsia="Arial" w:hAnsi="Arial"/>
                <w:sz w:val="16"/>
                <w:szCs w:val="16"/>
                <w:b w:val="1"/>
                <w:bCs w:val="1"/>
                <w:color w:val="FFFFFF"/>
              </w:rPr>
              <w:t>Incentive Payout</w:t>
            </w:r>
          </w:p>
        </w:tc>
        <w:tc>
          <w:tcPr>
            <w:tcW w:w="2520" w:type="dxa"/>
            <w:vAlign w:val="bottom"/>
            <w:shd w:val="clear" w:color="auto" w:fill="0067B3"/>
          </w:tcPr>
          <w:p>
            <w:pPr>
              <w:jc w:val="center"/>
              <w:ind w:left="17"/>
              <w:spacing w:after="0"/>
              <w:rPr>
                <w:sz w:val="20"/>
                <w:szCs w:val="20"/>
                <w:color w:val="auto"/>
              </w:rPr>
            </w:pPr>
            <w:r>
              <w:rPr>
                <w:rFonts w:ascii="Arial" w:cs="Arial" w:eastAsia="Arial" w:hAnsi="Arial"/>
                <w:sz w:val="16"/>
                <w:szCs w:val="16"/>
                <w:b w:val="1"/>
                <w:bCs w:val="1"/>
                <w:color w:val="FFFFFF"/>
              </w:rPr>
              <w:t>Incentive Payout</w:t>
            </w:r>
          </w:p>
        </w:tc>
        <w:tc>
          <w:tcPr>
            <w:tcW w:w="0" w:type="dxa"/>
            <w:vAlign w:val="bottom"/>
          </w:tcPr>
          <w:p>
            <w:pPr>
              <w:spacing w:after="0"/>
              <w:rPr>
                <w:sz w:val="1"/>
                <w:szCs w:val="1"/>
                <w:color w:val="auto"/>
              </w:rPr>
            </w:pPr>
          </w:p>
        </w:tc>
      </w:tr>
      <w:tr>
        <w:trPr>
          <w:trHeight w:val="230"/>
        </w:trPr>
        <w:tc>
          <w:tcPr>
            <w:tcW w:w="2040" w:type="dxa"/>
            <w:vAlign w:val="bottom"/>
            <w:shd w:val="clear" w:color="auto" w:fill="0067B3"/>
          </w:tcPr>
          <w:p>
            <w:pPr>
              <w:jc w:val="center"/>
              <w:ind w:left="16"/>
              <w:spacing w:after="0"/>
              <w:rPr>
                <w:sz w:val="20"/>
                <w:szCs w:val="20"/>
                <w:color w:val="auto"/>
              </w:rPr>
            </w:pPr>
            <w:r>
              <w:rPr>
                <w:rFonts w:ascii="Arial" w:cs="Arial" w:eastAsia="Arial" w:hAnsi="Arial"/>
                <w:sz w:val="16"/>
                <w:szCs w:val="16"/>
                <w:b w:val="1"/>
                <w:bCs w:val="1"/>
                <w:color w:val="FFFFFF"/>
              </w:rPr>
              <w:t>OPBT Margin</w:t>
            </w:r>
          </w:p>
        </w:tc>
        <w:tc>
          <w:tcPr>
            <w:tcW w:w="2400" w:type="dxa"/>
            <w:vAlign w:val="bottom"/>
            <w:shd w:val="clear" w:color="auto" w:fill="0067B3"/>
          </w:tcPr>
          <w:p>
            <w:pPr>
              <w:jc w:val="center"/>
              <w:ind w:right="97"/>
              <w:spacing w:after="0"/>
              <w:rPr>
                <w:sz w:val="20"/>
                <w:szCs w:val="20"/>
                <w:color w:val="auto"/>
              </w:rPr>
            </w:pPr>
            <w:r>
              <w:rPr>
                <w:rFonts w:ascii="Arial" w:cs="Arial" w:eastAsia="Arial" w:hAnsi="Arial"/>
                <w:sz w:val="16"/>
                <w:szCs w:val="16"/>
                <w:b w:val="1"/>
                <w:bCs w:val="1"/>
                <w:color w:val="FFFFFF"/>
              </w:rPr>
              <w:t>Factor</w:t>
            </w:r>
          </w:p>
        </w:tc>
        <w:tc>
          <w:tcPr>
            <w:tcW w:w="2180" w:type="dxa"/>
            <w:vAlign w:val="bottom"/>
            <w:shd w:val="clear" w:color="auto" w:fill="0067B3"/>
          </w:tcPr>
          <w:p>
            <w:pPr>
              <w:jc w:val="center"/>
              <w:ind w:left="97"/>
              <w:spacing w:after="0"/>
              <w:rPr>
                <w:sz w:val="20"/>
                <w:szCs w:val="20"/>
                <w:color w:val="auto"/>
              </w:rPr>
            </w:pPr>
            <w:r>
              <w:rPr>
                <w:rFonts w:ascii="Arial" w:cs="Arial" w:eastAsia="Arial" w:hAnsi="Arial"/>
                <w:sz w:val="16"/>
                <w:szCs w:val="16"/>
                <w:b w:val="1"/>
                <w:bCs w:val="1"/>
                <w:color w:val="FFFFFF"/>
                <w:w w:val="99"/>
              </w:rPr>
              <w:t>Growth</w:t>
            </w:r>
          </w:p>
        </w:tc>
        <w:tc>
          <w:tcPr>
            <w:tcW w:w="2100" w:type="dxa"/>
            <w:vAlign w:val="bottom"/>
            <w:shd w:val="clear" w:color="auto" w:fill="0067B3"/>
          </w:tcPr>
          <w:p>
            <w:pPr>
              <w:jc w:val="center"/>
              <w:ind w:left="37"/>
              <w:spacing w:after="0"/>
              <w:rPr>
                <w:sz w:val="20"/>
                <w:szCs w:val="20"/>
                <w:color w:val="auto"/>
              </w:rPr>
            </w:pPr>
            <w:r>
              <w:rPr>
                <w:rFonts w:ascii="Arial" w:cs="Arial" w:eastAsia="Arial" w:hAnsi="Arial"/>
                <w:sz w:val="16"/>
                <w:szCs w:val="16"/>
                <w:b w:val="1"/>
                <w:bCs w:val="1"/>
                <w:color w:val="FFFFFF"/>
              </w:rPr>
              <w:t>Factor</w:t>
            </w:r>
          </w:p>
        </w:tc>
        <w:tc>
          <w:tcPr>
            <w:tcW w:w="2520" w:type="dxa"/>
            <w:vAlign w:val="bottom"/>
            <w:shd w:val="clear" w:color="auto" w:fill="0067B3"/>
          </w:tcPr>
          <w:p>
            <w:pPr>
              <w:jc w:val="center"/>
              <w:ind w:left="17"/>
              <w:spacing w:after="0"/>
              <w:rPr>
                <w:sz w:val="20"/>
                <w:szCs w:val="20"/>
                <w:color w:val="auto"/>
              </w:rPr>
            </w:pPr>
            <w:r>
              <w:rPr>
                <w:rFonts w:ascii="Arial" w:cs="Arial" w:eastAsia="Arial" w:hAnsi="Arial"/>
                <w:sz w:val="16"/>
                <w:szCs w:val="16"/>
                <w:b w:val="1"/>
                <w:bCs w:val="1"/>
                <w:color w:val="FFFFFF"/>
              </w:rPr>
              <w:t>Factor</w:t>
            </w:r>
          </w:p>
        </w:tc>
        <w:tc>
          <w:tcPr>
            <w:tcW w:w="0" w:type="dxa"/>
            <w:vAlign w:val="bottom"/>
          </w:tcPr>
          <w:p>
            <w:pPr>
              <w:spacing w:after="0"/>
              <w:rPr>
                <w:sz w:val="1"/>
                <w:szCs w:val="1"/>
                <w:color w:val="auto"/>
              </w:rPr>
            </w:pPr>
          </w:p>
        </w:tc>
      </w:tr>
      <w:tr>
        <w:trPr>
          <w:trHeight w:val="270"/>
        </w:trPr>
        <w:tc>
          <w:tcPr>
            <w:tcW w:w="2040" w:type="dxa"/>
            <w:vAlign w:val="bottom"/>
            <w:tcBorders>
              <w:bottom w:val="single" w:sz="8" w:color="0067B3"/>
            </w:tcBorders>
          </w:tcPr>
          <w:p>
            <w:pPr>
              <w:jc w:val="right"/>
              <w:ind w:right="636"/>
              <w:spacing w:after="0"/>
              <w:rPr>
                <w:sz w:val="20"/>
                <w:szCs w:val="20"/>
                <w:color w:val="auto"/>
              </w:rPr>
            </w:pPr>
            <w:r>
              <w:rPr>
                <w:rFonts w:ascii="Arial" w:cs="Arial" w:eastAsia="Arial" w:hAnsi="Arial"/>
                <w:sz w:val="18"/>
                <w:szCs w:val="18"/>
                <w:color w:val="auto"/>
              </w:rPr>
              <w:t>41.9%</w:t>
            </w:r>
          </w:p>
        </w:tc>
        <w:tc>
          <w:tcPr>
            <w:tcW w:w="2400" w:type="dxa"/>
            <w:vAlign w:val="bottom"/>
            <w:tcBorders>
              <w:bottom w:val="single" w:sz="8" w:color="0067B3"/>
            </w:tcBorders>
          </w:tcPr>
          <w:p>
            <w:pPr>
              <w:jc w:val="center"/>
              <w:ind w:right="117"/>
              <w:spacing w:after="0"/>
              <w:rPr>
                <w:sz w:val="20"/>
                <w:szCs w:val="20"/>
                <w:color w:val="auto"/>
              </w:rPr>
            </w:pPr>
            <w:r>
              <w:rPr>
                <w:rFonts w:ascii="Arial" w:cs="Arial" w:eastAsia="Arial" w:hAnsi="Arial"/>
                <w:sz w:val="18"/>
                <w:szCs w:val="18"/>
                <w:color w:val="auto"/>
                <w:w w:val="99"/>
              </w:rPr>
              <w:t>97%</w:t>
            </w:r>
          </w:p>
        </w:tc>
        <w:tc>
          <w:tcPr>
            <w:tcW w:w="2180" w:type="dxa"/>
            <w:vAlign w:val="bottom"/>
            <w:tcBorders>
              <w:bottom w:val="single" w:sz="8" w:color="0067B3"/>
            </w:tcBorders>
          </w:tcPr>
          <w:p>
            <w:pPr>
              <w:jc w:val="center"/>
              <w:ind w:left="97"/>
              <w:spacing w:after="0"/>
              <w:rPr>
                <w:sz w:val="20"/>
                <w:szCs w:val="20"/>
                <w:color w:val="auto"/>
              </w:rPr>
            </w:pPr>
            <w:r>
              <w:rPr>
                <w:rFonts w:ascii="Arial" w:cs="Arial" w:eastAsia="Arial" w:hAnsi="Arial"/>
                <w:sz w:val="18"/>
                <w:szCs w:val="18"/>
                <w:color w:val="auto"/>
              </w:rPr>
              <w:t>19.1%</w:t>
            </w:r>
          </w:p>
        </w:tc>
        <w:tc>
          <w:tcPr>
            <w:tcW w:w="2100" w:type="dxa"/>
            <w:vAlign w:val="bottom"/>
            <w:tcBorders>
              <w:bottom w:val="single" w:sz="8" w:color="0067B3"/>
            </w:tcBorders>
          </w:tcPr>
          <w:p>
            <w:pPr>
              <w:jc w:val="center"/>
              <w:ind w:left="37"/>
              <w:spacing w:after="0"/>
              <w:rPr>
                <w:sz w:val="20"/>
                <w:szCs w:val="20"/>
                <w:color w:val="auto"/>
              </w:rPr>
            </w:pPr>
            <w:r>
              <w:rPr>
                <w:rFonts w:ascii="Arial" w:cs="Arial" w:eastAsia="Arial" w:hAnsi="Arial"/>
                <w:sz w:val="18"/>
                <w:szCs w:val="18"/>
                <w:color w:val="auto"/>
                <w:w w:val="99"/>
              </w:rPr>
              <w:t>230%</w:t>
            </w:r>
          </w:p>
        </w:tc>
        <w:tc>
          <w:tcPr>
            <w:tcW w:w="2520" w:type="dxa"/>
            <w:vAlign w:val="bottom"/>
            <w:tcBorders>
              <w:bottom w:val="single" w:sz="8" w:color="0067B3"/>
            </w:tcBorders>
          </w:tcPr>
          <w:p>
            <w:pPr>
              <w:jc w:val="center"/>
              <w:ind w:left="37"/>
              <w:spacing w:after="0"/>
              <w:rPr>
                <w:sz w:val="20"/>
                <w:szCs w:val="20"/>
                <w:color w:val="auto"/>
              </w:rPr>
            </w:pPr>
            <w:r>
              <w:rPr>
                <w:rFonts w:ascii="Arial" w:cs="Arial" w:eastAsia="Arial" w:hAnsi="Arial"/>
                <w:sz w:val="18"/>
                <w:szCs w:val="18"/>
                <w:color w:val="auto"/>
                <w:w w:val="92"/>
              </w:rPr>
              <w:t>161%</w:t>
            </w:r>
            <w:r>
              <w:rPr>
                <w:rFonts w:ascii="Arial" w:cs="Arial" w:eastAsia="Arial" w:hAnsi="Arial"/>
                <w:sz w:val="23"/>
                <w:szCs w:val="23"/>
                <w:color w:val="auto"/>
                <w:w w:val="92"/>
                <w:vertAlign w:val="superscript"/>
              </w:rPr>
              <w:t>(1)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-590550</wp:posOffset>
            </wp:positionV>
            <wp:extent cx="5597525" cy="825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5597525" cy="8255"/>
                    </a:xfrm>
                    <a:prstGeom prst="rect">
                      <a:avLst/>
                    </a:prstGeom>
                    <a:noFill/>
                  </pic:spPr>
                </pic:pic>
              </a:graphicData>
            </a:graphic>
          </wp:anchor>
        </w:drawing>
      </w:r>
    </w:p>
    <w:p>
      <w:pPr>
        <w:spacing w:after="0" w:line="263" w:lineRule="exact"/>
        <w:rPr>
          <w:sz w:val="20"/>
          <w:szCs w:val="20"/>
          <w:color w:val="auto"/>
        </w:rPr>
      </w:pPr>
    </w:p>
    <w:p>
      <w:pPr>
        <w:ind w:left="200" w:right="240" w:hanging="192"/>
        <w:spacing w:after="0" w:line="220" w:lineRule="auto"/>
        <w:tabs>
          <w:tab w:leader="none" w:pos="215" w:val="left"/>
        </w:tabs>
        <w:numPr>
          <w:ilvl w:val="0"/>
          <w:numId w:val="97"/>
        </w:numPr>
        <w:rPr>
          <w:rFonts w:ascii="Arial" w:cs="Arial" w:eastAsia="Arial" w:hAnsi="Arial"/>
          <w:sz w:val="21"/>
          <w:szCs w:val="21"/>
          <w:color w:val="auto"/>
          <w:vertAlign w:val="superscript"/>
        </w:rPr>
      </w:pPr>
      <w:r>
        <w:rPr>
          <w:rFonts w:ascii="Arial" w:cs="Arial" w:eastAsia="Arial" w:hAnsi="Arial"/>
          <w:sz w:val="16"/>
          <w:szCs w:val="16"/>
          <w:color w:val="auto"/>
        </w:rPr>
        <w:t>The variable cash incentive payout factor calculated under the executive performance incentive plan for fiscal year 2025 was 163%, but was capped at 161% so that it would not exceed the annualized payout factor under our employee performance incentive plan, as described above.</w:t>
      </w:r>
    </w:p>
    <w:p>
      <w:pPr>
        <w:spacing w:after="0" w:line="37" w:lineRule="exact"/>
        <w:rPr>
          <w:sz w:val="20"/>
          <w:szCs w:val="20"/>
          <w:color w:val="auto"/>
        </w:rPr>
      </w:pPr>
    </w:p>
    <w:p>
      <w:pPr>
        <w:ind w:right="420"/>
        <w:spacing w:after="0" w:line="237" w:lineRule="auto"/>
        <w:rPr>
          <w:sz w:val="20"/>
          <w:szCs w:val="20"/>
          <w:color w:val="auto"/>
        </w:rPr>
      </w:pPr>
      <w:r>
        <w:rPr>
          <w:rFonts w:ascii="Arial" w:cs="Arial" w:eastAsia="Arial" w:hAnsi="Arial"/>
          <w:sz w:val="18"/>
          <w:szCs w:val="18"/>
          <w:color w:val="auto"/>
        </w:rPr>
        <w:t>In fiscal year 2025, we delivered strong OPBT margin performance and revenue growth. As a result, the full year variable cash incentive payout factor under our executive performance incentive plan was approximately 161% of target for fiscal year 2025, compared to</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approximately 27% for fiscal year 2024 and approximately 182% for fiscal year 2023.</w:t>
      </w:r>
    </w:p>
    <w:p>
      <w:pPr>
        <w:spacing w:after="0" w:line="197" w:lineRule="exact"/>
        <w:rPr>
          <w:sz w:val="20"/>
          <w:szCs w:val="20"/>
          <w:color w:val="auto"/>
        </w:rPr>
      </w:pPr>
    </w:p>
    <w:p>
      <w:pPr>
        <w:spacing w:after="0"/>
        <w:rPr>
          <w:sz w:val="20"/>
          <w:szCs w:val="20"/>
          <w:color w:val="auto"/>
        </w:rPr>
      </w:pPr>
      <w:r>
        <w:rPr>
          <w:rFonts w:ascii="Arial" w:cs="Arial" w:eastAsia="Arial" w:hAnsi="Arial"/>
          <w:sz w:val="27"/>
          <w:szCs w:val="27"/>
          <w:b w:val="1"/>
          <w:bCs w:val="1"/>
          <w:color w:val="0067B3"/>
        </w:rPr>
        <w:t>Base Salary and Individual Target Variable Cash Incentive Percentages</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color w:val="auto"/>
        </w:rPr>
        <w:t>In April 2025, as part of our annual review cycle, the Compensation and Talent Committee reviewed the base salaries and individual target</w:t>
      </w:r>
    </w:p>
    <w:p>
      <w:pPr>
        <w:spacing w:after="0" w:line="14" w:lineRule="exact"/>
        <w:rPr>
          <w:sz w:val="20"/>
          <w:szCs w:val="20"/>
          <w:color w:val="auto"/>
        </w:rPr>
      </w:pPr>
    </w:p>
    <w:p>
      <w:pPr>
        <w:ind w:right="340"/>
        <w:spacing w:after="0"/>
        <w:rPr>
          <w:sz w:val="20"/>
          <w:szCs w:val="20"/>
          <w:color w:val="auto"/>
        </w:rPr>
      </w:pPr>
      <w:r>
        <w:rPr>
          <w:rFonts w:ascii="Arial" w:cs="Arial" w:eastAsia="Arial" w:hAnsi="Arial"/>
          <w:sz w:val="17"/>
          <w:szCs w:val="17"/>
          <w:color w:val="auto"/>
        </w:rPr>
        <w:t>variable cash incentive percentages for Mr. Roche and our other executive officers, including our NEOs. They considered several factors, including each executive officer’s performance, experience, tenure, job responsibilities, and market benchmark information from our peer</w:t>
      </w:r>
    </w:p>
    <w:p>
      <w:pPr>
        <w:spacing w:after="0" w:line="235" w:lineRule="auto"/>
        <w:rPr>
          <w:sz w:val="20"/>
          <w:szCs w:val="20"/>
          <w:color w:val="auto"/>
        </w:rPr>
      </w:pPr>
      <w:r>
        <w:rPr>
          <w:rFonts w:ascii="Arial" w:cs="Arial" w:eastAsia="Arial" w:hAnsi="Arial"/>
          <w:sz w:val="18"/>
          <w:szCs w:val="18"/>
          <w:color w:val="auto"/>
        </w:rPr>
        <w:t>group. As a result of this review, the Compensation and Talent Committee increased the annual base salary levels of Messrs. Puccio and</w:t>
      </w:r>
    </w:p>
    <w:p>
      <w:pPr>
        <w:ind w:right="280"/>
        <w:spacing w:after="0" w:line="226" w:lineRule="auto"/>
        <w:rPr>
          <w:sz w:val="20"/>
          <w:szCs w:val="20"/>
          <w:color w:val="auto"/>
        </w:rPr>
      </w:pPr>
      <w:r>
        <w:rPr>
          <w:rFonts w:ascii="Arial" w:cs="Arial" w:eastAsia="Arial" w:hAnsi="Arial"/>
          <w:sz w:val="18"/>
          <w:szCs w:val="18"/>
          <w:color w:val="auto"/>
        </w:rPr>
        <w:t>Jain to remain competitive to market. The Compensation and Talent Committee determined to make no changes to the base salary for Mr. Roche or the target variable cash incentive percentages for Messrs. Roche, Puccio, and Jain in fiscal year 2025 because such levels</w:t>
      </w:r>
    </w:p>
    <w:p>
      <w:pPr>
        <w:spacing w:after="0" w:line="236" w:lineRule="auto"/>
        <w:rPr>
          <w:sz w:val="20"/>
          <w:szCs w:val="20"/>
          <w:color w:val="auto"/>
        </w:rPr>
      </w:pPr>
      <w:r>
        <w:rPr>
          <w:rFonts w:ascii="Arial" w:cs="Arial" w:eastAsia="Arial" w:hAnsi="Arial"/>
          <w:sz w:val="18"/>
          <w:szCs w:val="18"/>
          <w:color w:val="auto"/>
        </w:rPr>
        <w:t>remained competitive to market. In December 2024, Mr. Cotter was appointed to serve as Senior Vice President, Vertical Business Units,</w:t>
      </w:r>
    </w:p>
    <w:p>
      <w:pPr>
        <w:spacing w:after="0" w:line="1" w:lineRule="exact"/>
        <w:rPr>
          <w:sz w:val="20"/>
          <w:szCs w:val="20"/>
          <w:color w:val="auto"/>
        </w:rPr>
      </w:pPr>
    </w:p>
    <w:p>
      <w:pPr>
        <w:ind w:right="260"/>
        <w:spacing w:after="0"/>
        <w:rPr>
          <w:sz w:val="20"/>
          <w:szCs w:val="20"/>
          <w:color w:val="auto"/>
        </w:rPr>
      </w:pPr>
      <w:r>
        <w:rPr>
          <w:rFonts w:ascii="Arial" w:cs="Arial" w:eastAsia="Arial" w:hAnsi="Arial"/>
          <w:sz w:val="17"/>
          <w:szCs w:val="17"/>
          <w:color w:val="auto"/>
        </w:rPr>
        <w:t>and, based on market compensation information, the Compensation and Talent Committee set his annual base salary at $600,000 and his target variable cash incentive percentage at 100%, as determined to be competitive to market for such position. In November 2024, Dr.</w:t>
      </w:r>
    </w:p>
    <w:p>
      <w:pPr>
        <w:spacing w:after="0" w:line="235" w:lineRule="auto"/>
        <w:rPr>
          <w:sz w:val="20"/>
          <w:szCs w:val="20"/>
          <w:color w:val="auto"/>
        </w:rPr>
      </w:pPr>
      <w:r>
        <w:rPr>
          <w:rFonts w:ascii="Arial" w:cs="Arial" w:eastAsia="Arial" w:hAnsi="Arial"/>
          <w:sz w:val="18"/>
          <w:szCs w:val="18"/>
          <w:color w:val="auto"/>
        </w:rPr>
        <w:t>Nakamura was appointed to serve as Senior Vice President and Chief Customer Officer, and, based on market compensation information,</w:t>
      </w:r>
    </w:p>
    <w:p>
      <w:pPr>
        <w:ind w:right="120"/>
        <w:spacing w:after="0" w:line="237" w:lineRule="auto"/>
        <w:rPr>
          <w:sz w:val="20"/>
          <w:szCs w:val="20"/>
          <w:color w:val="auto"/>
        </w:rPr>
      </w:pPr>
      <w:r>
        <w:rPr>
          <w:rFonts w:ascii="Arial" w:cs="Arial" w:eastAsia="Arial" w:hAnsi="Arial"/>
          <w:sz w:val="18"/>
          <w:szCs w:val="18"/>
          <w:color w:val="auto"/>
        </w:rPr>
        <w:t>the Compensation and Talent Committee set his annual base salary at $500,000 and his target variable cash incentive percentage at 100%, as determined to be competitive to market for such position.</w:t>
      </w:r>
    </w:p>
    <w:p>
      <w:pPr>
        <w:sectPr>
          <w:pgSz w:w="11900" w:h="16838" w:orient="portrait"/>
          <w:cols w:equalWidth="0" w:num="1">
            <w:col w:w="11240"/>
          </w:cols>
          <w:pgMar w:left="320" w:top="1160" w:right="339" w:bottom="948" w:gutter="0" w:footer="0" w:header="0"/>
          <w:type w:val="continuous"/>
        </w:sectPr>
      </w:pPr>
    </w:p>
    <w:p>
      <w:pPr>
        <w:spacing w:after="0" w:line="200" w:lineRule="exact"/>
        <w:rPr>
          <w:sz w:val="20"/>
          <w:szCs w:val="20"/>
          <w:color w:val="auto"/>
        </w:rPr>
      </w:pPr>
    </w:p>
    <w:p>
      <w:pPr>
        <w:spacing w:after="0" w:line="308" w:lineRule="exact"/>
        <w:rPr>
          <w:sz w:val="20"/>
          <w:szCs w:val="20"/>
          <w:color w:val="auto"/>
        </w:rPr>
      </w:pPr>
    </w:p>
    <w:p>
      <w:pPr>
        <w:ind w:left="640" w:hanging="614"/>
        <w:spacing w:after="0"/>
        <w:tabs>
          <w:tab w:leader="none" w:pos="640" w:val="left"/>
        </w:tabs>
        <w:numPr>
          <w:ilvl w:val="0"/>
          <w:numId w:val="98"/>
        </w:numPr>
        <w:rPr>
          <w:rFonts w:ascii="Arial" w:cs="Arial" w:eastAsia="Arial" w:hAnsi="Arial"/>
          <w:sz w:val="20"/>
          <w:szCs w:val="20"/>
          <w:b w:val="1"/>
          <w:bCs w:val="1"/>
          <w:color w:val="auto"/>
        </w:rPr>
      </w:pPr>
      <w:r>
        <w:rPr>
          <w:rFonts w:ascii="Arial" w:cs="Arial" w:eastAsia="Arial" w:hAnsi="Arial"/>
          <w:sz w:val="16"/>
          <w:szCs w:val="16"/>
          <w:color w:val="6D6E71"/>
        </w:rPr>
        <w:t>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186055</wp:posOffset>
            </wp:positionV>
            <wp:extent cx="7157720" cy="4254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60" w:right="339" w:bottom="948" w:gutter="0" w:footer="0" w:header="0"/>
          <w:type w:val="continuous"/>
        </w:sectPr>
      </w:pPr>
    </w:p>
    <w:bookmarkStart w:id="56" w:name="page57"/>
    <w:bookmarkEnd w:id="56"/>
    <w:p>
      <w:pPr>
        <w:ind w:right="20"/>
        <w:spacing w:after="0" w:line="271" w:lineRule="auto"/>
        <w:rPr>
          <w:sz w:val="20"/>
          <w:szCs w:val="20"/>
          <w:color w:val="auto"/>
        </w:rPr>
      </w:pPr>
      <w:r>
        <w:rPr>
          <w:rFonts w:ascii="Arial" w:cs="Arial" w:eastAsia="Arial" w:hAnsi="Arial"/>
          <w:sz w:val="18"/>
          <w:szCs w:val="18"/>
          <w:color w:val="auto"/>
        </w:rPr>
        <w:t>The Compensation and Talent Committee approved base salaries and target variable cash incentive percentages for our NEOs for fiscal year 2025 as specified in the table below:</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4420" w:type="dxa"/>
            <w:vAlign w:val="bottom"/>
            <w:shd w:val="clear" w:color="auto" w:fill="0067B3"/>
          </w:tcPr>
          <w:p>
            <w:pPr>
              <w:spacing w:after="0"/>
              <w:rPr>
                <w:sz w:val="17"/>
                <w:szCs w:val="17"/>
                <w:color w:val="auto"/>
              </w:rPr>
            </w:pPr>
          </w:p>
        </w:tc>
        <w:tc>
          <w:tcPr>
            <w:tcW w:w="340" w:type="dxa"/>
            <w:vAlign w:val="bottom"/>
            <w:shd w:val="clear" w:color="auto" w:fill="0067B3"/>
          </w:tcPr>
          <w:p>
            <w:pPr>
              <w:spacing w:after="0"/>
              <w:rPr>
                <w:sz w:val="17"/>
                <w:szCs w:val="17"/>
                <w:color w:val="auto"/>
              </w:rPr>
            </w:pPr>
          </w:p>
        </w:tc>
        <w:tc>
          <w:tcPr>
            <w:tcW w:w="960" w:type="dxa"/>
            <w:vAlign w:val="bottom"/>
            <w:shd w:val="clear" w:color="auto" w:fill="0067B3"/>
          </w:tcPr>
          <w:p>
            <w:pPr>
              <w:spacing w:after="0"/>
              <w:rPr>
                <w:sz w:val="17"/>
                <w:szCs w:val="17"/>
                <w:color w:val="auto"/>
              </w:rPr>
            </w:pPr>
          </w:p>
        </w:tc>
        <w:tc>
          <w:tcPr>
            <w:tcW w:w="200" w:type="dxa"/>
            <w:vAlign w:val="bottom"/>
            <w:shd w:val="clear" w:color="auto" w:fill="0067B3"/>
          </w:tcPr>
          <w:p>
            <w:pPr>
              <w:spacing w:after="0"/>
              <w:rPr>
                <w:sz w:val="17"/>
                <w:szCs w:val="17"/>
                <w:color w:val="auto"/>
              </w:rPr>
            </w:pPr>
          </w:p>
        </w:tc>
        <w:tc>
          <w:tcPr>
            <w:tcW w:w="1000" w:type="dxa"/>
            <w:vAlign w:val="bottom"/>
            <w:shd w:val="clear" w:color="auto" w:fill="0067B3"/>
          </w:tcPr>
          <w:p>
            <w:pPr>
              <w:spacing w:after="0"/>
              <w:rPr>
                <w:sz w:val="17"/>
                <w:szCs w:val="17"/>
                <w:color w:val="auto"/>
              </w:rPr>
            </w:pPr>
          </w:p>
        </w:tc>
        <w:tc>
          <w:tcPr>
            <w:tcW w:w="880" w:type="dxa"/>
            <w:vAlign w:val="bottom"/>
            <w:shd w:val="clear" w:color="auto" w:fill="0067B3"/>
          </w:tcPr>
          <w:p>
            <w:pPr>
              <w:spacing w:after="0"/>
              <w:rPr>
                <w:sz w:val="17"/>
                <w:szCs w:val="17"/>
                <w:color w:val="auto"/>
              </w:rPr>
            </w:pPr>
          </w:p>
        </w:tc>
        <w:tc>
          <w:tcPr>
            <w:tcW w:w="1260" w:type="dxa"/>
            <w:vAlign w:val="bottom"/>
            <w:shd w:val="clear" w:color="auto" w:fill="0067B3"/>
          </w:tcPr>
          <w:p>
            <w:pPr>
              <w:jc w:val="right"/>
              <w:spacing w:after="0"/>
              <w:rPr>
                <w:sz w:val="20"/>
                <w:szCs w:val="20"/>
                <w:color w:val="auto"/>
              </w:rPr>
            </w:pPr>
            <w:r>
              <w:rPr>
                <w:rFonts w:ascii="Arial" w:cs="Arial" w:eastAsia="Arial" w:hAnsi="Arial"/>
                <w:sz w:val="16"/>
                <w:szCs w:val="16"/>
                <w:b w:val="1"/>
                <w:bCs w:val="1"/>
                <w:color w:val="FFFFFF"/>
              </w:rPr>
              <w:t>Fiscal Year</w:t>
            </w:r>
          </w:p>
        </w:tc>
        <w:tc>
          <w:tcPr>
            <w:tcW w:w="1360" w:type="dxa"/>
            <w:vAlign w:val="bottom"/>
            <w:shd w:val="clear" w:color="auto" w:fill="0067B3"/>
          </w:tcPr>
          <w:p>
            <w:pPr>
              <w:jc w:val="right"/>
              <w:ind w:right="75"/>
              <w:spacing w:after="0"/>
              <w:rPr>
                <w:sz w:val="20"/>
                <w:szCs w:val="20"/>
                <w:color w:val="auto"/>
              </w:rPr>
            </w:pPr>
            <w:r>
              <w:rPr>
                <w:rFonts w:ascii="Arial" w:cs="Arial" w:eastAsia="Arial" w:hAnsi="Arial"/>
                <w:sz w:val="16"/>
                <w:szCs w:val="16"/>
                <w:b w:val="1"/>
                <w:bCs w:val="1"/>
                <w:color w:val="FFFFFF"/>
              </w:rPr>
              <w:t>Fiscal Year</w:t>
            </w:r>
          </w:p>
        </w:tc>
        <w:tc>
          <w:tcPr>
            <w:tcW w:w="820" w:type="dxa"/>
            <w:vAlign w:val="bottom"/>
            <w:shd w:val="clear" w:color="auto" w:fill="0067B3"/>
          </w:tcPr>
          <w:p>
            <w:pPr>
              <w:spacing w:after="0"/>
              <w:rPr>
                <w:sz w:val="17"/>
                <w:szCs w:val="17"/>
                <w:color w:val="auto"/>
              </w:rPr>
            </w:pPr>
          </w:p>
        </w:tc>
      </w:tr>
      <w:tr>
        <w:trPr>
          <w:trHeight w:val="189"/>
        </w:trPr>
        <w:tc>
          <w:tcPr>
            <w:tcW w:w="4420" w:type="dxa"/>
            <w:vAlign w:val="bottom"/>
            <w:shd w:val="clear" w:color="auto" w:fill="0067B3"/>
          </w:tcPr>
          <w:p>
            <w:pPr>
              <w:spacing w:after="0"/>
              <w:rPr>
                <w:sz w:val="16"/>
                <w:szCs w:val="16"/>
                <w:color w:val="auto"/>
              </w:rPr>
            </w:pPr>
          </w:p>
        </w:tc>
        <w:tc>
          <w:tcPr>
            <w:tcW w:w="340" w:type="dxa"/>
            <w:vAlign w:val="bottom"/>
            <w:shd w:val="clear" w:color="auto" w:fill="0067B3"/>
          </w:tcPr>
          <w:p>
            <w:pPr>
              <w:spacing w:after="0"/>
              <w:rPr>
                <w:sz w:val="16"/>
                <w:szCs w:val="16"/>
                <w:color w:val="auto"/>
              </w:rPr>
            </w:pPr>
          </w:p>
        </w:tc>
        <w:tc>
          <w:tcPr>
            <w:tcW w:w="960" w:type="dxa"/>
            <w:vAlign w:val="bottom"/>
            <w:shd w:val="clear" w:color="auto" w:fill="0067B3"/>
          </w:tcPr>
          <w:p>
            <w:pPr>
              <w:spacing w:after="0"/>
              <w:rPr>
                <w:sz w:val="16"/>
                <w:szCs w:val="16"/>
                <w:color w:val="auto"/>
              </w:rPr>
            </w:pPr>
          </w:p>
        </w:tc>
        <w:tc>
          <w:tcPr>
            <w:tcW w:w="200" w:type="dxa"/>
            <w:vAlign w:val="bottom"/>
            <w:shd w:val="clear" w:color="auto" w:fill="0067B3"/>
          </w:tcPr>
          <w:p>
            <w:pPr>
              <w:spacing w:after="0"/>
              <w:rPr>
                <w:sz w:val="16"/>
                <w:szCs w:val="16"/>
                <w:color w:val="auto"/>
              </w:rPr>
            </w:pPr>
          </w:p>
        </w:tc>
        <w:tc>
          <w:tcPr>
            <w:tcW w:w="1000" w:type="dxa"/>
            <w:vAlign w:val="bottom"/>
            <w:shd w:val="clear" w:color="auto" w:fill="0067B3"/>
          </w:tcPr>
          <w:p>
            <w:pPr>
              <w:spacing w:after="0"/>
              <w:rPr>
                <w:sz w:val="16"/>
                <w:szCs w:val="16"/>
                <w:color w:val="auto"/>
              </w:rPr>
            </w:pPr>
          </w:p>
        </w:tc>
        <w:tc>
          <w:tcPr>
            <w:tcW w:w="880" w:type="dxa"/>
            <w:vAlign w:val="bottom"/>
            <w:shd w:val="clear" w:color="auto" w:fill="0067B3"/>
          </w:tcPr>
          <w:p>
            <w:pPr>
              <w:spacing w:after="0"/>
              <w:rPr>
                <w:sz w:val="16"/>
                <w:szCs w:val="16"/>
                <w:color w:val="auto"/>
              </w:rPr>
            </w:pPr>
          </w:p>
        </w:tc>
        <w:tc>
          <w:tcPr>
            <w:tcW w:w="1260" w:type="dxa"/>
            <w:vAlign w:val="bottom"/>
            <w:shd w:val="clear" w:color="auto" w:fill="0067B3"/>
          </w:tcPr>
          <w:p>
            <w:pPr>
              <w:jc w:val="right"/>
              <w:spacing w:after="0"/>
              <w:rPr>
                <w:sz w:val="20"/>
                <w:szCs w:val="20"/>
                <w:color w:val="auto"/>
              </w:rPr>
            </w:pPr>
            <w:r>
              <w:rPr>
                <w:rFonts w:ascii="Arial" w:cs="Arial" w:eastAsia="Arial" w:hAnsi="Arial"/>
                <w:sz w:val="16"/>
                <w:szCs w:val="16"/>
                <w:b w:val="1"/>
                <w:bCs w:val="1"/>
                <w:color w:val="FFFFFF"/>
              </w:rPr>
              <w:t>2024</w:t>
            </w:r>
          </w:p>
        </w:tc>
        <w:tc>
          <w:tcPr>
            <w:tcW w:w="1360" w:type="dxa"/>
            <w:vAlign w:val="bottom"/>
            <w:shd w:val="clear" w:color="auto" w:fill="0067B3"/>
          </w:tcPr>
          <w:p>
            <w:pPr>
              <w:jc w:val="right"/>
              <w:ind w:right="75"/>
              <w:spacing w:after="0"/>
              <w:rPr>
                <w:sz w:val="20"/>
                <w:szCs w:val="20"/>
                <w:color w:val="auto"/>
              </w:rPr>
            </w:pPr>
            <w:r>
              <w:rPr>
                <w:rFonts w:ascii="Arial" w:cs="Arial" w:eastAsia="Arial" w:hAnsi="Arial"/>
                <w:sz w:val="16"/>
                <w:szCs w:val="16"/>
                <w:b w:val="1"/>
                <w:bCs w:val="1"/>
                <w:color w:val="FFFFFF"/>
              </w:rPr>
              <w:t>2025</w:t>
            </w:r>
          </w:p>
        </w:tc>
        <w:tc>
          <w:tcPr>
            <w:tcW w:w="820" w:type="dxa"/>
            <w:vAlign w:val="bottom"/>
            <w:shd w:val="clear" w:color="auto" w:fill="0067B3"/>
          </w:tcPr>
          <w:p>
            <w:pPr>
              <w:spacing w:after="0"/>
              <w:rPr>
                <w:sz w:val="16"/>
                <w:szCs w:val="16"/>
                <w:color w:val="auto"/>
              </w:rPr>
            </w:pPr>
          </w:p>
        </w:tc>
      </w:tr>
      <w:tr>
        <w:trPr>
          <w:trHeight w:val="203"/>
        </w:trPr>
        <w:tc>
          <w:tcPr>
            <w:tcW w:w="4420" w:type="dxa"/>
            <w:vAlign w:val="bottom"/>
            <w:shd w:val="clear" w:color="auto" w:fill="0067B3"/>
          </w:tcPr>
          <w:p>
            <w:pPr>
              <w:spacing w:after="0"/>
              <w:rPr>
                <w:sz w:val="17"/>
                <w:szCs w:val="17"/>
                <w:color w:val="auto"/>
              </w:rPr>
            </w:pPr>
          </w:p>
        </w:tc>
        <w:tc>
          <w:tcPr>
            <w:tcW w:w="340" w:type="dxa"/>
            <w:vAlign w:val="bottom"/>
            <w:shd w:val="clear" w:color="auto" w:fill="0067B3"/>
          </w:tcPr>
          <w:p>
            <w:pPr>
              <w:spacing w:after="0"/>
              <w:rPr>
                <w:sz w:val="17"/>
                <w:szCs w:val="17"/>
                <w:color w:val="auto"/>
              </w:rPr>
            </w:pPr>
          </w:p>
        </w:tc>
        <w:tc>
          <w:tcPr>
            <w:tcW w:w="960" w:type="dxa"/>
            <w:vAlign w:val="bottom"/>
            <w:shd w:val="clear" w:color="auto" w:fill="0067B3"/>
          </w:tcPr>
          <w:p>
            <w:pPr>
              <w:spacing w:after="0"/>
              <w:rPr>
                <w:sz w:val="17"/>
                <w:szCs w:val="17"/>
                <w:color w:val="auto"/>
              </w:rPr>
            </w:pPr>
          </w:p>
        </w:tc>
        <w:tc>
          <w:tcPr>
            <w:tcW w:w="200" w:type="dxa"/>
            <w:vAlign w:val="bottom"/>
            <w:shd w:val="clear" w:color="auto" w:fill="0067B3"/>
          </w:tcPr>
          <w:p>
            <w:pPr>
              <w:spacing w:after="0"/>
              <w:rPr>
                <w:sz w:val="17"/>
                <w:szCs w:val="17"/>
                <w:color w:val="auto"/>
              </w:rPr>
            </w:pPr>
          </w:p>
        </w:tc>
        <w:tc>
          <w:tcPr>
            <w:tcW w:w="1000" w:type="dxa"/>
            <w:vAlign w:val="bottom"/>
            <w:shd w:val="clear" w:color="auto" w:fill="0067B3"/>
          </w:tcPr>
          <w:p>
            <w:pPr>
              <w:spacing w:after="0"/>
              <w:rPr>
                <w:sz w:val="17"/>
                <w:szCs w:val="17"/>
                <w:color w:val="auto"/>
              </w:rPr>
            </w:pPr>
          </w:p>
        </w:tc>
        <w:tc>
          <w:tcPr>
            <w:tcW w:w="880" w:type="dxa"/>
            <w:vAlign w:val="bottom"/>
            <w:shd w:val="clear" w:color="auto" w:fill="0067B3"/>
          </w:tcPr>
          <w:p>
            <w:pPr>
              <w:spacing w:after="0"/>
              <w:rPr>
                <w:sz w:val="17"/>
                <w:szCs w:val="17"/>
                <w:color w:val="auto"/>
              </w:rPr>
            </w:pPr>
          </w:p>
        </w:tc>
        <w:tc>
          <w:tcPr>
            <w:tcW w:w="1260" w:type="dxa"/>
            <w:vAlign w:val="bottom"/>
            <w:shd w:val="clear" w:color="auto" w:fill="0067B3"/>
          </w:tcPr>
          <w:p>
            <w:pPr>
              <w:jc w:val="right"/>
              <w:spacing w:after="0"/>
              <w:rPr>
                <w:sz w:val="20"/>
                <w:szCs w:val="20"/>
                <w:color w:val="auto"/>
              </w:rPr>
            </w:pPr>
            <w:r>
              <w:rPr>
                <w:rFonts w:ascii="Arial" w:cs="Arial" w:eastAsia="Arial" w:hAnsi="Arial"/>
                <w:sz w:val="16"/>
                <w:szCs w:val="16"/>
                <w:b w:val="1"/>
                <w:bCs w:val="1"/>
                <w:color w:val="FFFFFF"/>
              </w:rPr>
              <w:t>Individual</w:t>
            </w:r>
          </w:p>
        </w:tc>
        <w:tc>
          <w:tcPr>
            <w:tcW w:w="1360" w:type="dxa"/>
            <w:vAlign w:val="bottom"/>
            <w:shd w:val="clear" w:color="auto" w:fill="0067B3"/>
          </w:tcPr>
          <w:p>
            <w:pPr>
              <w:jc w:val="right"/>
              <w:ind w:right="75"/>
              <w:spacing w:after="0"/>
              <w:rPr>
                <w:sz w:val="20"/>
                <w:szCs w:val="20"/>
                <w:color w:val="auto"/>
              </w:rPr>
            </w:pPr>
            <w:r>
              <w:rPr>
                <w:rFonts w:ascii="Arial" w:cs="Arial" w:eastAsia="Arial" w:hAnsi="Arial"/>
                <w:sz w:val="16"/>
                <w:szCs w:val="16"/>
                <w:b w:val="1"/>
                <w:bCs w:val="1"/>
                <w:color w:val="FFFFFF"/>
              </w:rPr>
              <w:t>Individual</w:t>
            </w:r>
          </w:p>
        </w:tc>
        <w:tc>
          <w:tcPr>
            <w:tcW w:w="820" w:type="dxa"/>
            <w:vAlign w:val="bottom"/>
            <w:shd w:val="clear" w:color="auto" w:fill="0067B3"/>
          </w:tcPr>
          <w:p>
            <w:pPr>
              <w:spacing w:after="0"/>
              <w:rPr>
                <w:sz w:val="17"/>
                <w:szCs w:val="17"/>
                <w:color w:val="auto"/>
              </w:rPr>
            </w:pPr>
          </w:p>
        </w:tc>
      </w:tr>
      <w:tr>
        <w:trPr>
          <w:trHeight w:val="189"/>
        </w:trPr>
        <w:tc>
          <w:tcPr>
            <w:tcW w:w="4420" w:type="dxa"/>
            <w:vAlign w:val="bottom"/>
            <w:shd w:val="clear" w:color="auto" w:fill="0067B3"/>
          </w:tcPr>
          <w:p>
            <w:pPr>
              <w:spacing w:after="0"/>
              <w:rPr>
                <w:sz w:val="16"/>
                <w:szCs w:val="16"/>
                <w:color w:val="auto"/>
              </w:rPr>
            </w:pPr>
          </w:p>
        </w:tc>
        <w:tc>
          <w:tcPr>
            <w:tcW w:w="340" w:type="dxa"/>
            <w:vAlign w:val="bottom"/>
            <w:shd w:val="clear" w:color="auto" w:fill="0067B3"/>
          </w:tcPr>
          <w:p>
            <w:pPr>
              <w:spacing w:after="0"/>
              <w:rPr>
                <w:sz w:val="16"/>
                <w:szCs w:val="16"/>
                <w:color w:val="auto"/>
              </w:rPr>
            </w:pPr>
          </w:p>
        </w:tc>
        <w:tc>
          <w:tcPr>
            <w:tcW w:w="960" w:type="dxa"/>
            <w:vAlign w:val="bottom"/>
            <w:shd w:val="clear" w:color="auto" w:fill="0067B3"/>
          </w:tcPr>
          <w:p>
            <w:pPr>
              <w:jc w:val="right"/>
              <w:ind w:right="14"/>
              <w:spacing w:after="0"/>
              <w:rPr>
                <w:sz w:val="20"/>
                <w:szCs w:val="20"/>
                <w:color w:val="auto"/>
              </w:rPr>
            </w:pPr>
            <w:r>
              <w:rPr>
                <w:rFonts w:ascii="Arial" w:cs="Arial" w:eastAsia="Arial" w:hAnsi="Arial"/>
                <w:sz w:val="16"/>
                <w:szCs w:val="16"/>
                <w:b w:val="1"/>
                <w:bCs w:val="1"/>
                <w:color w:val="FFFFFF"/>
                <w:w w:val="99"/>
              </w:rPr>
              <w:t>Fiscal Year</w:t>
            </w:r>
          </w:p>
        </w:tc>
        <w:tc>
          <w:tcPr>
            <w:tcW w:w="200" w:type="dxa"/>
            <w:vAlign w:val="bottom"/>
            <w:shd w:val="clear" w:color="auto" w:fill="0067B3"/>
          </w:tcPr>
          <w:p>
            <w:pPr>
              <w:spacing w:after="0"/>
              <w:rPr>
                <w:sz w:val="16"/>
                <w:szCs w:val="16"/>
                <w:color w:val="auto"/>
              </w:rPr>
            </w:pPr>
          </w:p>
        </w:tc>
        <w:tc>
          <w:tcPr>
            <w:tcW w:w="1000" w:type="dxa"/>
            <w:vAlign w:val="bottom"/>
            <w:shd w:val="clear" w:color="auto" w:fill="0067B3"/>
          </w:tcPr>
          <w:p>
            <w:pPr>
              <w:jc w:val="right"/>
              <w:ind w:right="54"/>
              <w:spacing w:after="0"/>
              <w:rPr>
                <w:sz w:val="20"/>
                <w:szCs w:val="20"/>
                <w:color w:val="auto"/>
              </w:rPr>
            </w:pPr>
            <w:r>
              <w:rPr>
                <w:rFonts w:ascii="Arial" w:cs="Arial" w:eastAsia="Arial" w:hAnsi="Arial"/>
                <w:sz w:val="16"/>
                <w:szCs w:val="16"/>
                <w:b w:val="1"/>
                <w:bCs w:val="1"/>
                <w:color w:val="FFFFFF"/>
                <w:w w:val="99"/>
              </w:rPr>
              <w:t>Fiscal Year</w:t>
            </w:r>
          </w:p>
        </w:tc>
        <w:tc>
          <w:tcPr>
            <w:tcW w:w="880" w:type="dxa"/>
            <w:vAlign w:val="bottom"/>
            <w:shd w:val="clear" w:color="auto" w:fill="0067B3"/>
          </w:tcPr>
          <w:p>
            <w:pPr>
              <w:spacing w:after="0"/>
              <w:rPr>
                <w:sz w:val="16"/>
                <w:szCs w:val="16"/>
                <w:color w:val="auto"/>
              </w:rPr>
            </w:pPr>
          </w:p>
        </w:tc>
        <w:tc>
          <w:tcPr>
            <w:tcW w:w="1260" w:type="dxa"/>
            <w:vAlign w:val="bottom"/>
            <w:shd w:val="clear" w:color="auto" w:fill="0067B3"/>
          </w:tcPr>
          <w:p>
            <w:pPr>
              <w:jc w:val="right"/>
              <w:spacing w:after="0"/>
              <w:rPr>
                <w:sz w:val="20"/>
                <w:szCs w:val="20"/>
                <w:color w:val="auto"/>
              </w:rPr>
            </w:pPr>
            <w:r>
              <w:rPr>
                <w:rFonts w:ascii="Arial" w:cs="Arial" w:eastAsia="Arial" w:hAnsi="Arial"/>
                <w:sz w:val="16"/>
                <w:szCs w:val="16"/>
                <w:b w:val="1"/>
                <w:bCs w:val="1"/>
                <w:color w:val="FFFFFF"/>
              </w:rPr>
              <w:t>Target Variable</w:t>
            </w:r>
          </w:p>
        </w:tc>
        <w:tc>
          <w:tcPr>
            <w:tcW w:w="1360" w:type="dxa"/>
            <w:vAlign w:val="bottom"/>
            <w:shd w:val="clear" w:color="auto" w:fill="0067B3"/>
          </w:tcPr>
          <w:p>
            <w:pPr>
              <w:jc w:val="right"/>
              <w:ind w:right="75"/>
              <w:spacing w:after="0"/>
              <w:rPr>
                <w:sz w:val="20"/>
                <w:szCs w:val="20"/>
                <w:color w:val="auto"/>
              </w:rPr>
            </w:pPr>
            <w:r>
              <w:rPr>
                <w:rFonts w:ascii="Arial" w:cs="Arial" w:eastAsia="Arial" w:hAnsi="Arial"/>
                <w:sz w:val="16"/>
                <w:szCs w:val="16"/>
                <w:b w:val="1"/>
                <w:bCs w:val="1"/>
                <w:color w:val="FFFFFF"/>
              </w:rPr>
              <w:t>Target Variable</w:t>
            </w:r>
          </w:p>
        </w:tc>
        <w:tc>
          <w:tcPr>
            <w:tcW w:w="820" w:type="dxa"/>
            <w:vAlign w:val="bottom"/>
            <w:shd w:val="clear" w:color="auto" w:fill="0067B3"/>
          </w:tcPr>
          <w:p>
            <w:pPr>
              <w:spacing w:after="0"/>
              <w:rPr>
                <w:sz w:val="16"/>
                <w:szCs w:val="16"/>
                <w:color w:val="auto"/>
              </w:rPr>
            </w:pPr>
          </w:p>
        </w:tc>
      </w:tr>
      <w:tr>
        <w:trPr>
          <w:trHeight w:val="189"/>
        </w:trPr>
        <w:tc>
          <w:tcPr>
            <w:tcW w:w="4420" w:type="dxa"/>
            <w:vAlign w:val="bottom"/>
            <w:shd w:val="clear" w:color="auto" w:fill="0067B3"/>
          </w:tcPr>
          <w:p>
            <w:pPr>
              <w:spacing w:after="0"/>
              <w:rPr>
                <w:sz w:val="16"/>
                <w:szCs w:val="16"/>
                <w:color w:val="auto"/>
              </w:rPr>
            </w:pPr>
          </w:p>
        </w:tc>
        <w:tc>
          <w:tcPr>
            <w:tcW w:w="340" w:type="dxa"/>
            <w:vAlign w:val="bottom"/>
            <w:shd w:val="clear" w:color="auto" w:fill="0067B3"/>
          </w:tcPr>
          <w:p>
            <w:pPr>
              <w:spacing w:after="0"/>
              <w:rPr>
                <w:sz w:val="16"/>
                <w:szCs w:val="16"/>
                <w:color w:val="auto"/>
              </w:rPr>
            </w:pPr>
          </w:p>
        </w:tc>
        <w:tc>
          <w:tcPr>
            <w:tcW w:w="960" w:type="dxa"/>
            <w:vAlign w:val="bottom"/>
            <w:shd w:val="clear" w:color="auto" w:fill="0067B3"/>
          </w:tcPr>
          <w:p>
            <w:pPr>
              <w:jc w:val="right"/>
              <w:ind w:right="14"/>
              <w:spacing w:after="0"/>
              <w:rPr>
                <w:sz w:val="20"/>
                <w:szCs w:val="20"/>
                <w:color w:val="auto"/>
              </w:rPr>
            </w:pPr>
            <w:r>
              <w:rPr>
                <w:rFonts w:ascii="Arial" w:cs="Arial" w:eastAsia="Arial" w:hAnsi="Arial"/>
                <w:sz w:val="16"/>
                <w:szCs w:val="16"/>
                <w:b w:val="1"/>
                <w:bCs w:val="1"/>
                <w:color w:val="FFFFFF"/>
              </w:rPr>
              <w:t>2024</w:t>
            </w:r>
          </w:p>
        </w:tc>
        <w:tc>
          <w:tcPr>
            <w:tcW w:w="200" w:type="dxa"/>
            <w:vAlign w:val="bottom"/>
            <w:shd w:val="clear" w:color="auto" w:fill="0067B3"/>
          </w:tcPr>
          <w:p>
            <w:pPr>
              <w:spacing w:after="0"/>
              <w:rPr>
                <w:sz w:val="16"/>
                <w:szCs w:val="16"/>
                <w:color w:val="auto"/>
              </w:rPr>
            </w:pPr>
          </w:p>
        </w:tc>
        <w:tc>
          <w:tcPr>
            <w:tcW w:w="1000" w:type="dxa"/>
            <w:vAlign w:val="bottom"/>
            <w:shd w:val="clear" w:color="auto" w:fill="0067B3"/>
          </w:tcPr>
          <w:p>
            <w:pPr>
              <w:jc w:val="right"/>
              <w:ind w:right="54"/>
              <w:spacing w:after="0"/>
              <w:rPr>
                <w:sz w:val="20"/>
                <w:szCs w:val="20"/>
                <w:color w:val="auto"/>
              </w:rPr>
            </w:pPr>
            <w:r>
              <w:rPr>
                <w:rFonts w:ascii="Arial" w:cs="Arial" w:eastAsia="Arial" w:hAnsi="Arial"/>
                <w:sz w:val="16"/>
                <w:szCs w:val="16"/>
                <w:b w:val="1"/>
                <w:bCs w:val="1"/>
                <w:color w:val="FFFFFF"/>
              </w:rPr>
              <w:t>2025</w:t>
            </w:r>
          </w:p>
        </w:tc>
        <w:tc>
          <w:tcPr>
            <w:tcW w:w="880" w:type="dxa"/>
            <w:vAlign w:val="bottom"/>
            <w:shd w:val="clear" w:color="auto" w:fill="0067B3"/>
          </w:tcPr>
          <w:p>
            <w:pPr>
              <w:spacing w:after="0"/>
              <w:rPr>
                <w:sz w:val="16"/>
                <w:szCs w:val="16"/>
                <w:color w:val="auto"/>
              </w:rPr>
            </w:pPr>
          </w:p>
        </w:tc>
        <w:tc>
          <w:tcPr>
            <w:tcW w:w="1260" w:type="dxa"/>
            <w:vAlign w:val="bottom"/>
            <w:shd w:val="clear" w:color="auto" w:fill="0067B3"/>
          </w:tcPr>
          <w:p>
            <w:pPr>
              <w:jc w:val="right"/>
              <w:spacing w:after="0"/>
              <w:rPr>
                <w:sz w:val="20"/>
                <w:szCs w:val="20"/>
                <w:color w:val="auto"/>
              </w:rPr>
            </w:pPr>
            <w:r>
              <w:rPr>
                <w:rFonts w:ascii="Arial" w:cs="Arial" w:eastAsia="Arial" w:hAnsi="Arial"/>
                <w:sz w:val="16"/>
                <w:szCs w:val="16"/>
                <w:b w:val="1"/>
                <w:bCs w:val="1"/>
                <w:color w:val="FFFFFF"/>
              </w:rPr>
              <w:t>Cash Incentive</w:t>
            </w:r>
          </w:p>
        </w:tc>
        <w:tc>
          <w:tcPr>
            <w:tcW w:w="1360" w:type="dxa"/>
            <w:vAlign w:val="bottom"/>
            <w:shd w:val="clear" w:color="auto" w:fill="0067B3"/>
          </w:tcPr>
          <w:p>
            <w:pPr>
              <w:jc w:val="right"/>
              <w:ind w:right="75"/>
              <w:spacing w:after="0"/>
              <w:rPr>
                <w:sz w:val="20"/>
                <w:szCs w:val="20"/>
                <w:color w:val="auto"/>
              </w:rPr>
            </w:pPr>
            <w:r>
              <w:rPr>
                <w:rFonts w:ascii="Arial" w:cs="Arial" w:eastAsia="Arial" w:hAnsi="Arial"/>
                <w:sz w:val="16"/>
                <w:szCs w:val="16"/>
                <w:b w:val="1"/>
                <w:bCs w:val="1"/>
                <w:color w:val="FFFFFF"/>
              </w:rPr>
              <w:t>Cash Incentive</w:t>
            </w:r>
          </w:p>
        </w:tc>
        <w:tc>
          <w:tcPr>
            <w:tcW w:w="820" w:type="dxa"/>
            <w:vAlign w:val="bottom"/>
            <w:shd w:val="clear" w:color="auto" w:fill="0067B3"/>
          </w:tcPr>
          <w:p>
            <w:pPr>
              <w:spacing w:after="0"/>
              <w:rPr>
                <w:sz w:val="16"/>
                <w:szCs w:val="16"/>
                <w:color w:val="auto"/>
              </w:rPr>
            </w:pPr>
          </w:p>
        </w:tc>
      </w:tr>
      <w:tr>
        <w:trPr>
          <w:trHeight w:val="203"/>
        </w:trPr>
        <w:tc>
          <w:tcPr>
            <w:tcW w:w="4420" w:type="dxa"/>
            <w:vAlign w:val="bottom"/>
            <w:shd w:val="clear" w:color="auto" w:fill="0067B3"/>
          </w:tcPr>
          <w:p>
            <w:pPr>
              <w:spacing w:after="0"/>
              <w:rPr>
                <w:sz w:val="17"/>
                <w:szCs w:val="17"/>
                <w:color w:val="auto"/>
              </w:rPr>
            </w:pPr>
          </w:p>
        </w:tc>
        <w:tc>
          <w:tcPr>
            <w:tcW w:w="340" w:type="dxa"/>
            <w:vAlign w:val="bottom"/>
            <w:shd w:val="clear" w:color="auto" w:fill="0067B3"/>
          </w:tcPr>
          <w:p>
            <w:pPr>
              <w:spacing w:after="0"/>
              <w:rPr>
                <w:sz w:val="17"/>
                <w:szCs w:val="17"/>
                <w:color w:val="auto"/>
              </w:rPr>
            </w:pPr>
          </w:p>
        </w:tc>
        <w:tc>
          <w:tcPr>
            <w:tcW w:w="960" w:type="dxa"/>
            <w:vAlign w:val="bottom"/>
            <w:shd w:val="clear" w:color="auto" w:fill="0067B3"/>
          </w:tcPr>
          <w:p>
            <w:pPr>
              <w:jc w:val="right"/>
              <w:ind w:right="14"/>
              <w:spacing w:after="0"/>
              <w:rPr>
                <w:sz w:val="20"/>
                <w:szCs w:val="20"/>
                <w:color w:val="auto"/>
              </w:rPr>
            </w:pPr>
            <w:r>
              <w:rPr>
                <w:rFonts w:ascii="Arial" w:cs="Arial" w:eastAsia="Arial" w:hAnsi="Arial"/>
                <w:sz w:val="16"/>
                <w:szCs w:val="16"/>
                <w:b w:val="1"/>
                <w:bCs w:val="1"/>
                <w:color w:val="FFFFFF"/>
              </w:rPr>
              <w:t>Base</w:t>
            </w:r>
          </w:p>
        </w:tc>
        <w:tc>
          <w:tcPr>
            <w:tcW w:w="200" w:type="dxa"/>
            <w:vAlign w:val="bottom"/>
            <w:shd w:val="clear" w:color="auto" w:fill="0067B3"/>
          </w:tcPr>
          <w:p>
            <w:pPr>
              <w:spacing w:after="0"/>
              <w:rPr>
                <w:sz w:val="17"/>
                <w:szCs w:val="17"/>
                <w:color w:val="auto"/>
              </w:rPr>
            </w:pPr>
          </w:p>
        </w:tc>
        <w:tc>
          <w:tcPr>
            <w:tcW w:w="1000" w:type="dxa"/>
            <w:vAlign w:val="bottom"/>
            <w:shd w:val="clear" w:color="auto" w:fill="0067B3"/>
          </w:tcPr>
          <w:p>
            <w:pPr>
              <w:jc w:val="right"/>
              <w:ind w:right="54"/>
              <w:spacing w:after="0"/>
              <w:rPr>
                <w:sz w:val="20"/>
                <w:szCs w:val="20"/>
                <w:color w:val="auto"/>
              </w:rPr>
            </w:pPr>
            <w:r>
              <w:rPr>
                <w:rFonts w:ascii="Arial" w:cs="Arial" w:eastAsia="Arial" w:hAnsi="Arial"/>
                <w:sz w:val="16"/>
                <w:szCs w:val="16"/>
                <w:b w:val="1"/>
                <w:bCs w:val="1"/>
                <w:color w:val="FFFFFF"/>
              </w:rPr>
              <w:t>Base</w:t>
            </w:r>
          </w:p>
        </w:tc>
        <w:tc>
          <w:tcPr>
            <w:tcW w:w="880" w:type="dxa"/>
            <w:vAlign w:val="bottom"/>
            <w:shd w:val="clear" w:color="auto" w:fill="0067B3"/>
          </w:tcPr>
          <w:p>
            <w:pPr>
              <w:jc w:val="right"/>
              <w:spacing w:after="0"/>
              <w:rPr>
                <w:sz w:val="20"/>
                <w:szCs w:val="20"/>
                <w:color w:val="auto"/>
              </w:rPr>
            </w:pPr>
            <w:r>
              <w:rPr>
                <w:rFonts w:ascii="Arial" w:cs="Arial" w:eastAsia="Arial" w:hAnsi="Arial"/>
                <w:sz w:val="16"/>
                <w:szCs w:val="16"/>
                <w:b w:val="1"/>
                <w:bCs w:val="1"/>
                <w:color w:val="FFFFFF"/>
              </w:rPr>
              <w:t>%</w:t>
            </w:r>
          </w:p>
        </w:tc>
        <w:tc>
          <w:tcPr>
            <w:tcW w:w="1260" w:type="dxa"/>
            <w:vAlign w:val="bottom"/>
            <w:shd w:val="clear" w:color="auto" w:fill="0067B3"/>
          </w:tcPr>
          <w:p>
            <w:pPr>
              <w:jc w:val="right"/>
              <w:spacing w:after="0"/>
              <w:rPr>
                <w:sz w:val="20"/>
                <w:szCs w:val="20"/>
                <w:color w:val="auto"/>
              </w:rPr>
            </w:pPr>
            <w:r>
              <w:rPr>
                <w:rFonts w:ascii="Arial" w:cs="Arial" w:eastAsia="Arial" w:hAnsi="Arial"/>
                <w:sz w:val="16"/>
                <w:szCs w:val="16"/>
                <w:b w:val="1"/>
                <w:bCs w:val="1"/>
                <w:color w:val="FFFFFF"/>
              </w:rPr>
              <w:t>as % of</w:t>
            </w:r>
          </w:p>
        </w:tc>
        <w:tc>
          <w:tcPr>
            <w:tcW w:w="1360" w:type="dxa"/>
            <w:vAlign w:val="bottom"/>
            <w:shd w:val="clear" w:color="auto" w:fill="0067B3"/>
          </w:tcPr>
          <w:p>
            <w:pPr>
              <w:jc w:val="right"/>
              <w:ind w:right="75"/>
              <w:spacing w:after="0"/>
              <w:rPr>
                <w:sz w:val="20"/>
                <w:szCs w:val="20"/>
                <w:color w:val="auto"/>
              </w:rPr>
            </w:pPr>
            <w:r>
              <w:rPr>
                <w:rFonts w:ascii="Arial" w:cs="Arial" w:eastAsia="Arial" w:hAnsi="Arial"/>
                <w:sz w:val="16"/>
                <w:szCs w:val="16"/>
                <w:b w:val="1"/>
                <w:bCs w:val="1"/>
                <w:color w:val="FFFFFF"/>
              </w:rPr>
              <w:t>as % of</w:t>
            </w:r>
          </w:p>
        </w:tc>
        <w:tc>
          <w:tcPr>
            <w:tcW w:w="820" w:type="dxa"/>
            <w:vAlign w:val="bottom"/>
            <w:shd w:val="clear" w:color="auto" w:fill="0067B3"/>
          </w:tcPr>
          <w:p>
            <w:pPr>
              <w:jc w:val="right"/>
              <w:spacing w:after="0"/>
              <w:rPr>
                <w:sz w:val="20"/>
                <w:szCs w:val="20"/>
                <w:color w:val="auto"/>
              </w:rPr>
            </w:pPr>
            <w:r>
              <w:rPr>
                <w:rFonts w:ascii="Arial" w:cs="Arial" w:eastAsia="Arial" w:hAnsi="Arial"/>
                <w:sz w:val="16"/>
                <w:szCs w:val="16"/>
                <w:b w:val="1"/>
                <w:bCs w:val="1"/>
                <w:color w:val="FFFFFF"/>
              </w:rPr>
              <w:t>%</w:t>
            </w:r>
          </w:p>
        </w:tc>
      </w:tr>
      <w:tr>
        <w:trPr>
          <w:trHeight w:val="244"/>
        </w:trPr>
        <w:tc>
          <w:tcPr>
            <w:tcW w:w="4420" w:type="dxa"/>
            <w:vAlign w:val="bottom"/>
            <w:shd w:val="clear" w:color="auto" w:fill="0067B3"/>
          </w:tcPr>
          <w:p>
            <w:pPr>
              <w:ind w:left="20"/>
              <w:spacing w:after="0"/>
              <w:rPr>
                <w:sz w:val="20"/>
                <w:szCs w:val="20"/>
                <w:color w:val="auto"/>
              </w:rPr>
            </w:pPr>
            <w:r>
              <w:rPr>
                <w:rFonts w:ascii="Arial" w:cs="Arial" w:eastAsia="Arial" w:hAnsi="Arial"/>
                <w:sz w:val="16"/>
                <w:szCs w:val="16"/>
                <w:b w:val="1"/>
                <w:bCs w:val="1"/>
                <w:color w:val="FFFFFF"/>
              </w:rPr>
              <w:t>Name of Executive</w:t>
            </w:r>
          </w:p>
        </w:tc>
        <w:tc>
          <w:tcPr>
            <w:tcW w:w="340" w:type="dxa"/>
            <w:vAlign w:val="bottom"/>
            <w:shd w:val="clear" w:color="auto" w:fill="0067B3"/>
          </w:tcPr>
          <w:p>
            <w:pPr>
              <w:spacing w:after="0"/>
              <w:rPr>
                <w:sz w:val="21"/>
                <w:szCs w:val="21"/>
                <w:color w:val="auto"/>
              </w:rPr>
            </w:pPr>
          </w:p>
        </w:tc>
        <w:tc>
          <w:tcPr>
            <w:tcW w:w="960" w:type="dxa"/>
            <w:vAlign w:val="bottom"/>
            <w:shd w:val="clear" w:color="auto" w:fill="0067B3"/>
          </w:tcPr>
          <w:p>
            <w:pPr>
              <w:jc w:val="right"/>
              <w:ind w:right="14"/>
              <w:spacing w:after="0"/>
              <w:rPr>
                <w:sz w:val="20"/>
                <w:szCs w:val="20"/>
                <w:color w:val="auto"/>
              </w:rPr>
            </w:pPr>
            <w:r>
              <w:rPr>
                <w:rFonts w:ascii="Arial" w:cs="Arial" w:eastAsia="Arial" w:hAnsi="Arial"/>
                <w:sz w:val="16"/>
                <w:szCs w:val="16"/>
                <w:b w:val="1"/>
                <w:bCs w:val="1"/>
                <w:color w:val="FFFFFF"/>
              </w:rPr>
              <w:t>Salary</w:t>
            </w:r>
          </w:p>
        </w:tc>
        <w:tc>
          <w:tcPr>
            <w:tcW w:w="200" w:type="dxa"/>
            <w:vAlign w:val="bottom"/>
            <w:shd w:val="clear" w:color="auto" w:fill="0067B3"/>
          </w:tcPr>
          <w:p>
            <w:pPr>
              <w:spacing w:after="0"/>
              <w:rPr>
                <w:sz w:val="21"/>
                <w:szCs w:val="21"/>
                <w:color w:val="auto"/>
              </w:rPr>
            </w:pPr>
          </w:p>
        </w:tc>
        <w:tc>
          <w:tcPr>
            <w:tcW w:w="1000" w:type="dxa"/>
            <w:vAlign w:val="bottom"/>
            <w:shd w:val="clear" w:color="auto" w:fill="0067B3"/>
          </w:tcPr>
          <w:p>
            <w:pPr>
              <w:jc w:val="right"/>
              <w:ind w:right="54"/>
              <w:spacing w:after="0"/>
              <w:rPr>
                <w:sz w:val="20"/>
                <w:szCs w:val="20"/>
                <w:color w:val="auto"/>
              </w:rPr>
            </w:pPr>
            <w:r>
              <w:rPr>
                <w:rFonts w:ascii="Arial" w:cs="Arial" w:eastAsia="Arial" w:hAnsi="Arial"/>
                <w:sz w:val="16"/>
                <w:szCs w:val="16"/>
                <w:b w:val="1"/>
                <w:bCs w:val="1"/>
                <w:color w:val="FFFFFF"/>
              </w:rPr>
              <w:t>Salary</w:t>
            </w:r>
          </w:p>
        </w:tc>
        <w:tc>
          <w:tcPr>
            <w:tcW w:w="880" w:type="dxa"/>
            <w:vAlign w:val="bottom"/>
            <w:shd w:val="clear" w:color="auto" w:fill="0067B3"/>
          </w:tcPr>
          <w:p>
            <w:pPr>
              <w:jc w:val="right"/>
              <w:spacing w:after="0"/>
              <w:rPr>
                <w:sz w:val="20"/>
                <w:szCs w:val="20"/>
                <w:color w:val="auto"/>
              </w:rPr>
            </w:pPr>
            <w:r>
              <w:rPr>
                <w:rFonts w:ascii="Arial" w:cs="Arial" w:eastAsia="Arial" w:hAnsi="Arial"/>
                <w:sz w:val="16"/>
                <w:szCs w:val="16"/>
                <w:b w:val="1"/>
                <w:bCs w:val="1"/>
                <w:color w:val="FFFFFF"/>
              </w:rPr>
              <w:t>Increase</w:t>
            </w:r>
          </w:p>
        </w:tc>
        <w:tc>
          <w:tcPr>
            <w:tcW w:w="1260" w:type="dxa"/>
            <w:vAlign w:val="bottom"/>
            <w:shd w:val="clear" w:color="auto" w:fill="0067B3"/>
          </w:tcPr>
          <w:p>
            <w:pPr>
              <w:jc w:val="right"/>
              <w:spacing w:after="0"/>
              <w:rPr>
                <w:sz w:val="20"/>
                <w:szCs w:val="20"/>
                <w:color w:val="auto"/>
              </w:rPr>
            </w:pPr>
            <w:r>
              <w:rPr>
                <w:rFonts w:ascii="Arial" w:cs="Arial" w:eastAsia="Arial" w:hAnsi="Arial"/>
                <w:sz w:val="16"/>
                <w:szCs w:val="16"/>
                <w:b w:val="1"/>
                <w:bCs w:val="1"/>
                <w:color w:val="FFFFFF"/>
              </w:rPr>
              <w:t>Base Salary</w:t>
            </w:r>
          </w:p>
        </w:tc>
        <w:tc>
          <w:tcPr>
            <w:tcW w:w="1360" w:type="dxa"/>
            <w:vAlign w:val="bottom"/>
            <w:shd w:val="clear" w:color="auto" w:fill="0067B3"/>
          </w:tcPr>
          <w:p>
            <w:pPr>
              <w:jc w:val="right"/>
              <w:ind w:right="75"/>
              <w:spacing w:after="0"/>
              <w:rPr>
                <w:sz w:val="20"/>
                <w:szCs w:val="20"/>
                <w:color w:val="auto"/>
              </w:rPr>
            </w:pPr>
            <w:r>
              <w:rPr>
                <w:rFonts w:ascii="Arial" w:cs="Arial" w:eastAsia="Arial" w:hAnsi="Arial"/>
                <w:sz w:val="16"/>
                <w:szCs w:val="16"/>
                <w:b w:val="1"/>
                <w:bCs w:val="1"/>
                <w:color w:val="FFFFFF"/>
              </w:rPr>
              <w:t>Base Salary</w:t>
            </w:r>
          </w:p>
        </w:tc>
        <w:tc>
          <w:tcPr>
            <w:tcW w:w="820" w:type="dxa"/>
            <w:vAlign w:val="bottom"/>
            <w:shd w:val="clear" w:color="auto" w:fill="0067B3"/>
          </w:tcPr>
          <w:p>
            <w:pPr>
              <w:jc w:val="right"/>
              <w:spacing w:after="0"/>
              <w:rPr>
                <w:sz w:val="20"/>
                <w:szCs w:val="20"/>
                <w:color w:val="auto"/>
              </w:rPr>
            </w:pPr>
            <w:r>
              <w:rPr>
                <w:rFonts w:ascii="Arial" w:cs="Arial" w:eastAsia="Arial" w:hAnsi="Arial"/>
                <w:sz w:val="16"/>
                <w:szCs w:val="16"/>
                <w:b w:val="1"/>
                <w:bCs w:val="1"/>
                <w:color w:val="FFFFFF"/>
              </w:rPr>
              <w:t>Increase</w:t>
            </w:r>
          </w:p>
        </w:tc>
      </w:tr>
      <w:tr>
        <w:trPr>
          <w:trHeight w:val="224"/>
        </w:trPr>
        <w:tc>
          <w:tcPr>
            <w:tcW w:w="4420" w:type="dxa"/>
            <w:vAlign w:val="bottom"/>
            <w:shd w:val="clear" w:color="auto" w:fill="E2E6F4"/>
          </w:tcPr>
          <w:p>
            <w:pPr>
              <w:ind w:left="20"/>
              <w:spacing w:after="0"/>
              <w:rPr>
                <w:sz w:val="20"/>
                <w:szCs w:val="20"/>
                <w:color w:val="auto"/>
              </w:rPr>
            </w:pPr>
            <w:r>
              <w:rPr>
                <w:rFonts w:ascii="Arial" w:cs="Arial" w:eastAsia="Arial" w:hAnsi="Arial"/>
                <w:sz w:val="18"/>
                <w:szCs w:val="18"/>
                <w:b w:val="1"/>
                <w:bCs w:val="1"/>
                <w:color w:val="0067B3"/>
              </w:rPr>
              <w:t>Vincent Roche</w:t>
            </w:r>
          </w:p>
        </w:tc>
        <w:tc>
          <w:tcPr>
            <w:tcW w:w="340" w:type="dxa"/>
            <w:vAlign w:val="bottom"/>
            <w:shd w:val="clear" w:color="auto" w:fill="E2E6F4"/>
          </w:tcPr>
          <w:p>
            <w:pPr>
              <w:jc w:val="right"/>
              <w:spacing w:after="0"/>
              <w:rPr>
                <w:sz w:val="20"/>
                <w:szCs w:val="20"/>
                <w:color w:val="auto"/>
              </w:rPr>
            </w:pPr>
            <w:r>
              <w:rPr>
                <w:rFonts w:ascii="Arial" w:cs="Arial" w:eastAsia="Arial" w:hAnsi="Arial"/>
                <w:sz w:val="18"/>
                <w:szCs w:val="18"/>
                <w:color w:val="auto"/>
              </w:rPr>
              <w:t>$</w:t>
            </w:r>
          </w:p>
        </w:tc>
        <w:tc>
          <w:tcPr>
            <w:tcW w:w="960" w:type="dxa"/>
            <w:vAlign w:val="bottom"/>
            <w:shd w:val="clear" w:color="auto" w:fill="E2E6F4"/>
          </w:tcPr>
          <w:p>
            <w:pPr>
              <w:jc w:val="right"/>
              <w:ind w:right="74"/>
              <w:spacing w:after="0"/>
              <w:rPr>
                <w:sz w:val="20"/>
                <w:szCs w:val="20"/>
                <w:color w:val="auto"/>
              </w:rPr>
            </w:pPr>
            <w:r>
              <w:rPr>
                <w:rFonts w:ascii="Arial" w:cs="Arial" w:eastAsia="Arial" w:hAnsi="Arial"/>
                <w:sz w:val="18"/>
                <w:szCs w:val="18"/>
                <w:color w:val="auto"/>
                <w:w w:val="97"/>
              </w:rPr>
              <w:t>1,200,000</w:t>
            </w:r>
          </w:p>
        </w:tc>
        <w:tc>
          <w:tcPr>
            <w:tcW w:w="200" w:type="dxa"/>
            <w:vAlign w:val="bottom"/>
            <w:shd w:val="clear" w:color="auto" w:fill="E2E6F4"/>
          </w:tcPr>
          <w:p>
            <w:pPr>
              <w:jc w:val="right"/>
              <w:spacing w:after="0"/>
              <w:rPr>
                <w:sz w:val="20"/>
                <w:szCs w:val="20"/>
                <w:color w:val="auto"/>
              </w:rPr>
            </w:pPr>
            <w:r>
              <w:rPr>
                <w:rFonts w:ascii="Arial" w:cs="Arial" w:eastAsia="Arial" w:hAnsi="Arial"/>
                <w:sz w:val="18"/>
                <w:szCs w:val="18"/>
                <w:color w:val="auto"/>
              </w:rPr>
              <w:t>$</w:t>
            </w:r>
          </w:p>
        </w:tc>
        <w:tc>
          <w:tcPr>
            <w:tcW w:w="1000" w:type="dxa"/>
            <w:vAlign w:val="bottom"/>
            <w:shd w:val="clear" w:color="auto" w:fill="E2E6F4"/>
          </w:tcPr>
          <w:p>
            <w:pPr>
              <w:jc w:val="right"/>
              <w:ind w:right="114"/>
              <w:spacing w:after="0"/>
              <w:rPr>
                <w:sz w:val="20"/>
                <w:szCs w:val="20"/>
                <w:color w:val="auto"/>
              </w:rPr>
            </w:pPr>
            <w:r>
              <w:rPr>
                <w:rFonts w:ascii="Arial" w:cs="Arial" w:eastAsia="Arial" w:hAnsi="Arial"/>
                <w:sz w:val="18"/>
                <w:szCs w:val="18"/>
                <w:color w:val="auto"/>
                <w:w w:val="97"/>
              </w:rPr>
              <w:t>1,200,000</w:t>
            </w:r>
          </w:p>
        </w:tc>
        <w:tc>
          <w:tcPr>
            <w:tcW w:w="880" w:type="dxa"/>
            <w:vAlign w:val="bottom"/>
            <w:shd w:val="clear" w:color="auto" w:fill="E2E6F4"/>
          </w:tcPr>
          <w:p>
            <w:pPr>
              <w:jc w:val="right"/>
              <w:spacing w:after="0"/>
              <w:rPr>
                <w:sz w:val="20"/>
                <w:szCs w:val="20"/>
                <w:color w:val="auto"/>
              </w:rPr>
            </w:pPr>
            <w:r>
              <w:rPr>
                <w:rFonts w:ascii="Arial" w:cs="Arial" w:eastAsia="Arial" w:hAnsi="Arial"/>
                <w:sz w:val="18"/>
                <w:szCs w:val="18"/>
                <w:color w:val="auto"/>
              </w:rPr>
              <w:t>0%</w:t>
            </w:r>
          </w:p>
        </w:tc>
        <w:tc>
          <w:tcPr>
            <w:tcW w:w="1260" w:type="dxa"/>
            <w:vAlign w:val="bottom"/>
            <w:shd w:val="clear" w:color="auto" w:fill="E2E6F4"/>
          </w:tcPr>
          <w:p>
            <w:pPr>
              <w:jc w:val="right"/>
              <w:spacing w:after="0"/>
              <w:rPr>
                <w:sz w:val="20"/>
                <w:szCs w:val="20"/>
                <w:color w:val="auto"/>
              </w:rPr>
            </w:pPr>
            <w:r>
              <w:rPr>
                <w:rFonts w:ascii="Arial" w:cs="Arial" w:eastAsia="Arial" w:hAnsi="Arial"/>
                <w:sz w:val="18"/>
                <w:szCs w:val="18"/>
                <w:color w:val="auto"/>
              </w:rPr>
              <w:t>200%</w:t>
            </w:r>
          </w:p>
        </w:tc>
        <w:tc>
          <w:tcPr>
            <w:tcW w:w="1360" w:type="dxa"/>
            <w:vAlign w:val="bottom"/>
            <w:shd w:val="clear" w:color="auto" w:fill="E2E6F4"/>
          </w:tcPr>
          <w:p>
            <w:pPr>
              <w:jc w:val="right"/>
              <w:ind w:right="75"/>
              <w:spacing w:after="0"/>
              <w:rPr>
                <w:sz w:val="20"/>
                <w:szCs w:val="20"/>
                <w:color w:val="auto"/>
              </w:rPr>
            </w:pPr>
            <w:r>
              <w:rPr>
                <w:rFonts w:ascii="Arial" w:cs="Arial" w:eastAsia="Arial" w:hAnsi="Arial"/>
                <w:sz w:val="18"/>
                <w:szCs w:val="18"/>
                <w:color w:val="auto"/>
              </w:rPr>
              <w:t>200%</w:t>
            </w:r>
          </w:p>
        </w:tc>
        <w:tc>
          <w:tcPr>
            <w:tcW w:w="820" w:type="dxa"/>
            <w:vAlign w:val="bottom"/>
            <w:shd w:val="clear" w:color="auto" w:fill="E2E6F4"/>
          </w:tcPr>
          <w:p>
            <w:pPr>
              <w:jc w:val="right"/>
              <w:spacing w:after="0"/>
              <w:rPr>
                <w:sz w:val="20"/>
                <w:szCs w:val="20"/>
                <w:color w:val="auto"/>
              </w:rPr>
            </w:pPr>
            <w:r>
              <w:rPr>
                <w:rFonts w:ascii="Arial" w:cs="Arial" w:eastAsia="Arial" w:hAnsi="Arial"/>
                <w:sz w:val="18"/>
                <w:szCs w:val="18"/>
                <w:color w:val="auto"/>
              </w:rPr>
              <w:t>0%</w:t>
            </w:r>
          </w:p>
        </w:tc>
      </w:tr>
      <w:tr>
        <w:trPr>
          <w:trHeight w:val="216"/>
        </w:trPr>
        <w:tc>
          <w:tcPr>
            <w:tcW w:w="4420" w:type="dxa"/>
            <w:vAlign w:val="bottom"/>
            <w:shd w:val="clear" w:color="auto" w:fill="E2E6F4"/>
          </w:tcPr>
          <w:p>
            <w:pPr>
              <w:ind w:left="20"/>
              <w:spacing w:after="0"/>
              <w:rPr>
                <w:sz w:val="20"/>
                <w:szCs w:val="20"/>
                <w:color w:val="auto"/>
              </w:rPr>
            </w:pPr>
            <w:r>
              <w:rPr>
                <w:rFonts w:ascii="Arial" w:cs="Arial" w:eastAsia="Arial" w:hAnsi="Arial"/>
                <w:sz w:val="18"/>
                <w:szCs w:val="18"/>
                <w:color w:val="auto"/>
              </w:rPr>
              <w:t>Chief Executive Officer and</w:t>
            </w:r>
          </w:p>
        </w:tc>
        <w:tc>
          <w:tcPr>
            <w:tcW w:w="340" w:type="dxa"/>
            <w:vAlign w:val="bottom"/>
            <w:shd w:val="clear" w:color="auto" w:fill="E2E6F4"/>
          </w:tcPr>
          <w:p>
            <w:pPr>
              <w:spacing w:after="0"/>
              <w:rPr>
                <w:sz w:val="18"/>
                <w:szCs w:val="18"/>
                <w:color w:val="auto"/>
              </w:rPr>
            </w:pPr>
          </w:p>
        </w:tc>
        <w:tc>
          <w:tcPr>
            <w:tcW w:w="960" w:type="dxa"/>
            <w:vAlign w:val="bottom"/>
            <w:shd w:val="clear" w:color="auto" w:fill="E2E6F4"/>
          </w:tcPr>
          <w:p>
            <w:pPr>
              <w:spacing w:after="0"/>
              <w:rPr>
                <w:sz w:val="18"/>
                <w:szCs w:val="18"/>
                <w:color w:val="auto"/>
              </w:rPr>
            </w:pPr>
          </w:p>
        </w:tc>
        <w:tc>
          <w:tcPr>
            <w:tcW w:w="200" w:type="dxa"/>
            <w:vAlign w:val="bottom"/>
            <w:shd w:val="clear" w:color="auto" w:fill="E2E6F4"/>
          </w:tcPr>
          <w:p>
            <w:pPr>
              <w:spacing w:after="0"/>
              <w:rPr>
                <w:sz w:val="18"/>
                <w:szCs w:val="18"/>
                <w:color w:val="auto"/>
              </w:rPr>
            </w:pPr>
          </w:p>
        </w:tc>
        <w:tc>
          <w:tcPr>
            <w:tcW w:w="1000" w:type="dxa"/>
            <w:vAlign w:val="bottom"/>
            <w:shd w:val="clear" w:color="auto" w:fill="E2E6F4"/>
          </w:tcPr>
          <w:p>
            <w:pPr>
              <w:spacing w:after="0"/>
              <w:rPr>
                <w:sz w:val="18"/>
                <w:szCs w:val="18"/>
                <w:color w:val="auto"/>
              </w:rPr>
            </w:pPr>
          </w:p>
        </w:tc>
        <w:tc>
          <w:tcPr>
            <w:tcW w:w="880" w:type="dxa"/>
            <w:vAlign w:val="bottom"/>
            <w:shd w:val="clear" w:color="auto" w:fill="E2E6F4"/>
          </w:tcPr>
          <w:p>
            <w:pPr>
              <w:spacing w:after="0"/>
              <w:rPr>
                <w:sz w:val="18"/>
                <w:szCs w:val="18"/>
                <w:color w:val="auto"/>
              </w:rPr>
            </w:pPr>
          </w:p>
        </w:tc>
        <w:tc>
          <w:tcPr>
            <w:tcW w:w="1260" w:type="dxa"/>
            <w:vAlign w:val="bottom"/>
            <w:shd w:val="clear" w:color="auto" w:fill="E2E6F4"/>
          </w:tcPr>
          <w:p>
            <w:pPr>
              <w:spacing w:after="0"/>
              <w:rPr>
                <w:sz w:val="18"/>
                <w:szCs w:val="18"/>
                <w:color w:val="auto"/>
              </w:rPr>
            </w:pPr>
          </w:p>
        </w:tc>
        <w:tc>
          <w:tcPr>
            <w:tcW w:w="1360" w:type="dxa"/>
            <w:vAlign w:val="bottom"/>
            <w:shd w:val="clear" w:color="auto" w:fill="E2E6F4"/>
          </w:tcPr>
          <w:p>
            <w:pPr>
              <w:spacing w:after="0"/>
              <w:rPr>
                <w:sz w:val="18"/>
                <w:szCs w:val="18"/>
                <w:color w:val="auto"/>
              </w:rPr>
            </w:pPr>
          </w:p>
        </w:tc>
        <w:tc>
          <w:tcPr>
            <w:tcW w:w="820" w:type="dxa"/>
            <w:vAlign w:val="bottom"/>
            <w:shd w:val="clear" w:color="auto" w:fill="E2E6F4"/>
          </w:tcPr>
          <w:p>
            <w:pPr>
              <w:spacing w:after="0"/>
              <w:rPr>
                <w:sz w:val="18"/>
                <w:szCs w:val="18"/>
                <w:color w:val="auto"/>
              </w:rPr>
            </w:pPr>
          </w:p>
        </w:tc>
      </w:tr>
      <w:tr>
        <w:trPr>
          <w:trHeight w:val="242"/>
        </w:trPr>
        <w:tc>
          <w:tcPr>
            <w:tcW w:w="4420" w:type="dxa"/>
            <w:vAlign w:val="bottom"/>
            <w:tcBorders>
              <w:bottom w:val="single" w:sz="8" w:color="E2E6F4"/>
            </w:tcBorders>
            <w:shd w:val="clear" w:color="auto" w:fill="E2E6F4"/>
          </w:tcPr>
          <w:p>
            <w:pPr>
              <w:ind w:left="20"/>
              <w:spacing w:after="0"/>
              <w:rPr>
                <w:sz w:val="20"/>
                <w:szCs w:val="20"/>
                <w:color w:val="auto"/>
              </w:rPr>
            </w:pPr>
            <w:r>
              <w:rPr>
                <w:rFonts w:ascii="Arial" w:cs="Arial" w:eastAsia="Arial" w:hAnsi="Arial"/>
                <w:sz w:val="18"/>
                <w:szCs w:val="18"/>
                <w:color w:val="auto"/>
              </w:rPr>
              <w:t>Chair of the Board of Directors</w:t>
            </w:r>
          </w:p>
        </w:tc>
        <w:tc>
          <w:tcPr>
            <w:tcW w:w="340" w:type="dxa"/>
            <w:vAlign w:val="bottom"/>
            <w:tcBorders>
              <w:bottom w:val="single" w:sz="8" w:color="E2E6F4"/>
            </w:tcBorders>
            <w:shd w:val="clear" w:color="auto" w:fill="E2E6F4"/>
          </w:tcPr>
          <w:p>
            <w:pPr>
              <w:spacing w:after="0"/>
              <w:rPr>
                <w:sz w:val="21"/>
                <w:szCs w:val="21"/>
                <w:color w:val="auto"/>
              </w:rPr>
            </w:pPr>
          </w:p>
        </w:tc>
        <w:tc>
          <w:tcPr>
            <w:tcW w:w="960" w:type="dxa"/>
            <w:vAlign w:val="bottom"/>
            <w:tcBorders>
              <w:bottom w:val="single" w:sz="8" w:color="E2E6F4"/>
            </w:tcBorders>
            <w:shd w:val="clear" w:color="auto" w:fill="E2E6F4"/>
          </w:tcPr>
          <w:p>
            <w:pPr>
              <w:spacing w:after="0"/>
              <w:rPr>
                <w:sz w:val="21"/>
                <w:szCs w:val="21"/>
                <w:color w:val="auto"/>
              </w:rPr>
            </w:pPr>
          </w:p>
        </w:tc>
        <w:tc>
          <w:tcPr>
            <w:tcW w:w="200" w:type="dxa"/>
            <w:vAlign w:val="bottom"/>
            <w:tcBorders>
              <w:bottom w:val="single" w:sz="8" w:color="E2E6F4"/>
            </w:tcBorders>
            <w:shd w:val="clear" w:color="auto" w:fill="E2E6F4"/>
          </w:tcPr>
          <w:p>
            <w:pPr>
              <w:spacing w:after="0"/>
              <w:rPr>
                <w:sz w:val="21"/>
                <w:szCs w:val="21"/>
                <w:color w:val="auto"/>
              </w:rPr>
            </w:pPr>
          </w:p>
        </w:tc>
        <w:tc>
          <w:tcPr>
            <w:tcW w:w="1000" w:type="dxa"/>
            <w:vAlign w:val="bottom"/>
            <w:tcBorders>
              <w:bottom w:val="single" w:sz="8" w:color="E2E6F4"/>
            </w:tcBorders>
            <w:shd w:val="clear" w:color="auto" w:fill="E2E6F4"/>
          </w:tcPr>
          <w:p>
            <w:pPr>
              <w:spacing w:after="0"/>
              <w:rPr>
                <w:sz w:val="21"/>
                <w:szCs w:val="21"/>
                <w:color w:val="auto"/>
              </w:rPr>
            </w:pPr>
          </w:p>
        </w:tc>
        <w:tc>
          <w:tcPr>
            <w:tcW w:w="880" w:type="dxa"/>
            <w:vAlign w:val="bottom"/>
            <w:tcBorders>
              <w:bottom w:val="single" w:sz="8" w:color="E2E6F4"/>
            </w:tcBorders>
            <w:shd w:val="clear" w:color="auto" w:fill="E2E6F4"/>
          </w:tcPr>
          <w:p>
            <w:pPr>
              <w:spacing w:after="0"/>
              <w:rPr>
                <w:sz w:val="21"/>
                <w:szCs w:val="21"/>
                <w:color w:val="auto"/>
              </w:rPr>
            </w:pPr>
          </w:p>
        </w:tc>
        <w:tc>
          <w:tcPr>
            <w:tcW w:w="1260" w:type="dxa"/>
            <w:vAlign w:val="bottom"/>
            <w:tcBorders>
              <w:bottom w:val="single" w:sz="8" w:color="E2E6F4"/>
            </w:tcBorders>
            <w:shd w:val="clear" w:color="auto" w:fill="E2E6F4"/>
          </w:tcPr>
          <w:p>
            <w:pPr>
              <w:spacing w:after="0"/>
              <w:rPr>
                <w:sz w:val="21"/>
                <w:szCs w:val="21"/>
                <w:color w:val="auto"/>
              </w:rPr>
            </w:pPr>
          </w:p>
        </w:tc>
        <w:tc>
          <w:tcPr>
            <w:tcW w:w="1360" w:type="dxa"/>
            <w:vAlign w:val="bottom"/>
            <w:tcBorders>
              <w:bottom w:val="single" w:sz="8" w:color="E2E6F4"/>
            </w:tcBorders>
            <w:shd w:val="clear" w:color="auto" w:fill="E2E6F4"/>
          </w:tcPr>
          <w:p>
            <w:pPr>
              <w:spacing w:after="0"/>
              <w:rPr>
                <w:sz w:val="21"/>
                <w:szCs w:val="21"/>
                <w:color w:val="auto"/>
              </w:rPr>
            </w:pPr>
          </w:p>
        </w:tc>
        <w:tc>
          <w:tcPr>
            <w:tcW w:w="820" w:type="dxa"/>
            <w:vAlign w:val="bottom"/>
            <w:tcBorders>
              <w:bottom w:val="single" w:sz="8" w:color="E2E6F4"/>
            </w:tcBorders>
            <w:shd w:val="clear" w:color="auto" w:fill="E2E6F4"/>
          </w:tcPr>
          <w:p>
            <w:pPr>
              <w:spacing w:after="0"/>
              <w:rPr>
                <w:sz w:val="21"/>
                <w:szCs w:val="21"/>
                <w:color w:val="auto"/>
              </w:rPr>
            </w:pPr>
          </w:p>
        </w:tc>
      </w:tr>
      <w:tr>
        <w:trPr>
          <w:trHeight w:val="224"/>
        </w:trPr>
        <w:tc>
          <w:tcPr>
            <w:tcW w:w="4420" w:type="dxa"/>
            <w:vAlign w:val="bottom"/>
          </w:tcPr>
          <w:p>
            <w:pPr>
              <w:ind w:left="20"/>
              <w:spacing w:after="0"/>
              <w:rPr>
                <w:sz w:val="20"/>
                <w:szCs w:val="20"/>
                <w:color w:val="auto"/>
              </w:rPr>
            </w:pPr>
            <w:r>
              <w:rPr>
                <w:rFonts w:ascii="Arial" w:cs="Arial" w:eastAsia="Arial" w:hAnsi="Arial"/>
                <w:sz w:val="18"/>
                <w:szCs w:val="18"/>
                <w:b w:val="1"/>
                <w:bCs w:val="1"/>
                <w:color w:val="0067B3"/>
              </w:rPr>
              <w:t>Richard C. Puccio, Jr.</w:t>
            </w:r>
          </w:p>
        </w:tc>
        <w:tc>
          <w:tcPr>
            <w:tcW w:w="340" w:type="dxa"/>
            <w:vAlign w:val="bottom"/>
          </w:tcPr>
          <w:p>
            <w:pPr>
              <w:jc w:val="right"/>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74"/>
              <w:spacing w:after="0"/>
              <w:rPr>
                <w:sz w:val="20"/>
                <w:szCs w:val="20"/>
                <w:color w:val="auto"/>
              </w:rPr>
            </w:pPr>
            <w:r>
              <w:rPr>
                <w:rFonts w:ascii="Arial" w:cs="Arial" w:eastAsia="Arial" w:hAnsi="Arial"/>
                <w:sz w:val="18"/>
                <w:szCs w:val="18"/>
                <w:color w:val="auto"/>
              </w:rPr>
              <w:t>670,000</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114"/>
              <w:spacing w:after="0"/>
              <w:rPr>
                <w:sz w:val="20"/>
                <w:szCs w:val="20"/>
                <w:color w:val="auto"/>
              </w:rPr>
            </w:pPr>
            <w:r>
              <w:rPr>
                <w:rFonts w:ascii="Arial" w:cs="Arial" w:eastAsia="Arial" w:hAnsi="Arial"/>
                <w:sz w:val="18"/>
                <w:szCs w:val="18"/>
                <w:color w:val="auto"/>
              </w:rPr>
              <w:t>700,000</w:t>
            </w:r>
          </w:p>
        </w:tc>
        <w:tc>
          <w:tcPr>
            <w:tcW w:w="880" w:type="dxa"/>
            <w:vAlign w:val="bottom"/>
          </w:tcPr>
          <w:p>
            <w:pPr>
              <w:jc w:val="right"/>
              <w:spacing w:after="0"/>
              <w:rPr>
                <w:sz w:val="20"/>
                <w:szCs w:val="20"/>
                <w:color w:val="auto"/>
              </w:rPr>
            </w:pPr>
            <w:r>
              <w:rPr>
                <w:rFonts w:ascii="Arial" w:cs="Arial" w:eastAsia="Arial" w:hAnsi="Arial"/>
                <w:sz w:val="18"/>
                <w:szCs w:val="18"/>
                <w:color w:val="auto"/>
              </w:rPr>
              <w:t>4%</w:t>
            </w:r>
          </w:p>
        </w:tc>
        <w:tc>
          <w:tcPr>
            <w:tcW w:w="1260" w:type="dxa"/>
            <w:vAlign w:val="bottom"/>
          </w:tcPr>
          <w:p>
            <w:pPr>
              <w:jc w:val="right"/>
              <w:spacing w:after="0"/>
              <w:rPr>
                <w:sz w:val="20"/>
                <w:szCs w:val="20"/>
                <w:color w:val="auto"/>
              </w:rPr>
            </w:pPr>
            <w:r>
              <w:rPr>
                <w:rFonts w:ascii="Arial" w:cs="Arial" w:eastAsia="Arial" w:hAnsi="Arial"/>
                <w:sz w:val="18"/>
                <w:szCs w:val="18"/>
                <w:color w:val="auto"/>
              </w:rPr>
              <w:t>125%</w:t>
            </w:r>
          </w:p>
        </w:tc>
        <w:tc>
          <w:tcPr>
            <w:tcW w:w="1360" w:type="dxa"/>
            <w:vAlign w:val="bottom"/>
          </w:tcPr>
          <w:p>
            <w:pPr>
              <w:jc w:val="right"/>
              <w:ind w:right="75"/>
              <w:spacing w:after="0"/>
              <w:rPr>
                <w:sz w:val="20"/>
                <w:szCs w:val="20"/>
                <w:color w:val="auto"/>
              </w:rPr>
            </w:pPr>
            <w:r>
              <w:rPr>
                <w:rFonts w:ascii="Arial" w:cs="Arial" w:eastAsia="Arial" w:hAnsi="Arial"/>
                <w:sz w:val="18"/>
                <w:szCs w:val="18"/>
                <w:color w:val="auto"/>
              </w:rPr>
              <w:t>125%</w:t>
            </w:r>
          </w:p>
        </w:tc>
        <w:tc>
          <w:tcPr>
            <w:tcW w:w="820" w:type="dxa"/>
            <w:vAlign w:val="bottom"/>
          </w:tcPr>
          <w:p>
            <w:pPr>
              <w:jc w:val="right"/>
              <w:spacing w:after="0"/>
              <w:rPr>
                <w:sz w:val="20"/>
                <w:szCs w:val="20"/>
                <w:color w:val="auto"/>
              </w:rPr>
            </w:pPr>
            <w:r>
              <w:rPr>
                <w:rFonts w:ascii="Arial" w:cs="Arial" w:eastAsia="Arial" w:hAnsi="Arial"/>
                <w:sz w:val="18"/>
                <w:szCs w:val="18"/>
                <w:color w:val="auto"/>
              </w:rPr>
              <w:t>0%</w:t>
            </w:r>
          </w:p>
        </w:tc>
      </w:tr>
      <w:tr>
        <w:trPr>
          <w:trHeight w:val="239"/>
        </w:trPr>
        <w:tc>
          <w:tcPr>
            <w:tcW w:w="4420" w:type="dxa"/>
            <w:vAlign w:val="bottom"/>
          </w:tcPr>
          <w:p>
            <w:pPr>
              <w:ind w:left="20"/>
              <w:spacing w:after="0"/>
              <w:rPr>
                <w:sz w:val="20"/>
                <w:szCs w:val="20"/>
                <w:color w:val="auto"/>
              </w:rPr>
            </w:pPr>
            <w:r>
              <w:rPr>
                <w:rFonts w:ascii="Arial" w:cs="Arial" w:eastAsia="Arial" w:hAnsi="Arial"/>
                <w:sz w:val="18"/>
                <w:szCs w:val="18"/>
                <w:color w:val="auto"/>
              </w:rPr>
              <w:t>Executive Vice President and Chief Financial Officer</w:t>
            </w:r>
          </w:p>
        </w:tc>
        <w:tc>
          <w:tcPr>
            <w:tcW w:w="3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820" w:type="dxa"/>
            <w:vAlign w:val="bottom"/>
          </w:tcPr>
          <w:p>
            <w:pPr>
              <w:spacing w:after="0"/>
              <w:rPr>
                <w:sz w:val="20"/>
                <w:szCs w:val="20"/>
                <w:color w:val="auto"/>
              </w:rPr>
            </w:pPr>
          </w:p>
        </w:tc>
      </w:tr>
      <w:tr>
        <w:trPr>
          <w:trHeight w:val="23"/>
        </w:trPr>
        <w:tc>
          <w:tcPr>
            <w:tcW w:w="4420" w:type="dxa"/>
            <w:vAlign w:val="bottom"/>
          </w:tcPr>
          <w:p>
            <w:pPr>
              <w:spacing w:after="0"/>
              <w:rPr>
                <w:sz w:val="2"/>
                <w:szCs w:val="2"/>
                <w:color w:val="auto"/>
              </w:rPr>
            </w:pPr>
          </w:p>
        </w:tc>
        <w:tc>
          <w:tcPr>
            <w:tcW w:w="340" w:type="dxa"/>
            <w:vAlign w:val="bottom"/>
          </w:tcPr>
          <w:p>
            <w:pPr>
              <w:spacing w:after="0"/>
              <w:rPr>
                <w:sz w:val="2"/>
                <w:szCs w:val="2"/>
                <w:color w:val="auto"/>
              </w:rPr>
            </w:pPr>
          </w:p>
        </w:tc>
        <w:tc>
          <w:tcPr>
            <w:tcW w:w="9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24"/>
        </w:trPr>
        <w:tc>
          <w:tcPr>
            <w:tcW w:w="4420" w:type="dxa"/>
            <w:vAlign w:val="bottom"/>
            <w:shd w:val="clear" w:color="auto" w:fill="E2E6F4"/>
          </w:tcPr>
          <w:p>
            <w:pPr>
              <w:ind w:left="20"/>
              <w:spacing w:after="0" w:line="224" w:lineRule="exact"/>
              <w:rPr>
                <w:sz w:val="20"/>
                <w:szCs w:val="20"/>
                <w:color w:val="auto"/>
              </w:rPr>
            </w:pPr>
            <w:r>
              <w:rPr>
                <w:rFonts w:ascii="Arial" w:cs="Arial" w:eastAsia="Arial" w:hAnsi="Arial"/>
                <w:sz w:val="18"/>
                <w:szCs w:val="18"/>
                <w:b w:val="1"/>
                <w:bCs w:val="1"/>
                <w:color w:val="0067B3"/>
              </w:rPr>
              <w:t>Martin Cotter</w:t>
            </w:r>
            <w:r>
              <w:rPr>
                <w:rFonts w:ascii="Arial" w:cs="Arial" w:eastAsia="Arial" w:hAnsi="Arial"/>
                <w:sz w:val="23"/>
                <w:szCs w:val="23"/>
                <w:b w:val="1"/>
                <w:bCs w:val="1"/>
                <w:color w:val="0067B3"/>
                <w:vertAlign w:val="superscript"/>
              </w:rPr>
              <w:t>(1)</w:t>
            </w:r>
          </w:p>
        </w:tc>
        <w:tc>
          <w:tcPr>
            <w:tcW w:w="340" w:type="dxa"/>
            <w:vAlign w:val="bottom"/>
            <w:shd w:val="clear" w:color="auto" w:fill="E2E6F4"/>
          </w:tcPr>
          <w:p>
            <w:pPr>
              <w:spacing w:after="0"/>
              <w:rPr>
                <w:sz w:val="19"/>
                <w:szCs w:val="19"/>
                <w:color w:val="auto"/>
              </w:rPr>
            </w:pPr>
          </w:p>
        </w:tc>
        <w:tc>
          <w:tcPr>
            <w:tcW w:w="960" w:type="dxa"/>
            <w:vAlign w:val="bottom"/>
            <w:shd w:val="clear" w:color="auto" w:fill="E2E6F4"/>
          </w:tcPr>
          <w:p>
            <w:pPr>
              <w:jc w:val="right"/>
              <w:ind w:right="14"/>
              <w:spacing w:after="0"/>
              <w:rPr>
                <w:sz w:val="20"/>
                <w:szCs w:val="20"/>
                <w:color w:val="auto"/>
              </w:rPr>
            </w:pPr>
            <w:r>
              <w:rPr>
                <w:rFonts w:ascii="Arial" w:cs="Arial" w:eastAsia="Arial" w:hAnsi="Arial"/>
                <w:sz w:val="18"/>
                <w:szCs w:val="18"/>
                <w:color w:val="auto"/>
              </w:rPr>
              <w:t>N/A</w:t>
            </w:r>
          </w:p>
        </w:tc>
        <w:tc>
          <w:tcPr>
            <w:tcW w:w="200" w:type="dxa"/>
            <w:vAlign w:val="bottom"/>
            <w:shd w:val="clear" w:color="auto" w:fill="E2E6F4"/>
          </w:tcPr>
          <w:p>
            <w:pPr>
              <w:jc w:val="right"/>
              <w:spacing w:after="0"/>
              <w:rPr>
                <w:sz w:val="20"/>
                <w:szCs w:val="20"/>
                <w:color w:val="auto"/>
              </w:rPr>
            </w:pPr>
            <w:r>
              <w:rPr>
                <w:rFonts w:ascii="Arial" w:cs="Arial" w:eastAsia="Arial" w:hAnsi="Arial"/>
                <w:sz w:val="18"/>
                <w:szCs w:val="18"/>
                <w:color w:val="auto"/>
              </w:rPr>
              <w:t>$</w:t>
            </w:r>
          </w:p>
        </w:tc>
        <w:tc>
          <w:tcPr>
            <w:tcW w:w="1000" w:type="dxa"/>
            <w:vAlign w:val="bottom"/>
            <w:shd w:val="clear" w:color="auto" w:fill="E2E6F4"/>
          </w:tcPr>
          <w:p>
            <w:pPr>
              <w:jc w:val="right"/>
              <w:ind w:right="114"/>
              <w:spacing w:after="0"/>
              <w:rPr>
                <w:sz w:val="20"/>
                <w:szCs w:val="20"/>
                <w:color w:val="auto"/>
              </w:rPr>
            </w:pPr>
            <w:r>
              <w:rPr>
                <w:rFonts w:ascii="Arial" w:cs="Arial" w:eastAsia="Arial" w:hAnsi="Arial"/>
                <w:sz w:val="18"/>
                <w:szCs w:val="18"/>
                <w:color w:val="auto"/>
              </w:rPr>
              <w:t>600,000</w:t>
            </w:r>
          </w:p>
        </w:tc>
        <w:tc>
          <w:tcPr>
            <w:tcW w:w="880" w:type="dxa"/>
            <w:vAlign w:val="bottom"/>
            <w:shd w:val="clear" w:color="auto" w:fill="E2E6F4"/>
          </w:tcPr>
          <w:p>
            <w:pPr>
              <w:jc w:val="right"/>
              <w:spacing w:after="0"/>
              <w:rPr>
                <w:sz w:val="20"/>
                <w:szCs w:val="20"/>
                <w:color w:val="auto"/>
              </w:rPr>
            </w:pPr>
            <w:r>
              <w:rPr>
                <w:rFonts w:ascii="Arial" w:cs="Arial" w:eastAsia="Arial" w:hAnsi="Arial"/>
                <w:sz w:val="18"/>
                <w:szCs w:val="18"/>
                <w:color w:val="auto"/>
              </w:rPr>
              <w:t>N/A</w:t>
            </w:r>
          </w:p>
        </w:tc>
        <w:tc>
          <w:tcPr>
            <w:tcW w:w="1260" w:type="dxa"/>
            <w:vAlign w:val="bottom"/>
            <w:shd w:val="clear" w:color="auto" w:fill="E2E6F4"/>
          </w:tcPr>
          <w:p>
            <w:pPr>
              <w:jc w:val="right"/>
              <w:spacing w:after="0"/>
              <w:rPr>
                <w:sz w:val="20"/>
                <w:szCs w:val="20"/>
                <w:color w:val="auto"/>
              </w:rPr>
            </w:pPr>
            <w:r>
              <w:rPr>
                <w:rFonts w:ascii="Arial" w:cs="Arial" w:eastAsia="Arial" w:hAnsi="Arial"/>
                <w:sz w:val="18"/>
                <w:szCs w:val="18"/>
                <w:color w:val="auto"/>
              </w:rPr>
              <w:t>N/A</w:t>
            </w:r>
          </w:p>
        </w:tc>
        <w:tc>
          <w:tcPr>
            <w:tcW w:w="1360" w:type="dxa"/>
            <w:vAlign w:val="bottom"/>
            <w:shd w:val="clear" w:color="auto" w:fill="E2E6F4"/>
          </w:tcPr>
          <w:p>
            <w:pPr>
              <w:jc w:val="right"/>
              <w:ind w:right="75"/>
              <w:spacing w:after="0"/>
              <w:rPr>
                <w:sz w:val="20"/>
                <w:szCs w:val="20"/>
                <w:color w:val="auto"/>
              </w:rPr>
            </w:pPr>
            <w:r>
              <w:rPr>
                <w:rFonts w:ascii="Arial" w:cs="Arial" w:eastAsia="Arial" w:hAnsi="Arial"/>
                <w:sz w:val="18"/>
                <w:szCs w:val="18"/>
                <w:color w:val="auto"/>
              </w:rPr>
              <w:t>100%</w:t>
            </w:r>
          </w:p>
        </w:tc>
        <w:tc>
          <w:tcPr>
            <w:tcW w:w="820" w:type="dxa"/>
            <w:vAlign w:val="bottom"/>
            <w:shd w:val="clear" w:color="auto" w:fill="E2E6F4"/>
          </w:tcPr>
          <w:p>
            <w:pPr>
              <w:jc w:val="right"/>
              <w:spacing w:after="0"/>
              <w:rPr>
                <w:sz w:val="20"/>
                <w:szCs w:val="20"/>
                <w:color w:val="auto"/>
              </w:rPr>
            </w:pPr>
            <w:r>
              <w:rPr>
                <w:rFonts w:ascii="Arial" w:cs="Arial" w:eastAsia="Arial" w:hAnsi="Arial"/>
                <w:sz w:val="18"/>
                <w:szCs w:val="18"/>
                <w:color w:val="auto"/>
              </w:rPr>
              <w:t>N/A</w:t>
            </w:r>
          </w:p>
        </w:tc>
      </w:tr>
      <w:tr>
        <w:trPr>
          <w:trHeight w:val="242"/>
        </w:trPr>
        <w:tc>
          <w:tcPr>
            <w:tcW w:w="4420" w:type="dxa"/>
            <w:vAlign w:val="bottom"/>
            <w:tcBorders>
              <w:bottom w:val="single" w:sz="8" w:color="E2E6F4"/>
            </w:tcBorders>
            <w:shd w:val="clear" w:color="auto" w:fill="E2E6F4"/>
          </w:tcPr>
          <w:p>
            <w:pPr>
              <w:ind w:left="20"/>
              <w:spacing w:after="0"/>
              <w:rPr>
                <w:sz w:val="20"/>
                <w:szCs w:val="20"/>
                <w:color w:val="auto"/>
              </w:rPr>
            </w:pPr>
            <w:r>
              <w:rPr>
                <w:rFonts w:ascii="Arial" w:cs="Arial" w:eastAsia="Arial" w:hAnsi="Arial"/>
                <w:sz w:val="18"/>
                <w:szCs w:val="18"/>
                <w:color w:val="auto"/>
              </w:rPr>
              <w:t>Senior Vice President, Vertical Business Units</w:t>
            </w:r>
          </w:p>
        </w:tc>
        <w:tc>
          <w:tcPr>
            <w:tcW w:w="340" w:type="dxa"/>
            <w:vAlign w:val="bottom"/>
            <w:tcBorders>
              <w:bottom w:val="single" w:sz="8" w:color="E2E6F4"/>
            </w:tcBorders>
            <w:shd w:val="clear" w:color="auto" w:fill="E2E6F4"/>
          </w:tcPr>
          <w:p>
            <w:pPr>
              <w:spacing w:after="0"/>
              <w:rPr>
                <w:sz w:val="21"/>
                <w:szCs w:val="21"/>
                <w:color w:val="auto"/>
              </w:rPr>
            </w:pPr>
          </w:p>
        </w:tc>
        <w:tc>
          <w:tcPr>
            <w:tcW w:w="960" w:type="dxa"/>
            <w:vAlign w:val="bottom"/>
            <w:tcBorders>
              <w:bottom w:val="single" w:sz="8" w:color="E2E6F4"/>
            </w:tcBorders>
            <w:shd w:val="clear" w:color="auto" w:fill="E2E6F4"/>
          </w:tcPr>
          <w:p>
            <w:pPr>
              <w:spacing w:after="0"/>
              <w:rPr>
                <w:sz w:val="21"/>
                <w:szCs w:val="21"/>
                <w:color w:val="auto"/>
              </w:rPr>
            </w:pPr>
          </w:p>
        </w:tc>
        <w:tc>
          <w:tcPr>
            <w:tcW w:w="200" w:type="dxa"/>
            <w:vAlign w:val="bottom"/>
            <w:tcBorders>
              <w:bottom w:val="single" w:sz="8" w:color="E2E6F4"/>
            </w:tcBorders>
            <w:shd w:val="clear" w:color="auto" w:fill="E2E6F4"/>
          </w:tcPr>
          <w:p>
            <w:pPr>
              <w:spacing w:after="0"/>
              <w:rPr>
                <w:sz w:val="21"/>
                <w:szCs w:val="21"/>
                <w:color w:val="auto"/>
              </w:rPr>
            </w:pPr>
          </w:p>
        </w:tc>
        <w:tc>
          <w:tcPr>
            <w:tcW w:w="1000" w:type="dxa"/>
            <w:vAlign w:val="bottom"/>
            <w:tcBorders>
              <w:bottom w:val="single" w:sz="8" w:color="E2E6F4"/>
            </w:tcBorders>
            <w:shd w:val="clear" w:color="auto" w:fill="E2E6F4"/>
          </w:tcPr>
          <w:p>
            <w:pPr>
              <w:spacing w:after="0"/>
              <w:rPr>
                <w:sz w:val="21"/>
                <w:szCs w:val="21"/>
                <w:color w:val="auto"/>
              </w:rPr>
            </w:pPr>
          </w:p>
        </w:tc>
        <w:tc>
          <w:tcPr>
            <w:tcW w:w="880" w:type="dxa"/>
            <w:vAlign w:val="bottom"/>
            <w:tcBorders>
              <w:bottom w:val="single" w:sz="8" w:color="E2E6F4"/>
            </w:tcBorders>
            <w:shd w:val="clear" w:color="auto" w:fill="E2E6F4"/>
          </w:tcPr>
          <w:p>
            <w:pPr>
              <w:spacing w:after="0"/>
              <w:rPr>
                <w:sz w:val="21"/>
                <w:szCs w:val="21"/>
                <w:color w:val="auto"/>
              </w:rPr>
            </w:pPr>
          </w:p>
        </w:tc>
        <w:tc>
          <w:tcPr>
            <w:tcW w:w="1260" w:type="dxa"/>
            <w:vAlign w:val="bottom"/>
            <w:tcBorders>
              <w:bottom w:val="single" w:sz="8" w:color="E2E6F4"/>
            </w:tcBorders>
            <w:shd w:val="clear" w:color="auto" w:fill="E2E6F4"/>
          </w:tcPr>
          <w:p>
            <w:pPr>
              <w:spacing w:after="0"/>
              <w:rPr>
                <w:sz w:val="21"/>
                <w:szCs w:val="21"/>
                <w:color w:val="auto"/>
              </w:rPr>
            </w:pPr>
          </w:p>
        </w:tc>
        <w:tc>
          <w:tcPr>
            <w:tcW w:w="1360" w:type="dxa"/>
            <w:vAlign w:val="bottom"/>
            <w:tcBorders>
              <w:bottom w:val="single" w:sz="8" w:color="E2E6F4"/>
            </w:tcBorders>
            <w:shd w:val="clear" w:color="auto" w:fill="E2E6F4"/>
          </w:tcPr>
          <w:p>
            <w:pPr>
              <w:spacing w:after="0"/>
              <w:rPr>
                <w:sz w:val="21"/>
                <w:szCs w:val="21"/>
                <w:color w:val="auto"/>
              </w:rPr>
            </w:pPr>
          </w:p>
        </w:tc>
        <w:tc>
          <w:tcPr>
            <w:tcW w:w="820" w:type="dxa"/>
            <w:vAlign w:val="bottom"/>
            <w:tcBorders>
              <w:bottom w:val="single" w:sz="8" w:color="E2E6F4"/>
            </w:tcBorders>
            <w:shd w:val="clear" w:color="auto" w:fill="E2E6F4"/>
          </w:tcPr>
          <w:p>
            <w:pPr>
              <w:spacing w:after="0"/>
              <w:rPr>
                <w:sz w:val="21"/>
                <w:szCs w:val="21"/>
                <w:color w:val="auto"/>
              </w:rPr>
            </w:pPr>
          </w:p>
        </w:tc>
      </w:tr>
      <w:tr>
        <w:trPr>
          <w:trHeight w:val="224"/>
        </w:trPr>
        <w:tc>
          <w:tcPr>
            <w:tcW w:w="4420" w:type="dxa"/>
            <w:vAlign w:val="bottom"/>
          </w:tcPr>
          <w:p>
            <w:pPr>
              <w:ind w:left="20"/>
              <w:spacing w:after="0"/>
              <w:rPr>
                <w:sz w:val="20"/>
                <w:szCs w:val="20"/>
                <w:color w:val="auto"/>
              </w:rPr>
            </w:pPr>
            <w:r>
              <w:rPr>
                <w:rFonts w:ascii="Arial" w:cs="Arial" w:eastAsia="Arial" w:hAnsi="Arial"/>
                <w:sz w:val="18"/>
                <w:szCs w:val="18"/>
                <w:b w:val="1"/>
                <w:bCs w:val="1"/>
                <w:color w:val="0067B3"/>
              </w:rPr>
              <w:t>Vivek Jain</w:t>
            </w:r>
          </w:p>
        </w:tc>
        <w:tc>
          <w:tcPr>
            <w:tcW w:w="340" w:type="dxa"/>
            <w:vAlign w:val="bottom"/>
          </w:tcPr>
          <w:p>
            <w:pPr>
              <w:jc w:val="right"/>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74"/>
              <w:spacing w:after="0"/>
              <w:rPr>
                <w:sz w:val="20"/>
                <w:szCs w:val="20"/>
                <w:color w:val="auto"/>
              </w:rPr>
            </w:pPr>
            <w:r>
              <w:rPr>
                <w:rFonts w:ascii="Arial" w:cs="Arial" w:eastAsia="Arial" w:hAnsi="Arial"/>
                <w:sz w:val="18"/>
                <w:szCs w:val="18"/>
                <w:color w:val="auto"/>
              </w:rPr>
              <w:t>650,000</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114"/>
              <w:spacing w:after="0"/>
              <w:rPr>
                <w:sz w:val="20"/>
                <w:szCs w:val="20"/>
                <w:color w:val="auto"/>
              </w:rPr>
            </w:pPr>
            <w:r>
              <w:rPr>
                <w:rFonts w:ascii="Arial" w:cs="Arial" w:eastAsia="Arial" w:hAnsi="Arial"/>
                <w:sz w:val="18"/>
                <w:szCs w:val="18"/>
                <w:color w:val="auto"/>
              </w:rPr>
              <w:t>700,000</w:t>
            </w:r>
          </w:p>
        </w:tc>
        <w:tc>
          <w:tcPr>
            <w:tcW w:w="880" w:type="dxa"/>
            <w:vAlign w:val="bottom"/>
          </w:tcPr>
          <w:p>
            <w:pPr>
              <w:jc w:val="right"/>
              <w:spacing w:after="0"/>
              <w:rPr>
                <w:sz w:val="20"/>
                <w:szCs w:val="20"/>
                <w:color w:val="auto"/>
              </w:rPr>
            </w:pPr>
            <w:r>
              <w:rPr>
                <w:rFonts w:ascii="Arial" w:cs="Arial" w:eastAsia="Arial" w:hAnsi="Arial"/>
                <w:sz w:val="18"/>
                <w:szCs w:val="18"/>
                <w:color w:val="auto"/>
              </w:rPr>
              <w:t>8%</w:t>
            </w:r>
          </w:p>
        </w:tc>
        <w:tc>
          <w:tcPr>
            <w:tcW w:w="1260" w:type="dxa"/>
            <w:vAlign w:val="bottom"/>
          </w:tcPr>
          <w:p>
            <w:pPr>
              <w:jc w:val="right"/>
              <w:spacing w:after="0"/>
              <w:rPr>
                <w:sz w:val="20"/>
                <w:szCs w:val="20"/>
                <w:color w:val="auto"/>
              </w:rPr>
            </w:pPr>
            <w:r>
              <w:rPr>
                <w:rFonts w:ascii="Arial" w:cs="Arial" w:eastAsia="Arial" w:hAnsi="Arial"/>
                <w:sz w:val="18"/>
                <w:szCs w:val="18"/>
                <w:color w:val="auto"/>
              </w:rPr>
              <w:t>125%</w:t>
            </w:r>
          </w:p>
        </w:tc>
        <w:tc>
          <w:tcPr>
            <w:tcW w:w="1360" w:type="dxa"/>
            <w:vAlign w:val="bottom"/>
          </w:tcPr>
          <w:p>
            <w:pPr>
              <w:jc w:val="right"/>
              <w:ind w:right="75"/>
              <w:spacing w:after="0"/>
              <w:rPr>
                <w:sz w:val="20"/>
                <w:szCs w:val="20"/>
                <w:color w:val="auto"/>
              </w:rPr>
            </w:pPr>
            <w:r>
              <w:rPr>
                <w:rFonts w:ascii="Arial" w:cs="Arial" w:eastAsia="Arial" w:hAnsi="Arial"/>
                <w:sz w:val="18"/>
                <w:szCs w:val="18"/>
                <w:color w:val="auto"/>
              </w:rPr>
              <w:t>125%</w:t>
            </w:r>
          </w:p>
        </w:tc>
        <w:tc>
          <w:tcPr>
            <w:tcW w:w="820" w:type="dxa"/>
            <w:vAlign w:val="bottom"/>
          </w:tcPr>
          <w:p>
            <w:pPr>
              <w:jc w:val="right"/>
              <w:spacing w:after="0"/>
              <w:rPr>
                <w:sz w:val="20"/>
                <w:szCs w:val="20"/>
                <w:color w:val="auto"/>
              </w:rPr>
            </w:pPr>
            <w:r>
              <w:rPr>
                <w:rFonts w:ascii="Arial" w:cs="Arial" w:eastAsia="Arial" w:hAnsi="Arial"/>
                <w:sz w:val="18"/>
                <w:szCs w:val="18"/>
                <w:color w:val="auto"/>
              </w:rPr>
              <w:t>0%</w:t>
            </w:r>
          </w:p>
        </w:tc>
      </w:tr>
      <w:tr>
        <w:trPr>
          <w:trHeight w:val="216"/>
        </w:trPr>
        <w:tc>
          <w:tcPr>
            <w:tcW w:w="4420" w:type="dxa"/>
            <w:vAlign w:val="bottom"/>
          </w:tcPr>
          <w:p>
            <w:pPr>
              <w:ind w:left="20"/>
              <w:spacing w:after="0"/>
              <w:rPr>
                <w:sz w:val="20"/>
                <w:szCs w:val="20"/>
                <w:color w:val="auto"/>
              </w:rPr>
            </w:pPr>
            <w:r>
              <w:rPr>
                <w:rFonts w:ascii="Arial" w:cs="Arial" w:eastAsia="Arial" w:hAnsi="Arial"/>
                <w:sz w:val="18"/>
                <w:szCs w:val="18"/>
                <w:color w:val="auto"/>
              </w:rPr>
              <w:t>Executive Vice President, Global Operations</w:t>
            </w:r>
          </w:p>
        </w:tc>
        <w:tc>
          <w:tcPr>
            <w:tcW w:w="3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820" w:type="dxa"/>
            <w:vAlign w:val="bottom"/>
          </w:tcPr>
          <w:p>
            <w:pPr>
              <w:spacing w:after="0"/>
              <w:rPr>
                <w:sz w:val="18"/>
                <w:szCs w:val="18"/>
                <w:color w:val="auto"/>
              </w:rPr>
            </w:pPr>
          </w:p>
        </w:tc>
      </w:tr>
      <w:tr>
        <w:trPr>
          <w:trHeight w:val="239"/>
        </w:trPr>
        <w:tc>
          <w:tcPr>
            <w:tcW w:w="4420" w:type="dxa"/>
            <w:vAlign w:val="bottom"/>
          </w:tcPr>
          <w:p>
            <w:pPr>
              <w:ind w:left="20"/>
              <w:spacing w:after="0"/>
              <w:rPr>
                <w:sz w:val="20"/>
                <w:szCs w:val="20"/>
                <w:color w:val="auto"/>
              </w:rPr>
            </w:pPr>
            <w:r>
              <w:rPr>
                <w:rFonts w:ascii="Arial" w:cs="Arial" w:eastAsia="Arial" w:hAnsi="Arial"/>
                <w:sz w:val="18"/>
                <w:szCs w:val="18"/>
                <w:color w:val="auto"/>
              </w:rPr>
              <w:t>and Technology</w:t>
            </w:r>
          </w:p>
        </w:tc>
        <w:tc>
          <w:tcPr>
            <w:tcW w:w="3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820" w:type="dxa"/>
            <w:vAlign w:val="bottom"/>
          </w:tcPr>
          <w:p>
            <w:pPr>
              <w:spacing w:after="0"/>
              <w:rPr>
                <w:sz w:val="20"/>
                <w:szCs w:val="20"/>
                <w:color w:val="auto"/>
              </w:rPr>
            </w:pPr>
          </w:p>
        </w:tc>
      </w:tr>
      <w:tr>
        <w:trPr>
          <w:trHeight w:val="23"/>
        </w:trPr>
        <w:tc>
          <w:tcPr>
            <w:tcW w:w="4420" w:type="dxa"/>
            <w:vAlign w:val="bottom"/>
          </w:tcPr>
          <w:p>
            <w:pPr>
              <w:spacing w:after="0"/>
              <w:rPr>
                <w:sz w:val="2"/>
                <w:szCs w:val="2"/>
                <w:color w:val="auto"/>
              </w:rPr>
            </w:pPr>
          </w:p>
        </w:tc>
        <w:tc>
          <w:tcPr>
            <w:tcW w:w="340" w:type="dxa"/>
            <w:vAlign w:val="bottom"/>
          </w:tcPr>
          <w:p>
            <w:pPr>
              <w:spacing w:after="0"/>
              <w:rPr>
                <w:sz w:val="2"/>
                <w:szCs w:val="2"/>
                <w:color w:val="auto"/>
              </w:rPr>
            </w:pPr>
          </w:p>
        </w:tc>
        <w:tc>
          <w:tcPr>
            <w:tcW w:w="9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24"/>
        </w:trPr>
        <w:tc>
          <w:tcPr>
            <w:tcW w:w="4420" w:type="dxa"/>
            <w:vAlign w:val="bottom"/>
            <w:shd w:val="clear" w:color="auto" w:fill="E2E6F4"/>
          </w:tcPr>
          <w:p>
            <w:pPr>
              <w:ind w:left="20"/>
              <w:spacing w:after="0" w:line="224" w:lineRule="exact"/>
              <w:rPr>
                <w:sz w:val="20"/>
                <w:szCs w:val="20"/>
                <w:color w:val="auto"/>
              </w:rPr>
            </w:pPr>
            <w:r>
              <w:rPr>
                <w:rFonts w:ascii="Arial" w:cs="Arial" w:eastAsia="Arial" w:hAnsi="Arial"/>
                <w:sz w:val="18"/>
                <w:szCs w:val="18"/>
                <w:b w:val="1"/>
                <w:bCs w:val="1"/>
                <w:color w:val="0067B3"/>
              </w:rPr>
              <w:t>Katsu Nakamura</w:t>
            </w:r>
            <w:r>
              <w:rPr>
                <w:rFonts w:ascii="Arial" w:cs="Arial" w:eastAsia="Arial" w:hAnsi="Arial"/>
                <w:sz w:val="23"/>
                <w:szCs w:val="23"/>
                <w:b w:val="1"/>
                <w:bCs w:val="1"/>
                <w:color w:val="0067B3"/>
                <w:vertAlign w:val="superscript"/>
              </w:rPr>
              <w:t>(2)</w:t>
            </w:r>
          </w:p>
        </w:tc>
        <w:tc>
          <w:tcPr>
            <w:tcW w:w="340" w:type="dxa"/>
            <w:vAlign w:val="bottom"/>
            <w:shd w:val="clear" w:color="auto" w:fill="E2E6F4"/>
          </w:tcPr>
          <w:p>
            <w:pPr>
              <w:spacing w:after="0"/>
              <w:rPr>
                <w:sz w:val="19"/>
                <w:szCs w:val="19"/>
                <w:color w:val="auto"/>
              </w:rPr>
            </w:pPr>
          </w:p>
        </w:tc>
        <w:tc>
          <w:tcPr>
            <w:tcW w:w="960" w:type="dxa"/>
            <w:vAlign w:val="bottom"/>
            <w:shd w:val="clear" w:color="auto" w:fill="E2E6F4"/>
          </w:tcPr>
          <w:p>
            <w:pPr>
              <w:jc w:val="right"/>
              <w:ind w:right="14"/>
              <w:spacing w:after="0"/>
              <w:rPr>
                <w:sz w:val="20"/>
                <w:szCs w:val="20"/>
                <w:color w:val="auto"/>
              </w:rPr>
            </w:pPr>
            <w:r>
              <w:rPr>
                <w:rFonts w:ascii="Arial" w:cs="Arial" w:eastAsia="Arial" w:hAnsi="Arial"/>
                <w:sz w:val="18"/>
                <w:szCs w:val="18"/>
                <w:color w:val="auto"/>
              </w:rPr>
              <w:t>N/A</w:t>
            </w:r>
          </w:p>
        </w:tc>
        <w:tc>
          <w:tcPr>
            <w:tcW w:w="200" w:type="dxa"/>
            <w:vAlign w:val="bottom"/>
            <w:shd w:val="clear" w:color="auto" w:fill="E2E6F4"/>
          </w:tcPr>
          <w:p>
            <w:pPr>
              <w:jc w:val="right"/>
              <w:spacing w:after="0"/>
              <w:rPr>
                <w:sz w:val="20"/>
                <w:szCs w:val="20"/>
                <w:color w:val="auto"/>
              </w:rPr>
            </w:pPr>
            <w:r>
              <w:rPr>
                <w:rFonts w:ascii="Arial" w:cs="Arial" w:eastAsia="Arial" w:hAnsi="Arial"/>
                <w:sz w:val="18"/>
                <w:szCs w:val="18"/>
                <w:color w:val="auto"/>
              </w:rPr>
              <w:t>$</w:t>
            </w:r>
          </w:p>
        </w:tc>
        <w:tc>
          <w:tcPr>
            <w:tcW w:w="1000" w:type="dxa"/>
            <w:vAlign w:val="bottom"/>
            <w:shd w:val="clear" w:color="auto" w:fill="E2E6F4"/>
          </w:tcPr>
          <w:p>
            <w:pPr>
              <w:jc w:val="right"/>
              <w:ind w:right="114"/>
              <w:spacing w:after="0"/>
              <w:rPr>
                <w:sz w:val="20"/>
                <w:szCs w:val="20"/>
                <w:color w:val="auto"/>
              </w:rPr>
            </w:pPr>
            <w:r>
              <w:rPr>
                <w:rFonts w:ascii="Arial" w:cs="Arial" w:eastAsia="Arial" w:hAnsi="Arial"/>
                <w:sz w:val="18"/>
                <w:szCs w:val="18"/>
                <w:color w:val="auto"/>
              </w:rPr>
              <w:t>500,000</w:t>
            </w:r>
          </w:p>
        </w:tc>
        <w:tc>
          <w:tcPr>
            <w:tcW w:w="880" w:type="dxa"/>
            <w:vAlign w:val="bottom"/>
            <w:shd w:val="clear" w:color="auto" w:fill="E2E6F4"/>
          </w:tcPr>
          <w:p>
            <w:pPr>
              <w:jc w:val="right"/>
              <w:spacing w:after="0"/>
              <w:rPr>
                <w:sz w:val="20"/>
                <w:szCs w:val="20"/>
                <w:color w:val="auto"/>
              </w:rPr>
            </w:pPr>
            <w:r>
              <w:rPr>
                <w:rFonts w:ascii="Arial" w:cs="Arial" w:eastAsia="Arial" w:hAnsi="Arial"/>
                <w:sz w:val="18"/>
                <w:szCs w:val="18"/>
                <w:color w:val="auto"/>
              </w:rPr>
              <w:t>N/A</w:t>
            </w:r>
          </w:p>
        </w:tc>
        <w:tc>
          <w:tcPr>
            <w:tcW w:w="1260" w:type="dxa"/>
            <w:vAlign w:val="bottom"/>
            <w:shd w:val="clear" w:color="auto" w:fill="E2E6F4"/>
          </w:tcPr>
          <w:p>
            <w:pPr>
              <w:jc w:val="right"/>
              <w:spacing w:after="0"/>
              <w:rPr>
                <w:sz w:val="20"/>
                <w:szCs w:val="20"/>
                <w:color w:val="auto"/>
              </w:rPr>
            </w:pPr>
            <w:r>
              <w:rPr>
                <w:rFonts w:ascii="Arial" w:cs="Arial" w:eastAsia="Arial" w:hAnsi="Arial"/>
                <w:sz w:val="18"/>
                <w:szCs w:val="18"/>
                <w:color w:val="auto"/>
              </w:rPr>
              <w:t>N/A</w:t>
            </w:r>
          </w:p>
        </w:tc>
        <w:tc>
          <w:tcPr>
            <w:tcW w:w="1360" w:type="dxa"/>
            <w:vAlign w:val="bottom"/>
            <w:shd w:val="clear" w:color="auto" w:fill="E2E6F4"/>
          </w:tcPr>
          <w:p>
            <w:pPr>
              <w:jc w:val="right"/>
              <w:ind w:right="75"/>
              <w:spacing w:after="0"/>
              <w:rPr>
                <w:sz w:val="20"/>
                <w:szCs w:val="20"/>
                <w:color w:val="auto"/>
              </w:rPr>
            </w:pPr>
            <w:r>
              <w:rPr>
                <w:rFonts w:ascii="Arial" w:cs="Arial" w:eastAsia="Arial" w:hAnsi="Arial"/>
                <w:sz w:val="18"/>
                <w:szCs w:val="18"/>
                <w:color w:val="auto"/>
              </w:rPr>
              <w:t>100%</w:t>
            </w:r>
          </w:p>
        </w:tc>
        <w:tc>
          <w:tcPr>
            <w:tcW w:w="820" w:type="dxa"/>
            <w:vAlign w:val="bottom"/>
            <w:shd w:val="clear" w:color="auto" w:fill="E2E6F4"/>
          </w:tcPr>
          <w:p>
            <w:pPr>
              <w:jc w:val="right"/>
              <w:spacing w:after="0"/>
              <w:rPr>
                <w:sz w:val="20"/>
                <w:szCs w:val="20"/>
                <w:color w:val="auto"/>
              </w:rPr>
            </w:pPr>
            <w:r>
              <w:rPr>
                <w:rFonts w:ascii="Arial" w:cs="Arial" w:eastAsia="Arial" w:hAnsi="Arial"/>
                <w:sz w:val="18"/>
                <w:szCs w:val="18"/>
                <w:color w:val="auto"/>
              </w:rPr>
              <w:t>N/A</w:t>
            </w:r>
          </w:p>
        </w:tc>
      </w:tr>
      <w:tr>
        <w:trPr>
          <w:trHeight w:val="242"/>
        </w:trPr>
        <w:tc>
          <w:tcPr>
            <w:tcW w:w="4420" w:type="dxa"/>
            <w:vAlign w:val="bottom"/>
            <w:tcBorders>
              <w:bottom w:val="single" w:sz="8" w:color="E2E6F4"/>
            </w:tcBorders>
            <w:shd w:val="clear" w:color="auto" w:fill="E2E6F4"/>
          </w:tcPr>
          <w:p>
            <w:pPr>
              <w:ind w:left="20"/>
              <w:spacing w:after="0"/>
              <w:rPr>
                <w:sz w:val="20"/>
                <w:szCs w:val="20"/>
                <w:color w:val="auto"/>
              </w:rPr>
            </w:pPr>
            <w:r>
              <w:rPr>
                <w:rFonts w:ascii="Arial" w:cs="Arial" w:eastAsia="Arial" w:hAnsi="Arial"/>
                <w:sz w:val="18"/>
                <w:szCs w:val="18"/>
                <w:color w:val="auto"/>
              </w:rPr>
              <w:t>Senior Vice President and Chief Customer Officer</w:t>
            </w:r>
          </w:p>
        </w:tc>
        <w:tc>
          <w:tcPr>
            <w:tcW w:w="340" w:type="dxa"/>
            <w:vAlign w:val="bottom"/>
            <w:tcBorders>
              <w:bottom w:val="single" w:sz="8" w:color="E2E6F4"/>
            </w:tcBorders>
            <w:shd w:val="clear" w:color="auto" w:fill="E2E6F4"/>
          </w:tcPr>
          <w:p>
            <w:pPr>
              <w:spacing w:after="0"/>
              <w:rPr>
                <w:sz w:val="21"/>
                <w:szCs w:val="21"/>
                <w:color w:val="auto"/>
              </w:rPr>
            </w:pPr>
          </w:p>
        </w:tc>
        <w:tc>
          <w:tcPr>
            <w:tcW w:w="960" w:type="dxa"/>
            <w:vAlign w:val="bottom"/>
            <w:tcBorders>
              <w:bottom w:val="single" w:sz="8" w:color="E2E6F4"/>
            </w:tcBorders>
            <w:shd w:val="clear" w:color="auto" w:fill="E2E6F4"/>
          </w:tcPr>
          <w:p>
            <w:pPr>
              <w:spacing w:after="0"/>
              <w:rPr>
                <w:sz w:val="21"/>
                <w:szCs w:val="21"/>
                <w:color w:val="auto"/>
              </w:rPr>
            </w:pPr>
          </w:p>
        </w:tc>
        <w:tc>
          <w:tcPr>
            <w:tcW w:w="200" w:type="dxa"/>
            <w:vAlign w:val="bottom"/>
            <w:tcBorders>
              <w:bottom w:val="single" w:sz="8" w:color="E2E6F4"/>
            </w:tcBorders>
            <w:shd w:val="clear" w:color="auto" w:fill="E2E6F4"/>
          </w:tcPr>
          <w:p>
            <w:pPr>
              <w:spacing w:after="0"/>
              <w:rPr>
                <w:sz w:val="21"/>
                <w:szCs w:val="21"/>
                <w:color w:val="auto"/>
              </w:rPr>
            </w:pPr>
          </w:p>
        </w:tc>
        <w:tc>
          <w:tcPr>
            <w:tcW w:w="1000" w:type="dxa"/>
            <w:vAlign w:val="bottom"/>
            <w:tcBorders>
              <w:bottom w:val="single" w:sz="8" w:color="E2E6F4"/>
            </w:tcBorders>
            <w:shd w:val="clear" w:color="auto" w:fill="E2E6F4"/>
          </w:tcPr>
          <w:p>
            <w:pPr>
              <w:spacing w:after="0"/>
              <w:rPr>
                <w:sz w:val="21"/>
                <w:szCs w:val="21"/>
                <w:color w:val="auto"/>
              </w:rPr>
            </w:pPr>
          </w:p>
        </w:tc>
        <w:tc>
          <w:tcPr>
            <w:tcW w:w="880" w:type="dxa"/>
            <w:vAlign w:val="bottom"/>
            <w:tcBorders>
              <w:bottom w:val="single" w:sz="8" w:color="E2E6F4"/>
            </w:tcBorders>
            <w:shd w:val="clear" w:color="auto" w:fill="E2E6F4"/>
          </w:tcPr>
          <w:p>
            <w:pPr>
              <w:spacing w:after="0"/>
              <w:rPr>
                <w:sz w:val="21"/>
                <w:szCs w:val="21"/>
                <w:color w:val="auto"/>
              </w:rPr>
            </w:pPr>
          </w:p>
        </w:tc>
        <w:tc>
          <w:tcPr>
            <w:tcW w:w="1260" w:type="dxa"/>
            <w:vAlign w:val="bottom"/>
            <w:tcBorders>
              <w:bottom w:val="single" w:sz="8" w:color="E2E6F4"/>
            </w:tcBorders>
            <w:shd w:val="clear" w:color="auto" w:fill="E2E6F4"/>
          </w:tcPr>
          <w:p>
            <w:pPr>
              <w:spacing w:after="0"/>
              <w:rPr>
                <w:sz w:val="21"/>
                <w:szCs w:val="21"/>
                <w:color w:val="auto"/>
              </w:rPr>
            </w:pPr>
          </w:p>
        </w:tc>
        <w:tc>
          <w:tcPr>
            <w:tcW w:w="1360" w:type="dxa"/>
            <w:vAlign w:val="bottom"/>
            <w:tcBorders>
              <w:bottom w:val="single" w:sz="8" w:color="E2E6F4"/>
            </w:tcBorders>
            <w:shd w:val="clear" w:color="auto" w:fill="E2E6F4"/>
          </w:tcPr>
          <w:p>
            <w:pPr>
              <w:spacing w:after="0"/>
              <w:rPr>
                <w:sz w:val="21"/>
                <w:szCs w:val="21"/>
                <w:color w:val="auto"/>
              </w:rPr>
            </w:pPr>
          </w:p>
        </w:tc>
        <w:tc>
          <w:tcPr>
            <w:tcW w:w="820" w:type="dxa"/>
            <w:vAlign w:val="bottom"/>
            <w:tcBorders>
              <w:bottom w:val="single" w:sz="8" w:color="E2E6F4"/>
            </w:tcBorders>
            <w:shd w:val="clear" w:color="auto" w:fill="E2E6F4"/>
          </w:tcPr>
          <w:p>
            <w:pPr>
              <w:spacing w:after="0"/>
              <w:rPr>
                <w:sz w:val="21"/>
                <w:szCs w:val="21"/>
                <w:color w:val="auto"/>
              </w:rPr>
            </w:pPr>
          </w:p>
        </w:tc>
      </w:tr>
      <w:tr>
        <w:trPr>
          <w:trHeight w:val="20"/>
        </w:trPr>
        <w:tc>
          <w:tcPr>
            <w:tcW w:w="4420" w:type="dxa"/>
            <w:vAlign w:val="bottom"/>
            <w:shd w:val="clear" w:color="auto" w:fill="0067B3"/>
          </w:tcPr>
          <w:p>
            <w:pPr>
              <w:spacing w:after="0" w:line="20" w:lineRule="exact"/>
              <w:rPr>
                <w:sz w:val="1"/>
                <w:szCs w:val="1"/>
                <w:color w:val="auto"/>
              </w:rPr>
            </w:pPr>
          </w:p>
        </w:tc>
        <w:tc>
          <w:tcPr>
            <w:tcW w:w="340" w:type="dxa"/>
            <w:vAlign w:val="bottom"/>
            <w:shd w:val="clear" w:color="auto" w:fill="0067B3"/>
          </w:tcPr>
          <w:p>
            <w:pPr>
              <w:spacing w:after="0" w:line="20" w:lineRule="exact"/>
              <w:rPr>
                <w:sz w:val="1"/>
                <w:szCs w:val="1"/>
                <w:color w:val="auto"/>
              </w:rPr>
            </w:pPr>
          </w:p>
        </w:tc>
        <w:tc>
          <w:tcPr>
            <w:tcW w:w="960" w:type="dxa"/>
            <w:vAlign w:val="bottom"/>
            <w:shd w:val="clear" w:color="auto" w:fill="0067B3"/>
          </w:tcPr>
          <w:p>
            <w:pPr>
              <w:spacing w:after="0" w:line="20" w:lineRule="exact"/>
              <w:rPr>
                <w:sz w:val="1"/>
                <w:szCs w:val="1"/>
                <w:color w:val="auto"/>
              </w:rPr>
            </w:pPr>
          </w:p>
        </w:tc>
        <w:tc>
          <w:tcPr>
            <w:tcW w:w="200" w:type="dxa"/>
            <w:vAlign w:val="bottom"/>
            <w:shd w:val="clear" w:color="auto" w:fill="0067B3"/>
          </w:tcPr>
          <w:p>
            <w:pPr>
              <w:spacing w:after="0" w:line="20" w:lineRule="exact"/>
              <w:rPr>
                <w:sz w:val="1"/>
                <w:szCs w:val="1"/>
                <w:color w:val="auto"/>
              </w:rPr>
            </w:pPr>
          </w:p>
        </w:tc>
        <w:tc>
          <w:tcPr>
            <w:tcW w:w="1000" w:type="dxa"/>
            <w:vAlign w:val="bottom"/>
            <w:shd w:val="clear" w:color="auto" w:fill="0067B3"/>
          </w:tcPr>
          <w:p>
            <w:pPr>
              <w:spacing w:after="0" w:line="20" w:lineRule="exact"/>
              <w:rPr>
                <w:sz w:val="1"/>
                <w:szCs w:val="1"/>
                <w:color w:val="auto"/>
              </w:rPr>
            </w:pPr>
          </w:p>
        </w:tc>
        <w:tc>
          <w:tcPr>
            <w:tcW w:w="880" w:type="dxa"/>
            <w:vAlign w:val="bottom"/>
            <w:shd w:val="clear" w:color="auto" w:fill="0067B3"/>
          </w:tcPr>
          <w:p>
            <w:pPr>
              <w:spacing w:after="0" w:line="20" w:lineRule="exact"/>
              <w:rPr>
                <w:sz w:val="1"/>
                <w:szCs w:val="1"/>
                <w:color w:val="auto"/>
              </w:rPr>
            </w:pPr>
          </w:p>
        </w:tc>
        <w:tc>
          <w:tcPr>
            <w:tcW w:w="1260" w:type="dxa"/>
            <w:vAlign w:val="bottom"/>
            <w:shd w:val="clear" w:color="auto" w:fill="0067B3"/>
          </w:tcPr>
          <w:p>
            <w:pPr>
              <w:spacing w:after="0" w:line="20" w:lineRule="exact"/>
              <w:rPr>
                <w:sz w:val="1"/>
                <w:szCs w:val="1"/>
                <w:color w:val="auto"/>
              </w:rPr>
            </w:pPr>
          </w:p>
        </w:tc>
        <w:tc>
          <w:tcPr>
            <w:tcW w:w="1360" w:type="dxa"/>
            <w:vAlign w:val="bottom"/>
            <w:shd w:val="clear" w:color="auto" w:fill="0067B3"/>
          </w:tcPr>
          <w:p>
            <w:pPr>
              <w:spacing w:after="0" w:line="20" w:lineRule="exact"/>
              <w:rPr>
                <w:sz w:val="1"/>
                <w:szCs w:val="1"/>
                <w:color w:val="auto"/>
              </w:rPr>
            </w:pPr>
          </w:p>
        </w:tc>
        <w:tc>
          <w:tcPr>
            <w:tcW w:w="820" w:type="dxa"/>
            <w:vAlign w:val="bottom"/>
            <w:shd w:val="clear" w:color="auto" w:fill="0067B3"/>
          </w:tcPr>
          <w:p>
            <w:pPr>
              <w:spacing w:after="0" w:line="20" w:lineRule="exact"/>
              <w:rPr>
                <w:sz w:val="1"/>
                <w:szCs w:val="1"/>
                <w:color w:val="auto"/>
              </w:rPr>
            </w:pPr>
          </w:p>
        </w:tc>
      </w:tr>
    </w:tbl>
    <w:p>
      <w:pPr>
        <w:spacing w:after="0" w:line="148" w:lineRule="exact"/>
        <w:rPr>
          <w:sz w:val="20"/>
          <w:szCs w:val="20"/>
          <w:color w:val="auto"/>
        </w:rPr>
      </w:pPr>
    </w:p>
    <w:p>
      <w:pPr>
        <w:ind w:left="220" w:hanging="212"/>
        <w:spacing w:after="0"/>
        <w:tabs>
          <w:tab w:leader="none" w:pos="220" w:val="left"/>
        </w:tabs>
        <w:numPr>
          <w:ilvl w:val="0"/>
          <w:numId w:val="99"/>
        </w:numPr>
        <w:rPr>
          <w:rFonts w:ascii="Arial" w:cs="Arial" w:eastAsia="Arial" w:hAnsi="Arial"/>
          <w:sz w:val="21"/>
          <w:szCs w:val="21"/>
          <w:color w:val="auto"/>
          <w:vertAlign w:val="superscript"/>
        </w:rPr>
      </w:pPr>
      <w:r>
        <w:rPr>
          <w:rFonts w:ascii="Arial" w:cs="Arial" w:eastAsia="Arial" w:hAnsi="Arial"/>
          <w:sz w:val="16"/>
          <w:szCs w:val="16"/>
          <w:color w:val="auto"/>
        </w:rPr>
        <w:t>Mr. Cotter was appointed as Senior Vice President, Vertical Business Units, effective as of December 1, 2024 and was not an NEO in fiscal year 2024.</w:t>
      </w:r>
    </w:p>
    <w:p>
      <w:pPr>
        <w:spacing w:after="0" w:line="70" w:lineRule="exact"/>
        <w:rPr>
          <w:rFonts w:ascii="Arial" w:cs="Arial" w:eastAsia="Arial" w:hAnsi="Arial"/>
          <w:sz w:val="21"/>
          <w:szCs w:val="21"/>
          <w:color w:val="auto"/>
          <w:vertAlign w:val="superscript"/>
        </w:rPr>
      </w:pPr>
    </w:p>
    <w:p>
      <w:pPr>
        <w:ind w:left="200" w:right="180" w:hanging="192"/>
        <w:spacing w:after="0" w:line="218" w:lineRule="auto"/>
        <w:tabs>
          <w:tab w:leader="none" w:pos="215" w:val="left"/>
        </w:tabs>
        <w:numPr>
          <w:ilvl w:val="0"/>
          <w:numId w:val="99"/>
        </w:numPr>
        <w:rPr>
          <w:rFonts w:ascii="Arial" w:cs="Arial" w:eastAsia="Arial" w:hAnsi="Arial"/>
          <w:sz w:val="21"/>
          <w:szCs w:val="21"/>
          <w:color w:val="auto"/>
          <w:vertAlign w:val="superscript"/>
        </w:rPr>
      </w:pPr>
      <w:r>
        <w:rPr>
          <w:rFonts w:ascii="Arial" w:cs="Arial" w:eastAsia="Arial" w:hAnsi="Arial"/>
          <w:sz w:val="16"/>
          <w:szCs w:val="16"/>
          <w:color w:val="auto"/>
        </w:rPr>
        <w:t>Dr. Nakamura was appointed as Senior Vice President and Chief Customer Officer, effective as of November 3, 2024 and was not an NEO in fiscal year 2024.</w:t>
      </w:r>
    </w:p>
    <w:p>
      <w:pPr>
        <w:spacing w:after="0" w:line="190" w:lineRule="exact"/>
        <w:rPr>
          <w:sz w:val="20"/>
          <w:szCs w:val="20"/>
          <w:color w:val="auto"/>
        </w:rPr>
      </w:pPr>
    </w:p>
    <w:p>
      <w:pPr>
        <w:spacing w:after="0"/>
        <w:rPr>
          <w:sz w:val="20"/>
          <w:szCs w:val="20"/>
          <w:color w:val="auto"/>
        </w:rPr>
      </w:pPr>
      <w:r>
        <w:rPr>
          <w:rFonts w:ascii="Arial" w:cs="Arial" w:eastAsia="Arial" w:hAnsi="Arial"/>
          <w:sz w:val="27"/>
          <w:szCs w:val="27"/>
          <w:b w:val="1"/>
          <w:bCs w:val="1"/>
          <w:color w:val="0067B3"/>
        </w:rPr>
        <w:t>Long-Term Equity Incentives</w:t>
      </w:r>
    </w:p>
    <w:p>
      <w:pPr>
        <w:spacing w:after="0" w:line="146" w:lineRule="exact"/>
        <w:rPr>
          <w:sz w:val="20"/>
          <w:szCs w:val="20"/>
          <w:color w:val="auto"/>
        </w:rPr>
      </w:pPr>
    </w:p>
    <w:p>
      <w:pPr>
        <w:ind w:right="20"/>
        <w:spacing w:after="0" w:line="262" w:lineRule="auto"/>
        <w:rPr>
          <w:sz w:val="20"/>
          <w:szCs w:val="20"/>
          <w:color w:val="auto"/>
        </w:rPr>
      </w:pPr>
      <w:r>
        <w:rPr>
          <w:rFonts w:ascii="Arial" w:cs="Arial" w:eastAsia="Arial" w:hAnsi="Arial"/>
          <w:sz w:val="18"/>
          <w:szCs w:val="18"/>
          <w:color w:val="auto"/>
        </w:rPr>
        <w:t>Our equity compensation program is a broad-based, long-term employee rewards program that is intended to attract, retain, and motivate our employees, executive officers, and directors and to align their interests with those of our shareholders. We believe that our equity program is critical to our efforts to hire and retain the best talent in the extremely competitive semiconductor industry. All equity awards granted to our executive officers, including our NEOs, in fiscal year 2025 were made under the 2020 Plan.</w:t>
      </w:r>
    </w:p>
    <w:p>
      <w:pPr>
        <w:spacing w:after="0" w:line="121" w:lineRule="exact"/>
        <w:rPr>
          <w:sz w:val="20"/>
          <w:szCs w:val="20"/>
          <w:color w:val="auto"/>
        </w:rPr>
      </w:pPr>
    </w:p>
    <w:p>
      <w:pPr>
        <w:spacing w:after="0"/>
        <w:rPr>
          <w:sz w:val="20"/>
          <w:szCs w:val="20"/>
          <w:color w:val="auto"/>
        </w:rPr>
      </w:pPr>
      <w:r>
        <w:rPr>
          <w:rFonts w:ascii="Arial" w:cs="Arial" w:eastAsia="Arial" w:hAnsi="Arial"/>
          <w:sz w:val="23"/>
          <w:szCs w:val="23"/>
          <w:b w:val="1"/>
          <w:bCs w:val="1"/>
          <w:color w:val="auto"/>
        </w:rPr>
        <w:t>Equity Mix</w:t>
      </w:r>
    </w:p>
    <w:p>
      <w:pPr>
        <w:spacing w:after="0" w:line="155" w:lineRule="exact"/>
        <w:rPr>
          <w:sz w:val="20"/>
          <w:szCs w:val="20"/>
          <w:color w:val="auto"/>
        </w:rPr>
      </w:pPr>
    </w:p>
    <w:p>
      <w:pPr>
        <w:ind w:right="140"/>
        <w:spacing w:after="0" w:line="262" w:lineRule="auto"/>
        <w:rPr>
          <w:sz w:val="20"/>
          <w:szCs w:val="20"/>
          <w:color w:val="auto"/>
        </w:rPr>
      </w:pPr>
      <w:r>
        <w:rPr>
          <w:rFonts w:ascii="Arial" w:cs="Arial" w:eastAsia="Arial" w:hAnsi="Arial"/>
          <w:sz w:val="18"/>
          <w:szCs w:val="18"/>
          <w:color w:val="auto"/>
        </w:rPr>
        <w:t>The most significant portion of our executive officers’, including our NEOs’, total compensation is in the form of equity awards, the value of which is directly tied to our financial and stock price performance over the long term. In fiscal year 2025, approximately 86% and 78% of the average total target compensation of our CEO and our other NEOs, respectively, was in the form of equity. This percentage and equity mix results in a strong alignment between executive officers’ compensation and the interests of our shareholders.</w:t>
      </w:r>
    </w:p>
    <w:p>
      <w:pPr>
        <w:spacing w:after="0" w:line="68" w:lineRule="exact"/>
        <w:rPr>
          <w:sz w:val="20"/>
          <w:szCs w:val="20"/>
          <w:color w:val="auto"/>
        </w:rPr>
      </w:pPr>
    </w:p>
    <w:p>
      <w:pPr>
        <w:ind w:right="100"/>
        <w:spacing w:after="0" w:line="262" w:lineRule="auto"/>
        <w:rPr>
          <w:sz w:val="20"/>
          <w:szCs w:val="20"/>
          <w:color w:val="auto"/>
        </w:rPr>
      </w:pPr>
      <w:r>
        <w:rPr>
          <w:rFonts w:ascii="Arial" w:cs="Arial" w:eastAsia="Arial" w:hAnsi="Arial"/>
          <w:sz w:val="18"/>
          <w:szCs w:val="18"/>
          <w:color w:val="auto"/>
        </w:rPr>
        <w:t>The Compensation and Talent Committee determined to make no changes to the equity mix for any of our NEOs during fiscal year 2025. As a result, the equity mix in fiscal year 2025 remains 75% PRSUs and 25% time-based RSUs for Mr. Roche, our CEO and Chair, and 65% PRSUs and 35% RSUs for our other NEOs, to continue to maintain alignment between executive officers’ compensation and the interests of our shareholders and to remain competitive to market.</w:t>
      </w:r>
    </w:p>
    <w:p>
      <w:pPr>
        <w:spacing w:after="0" w:line="200" w:lineRule="exact"/>
        <w:rPr>
          <w:sz w:val="20"/>
          <w:szCs w:val="20"/>
          <w:color w:val="auto"/>
        </w:rPr>
      </w:pP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278"/>
        </w:trPr>
        <w:tc>
          <w:tcPr>
            <w:tcW w:w="10800" w:type="dxa"/>
            <w:vAlign w:val="bottom"/>
          </w:tcPr>
          <w:p>
            <w:pPr>
              <w:ind w:left="8980"/>
              <w:spacing w:after="0"/>
              <w:rPr>
                <w:sz w:val="20"/>
                <w:szCs w:val="20"/>
                <w:color w:val="auto"/>
              </w:rPr>
            </w:pPr>
            <w:r>
              <w:rPr>
                <w:rFonts w:ascii="Arial" w:cs="Arial" w:eastAsia="Arial" w:hAnsi="Arial"/>
                <w:sz w:val="16"/>
                <w:szCs w:val="16"/>
                <w:color w:val="0067B3"/>
              </w:rPr>
              <w:t>2026 Proxy Statement</w:t>
            </w:r>
          </w:p>
        </w:tc>
        <w:tc>
          <w:tcPr>
            <w:tcW w:w="440" w:type="dxa"/>
            <w:vAlign w:val="bottom"/>
          </w:tcPr>
          <w:p>
            <w:pPr>
              <w:jc w:val="right"/>
              <w:spacing w:after="0"/>
              <w:rPr>
                <w:sz w:val="20"/>
                <w:szCs w:val="20"/>
                <w:color w:val="auto"/>
              </w:rPr>
            </w:pPr>
            <w:r>
              <w:rPr>
                <w:rFonts w:ascii="Arial" w:cs="Arial" w:eastAsia="Arial" w:hAnsi="Arial"/>
                <w:sz w:val="20"/>
                <w:szCs w:val="20"/>
                <w:b w:val="1"/>
                <w:bCs w:val="1"/>
                <w:color w:val="auto"/>
              </w:rPr>
              <w:t>49</w:t>
            </w:r>
          </w:p>
        </w:tc>
      </w:tr>
      <w:tr>
        <w:trPr>
          <w:trHeight w:val="333"/>
        </w:trPr>
        <w:tc>
          <w:tcPr>
            <w:tcW w:w="1080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60" w:right="339" w:bottom="1440" w:gutter="0" w:footer="0" w:header="0"/>
        </w:sectPr>
      </w:pPr>
    </w:p>
    <w:bookmarkStart w:id="57" w:name="page58"/>
    <w:bookmarkEnd w:id="57"/>
    <w:p>
      <w:pPr>
        <w:ind w:right="240"/>
        <w:spacing w:after="0" w:line="287" w:lineRule="auto"/>
        <w:rPr>
          <w:sz w:val="20"/>
          <w:szCs w:val="20"/>
          <w:color w:val="auto"/>
        </w:rPr>
      </w:pPr>
      <w:r>
        <w:rPr>
          <w:rFonts w:ascii="Arial" w:cs="Arial" w:eastAsia="Arial" w:hAnsi="Arial"/>
          <w:sz w:val="18"/>
          <w:szCs w:val="18"/>
          <w:color w:val="auto"/>
        </w:rPr>
        <w:t>In summary, for fiscal year 2025, the form and mix of equity awards delivered as part of our annual equity award program for our executive officers, including our CEO and other NEOs, was as follows:</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1180" w:type="dxa"/>
            <w:vAlign w:val="bottom"/>
            <w:vMerge w:val="restart"/>
            <w:shd w:val="clear" w:color="auto" w:fill="0067B3"/>
          </w:tcPr>
          <w:p>
            <w:pPr>
              <w:ind w:left="20"/>
              <w:spacing w:after="0"/>
              <w:rPr>
                <w:sz w:val="20"/>
                <w:szCs w:val="20"/>
                <w:color w:val="auto"/>
              </w:rPr>
            </w:pPr>
            <w:r>
              <w:rPr>
                <w:rFonts w:ascii="Arial" w:cs="Arial" w:eastAsia="Arial" w:hAnsi="Arial"/>
                <w:sz w:val="16"/>
                <w:szCs w:val="16"/>
                <w:b w:val="1"/>
                <w:bCs w:val="1"/>
                <w:color w:val="FFFFFF"/>
              </w:rPr>
              <w:t>Equity</w:t>
            </w:r>
          </w:p>
        </w:tc>
        <w:tc>
          <w:tcPr>
            <w:tcW w:w="1400" w:type="dxa"/>
            <w:vAlign w:val="bottom"/>
            <w:shd w:val="clear" w:color="auto" w:fill="0067B3"/>
          </w:tcPr>
          <w:p>
            <w:pPr>
              <w:jc w:val="right"/>
              <w:ind w:right="19"/>
              <w:spacing w:after="0"/>
              <w:rPr>
                <w:sz w:val="20"/>
                <w:szCs w:val="20"/>
                <w:color w:val="auto"/>
              </w:rPr>
            </w:pPr>
            <w:r>
              <w:rPr>
                <w:rFonts w:ascii="Arial" w:cs="Arial" w:eastAsia="Arial" w:hAnsi="Arial"/>
                <w:sz w:val="16"/>
                <w:szCs w:val="16"/>
                <w:b w:val="1"/>
                <w:bCs w:val="1"/>
                <w:color w:val="FFFFFF"/>
              </w:rPr>
              <w:t>Percentage of</w:t>
            </w:r>
          </w:p>
        </w:tc>
        <w:tc>
          <w:tcPr>
            <w:tcW w:w="1860" w:type="dxa"/>
            <w:vAlign w:val="bottom"/>
            <w:shd w:val="clear" w:color="auto" w:fill="0067B3"/>
          </w:tcPr>
          <w:p>
            <w:pPr>
              <w:jc w:val="right"/>
              <w:ind w:right="639"/>
              <w:spacing w:after="0"/>
              <w:rPr>
                <w:sz w:val="20"/>
                <w:szCs w:val="20"/>
                <w:color w:val="auto"/>
              </w:rPr>
            </w:pPr>
            <w:r>
              <w:rPr>
                <w:rFonts w:ascii="Arial" w:cs="Arial" w:eastAsia="Arial" w:hAnsi="Arial"/>
                <w:sz w:val="16"/>
                <w:szCs w:val="16"/>
                <w:b w:val="1"/>
                <w:bCs w:val="1"/>
                <w:color w:val="FFFFFF"/>
              </w:rPr>
              <w:t>Percentage of</w:t>
            </w:r>
          </w:p>
        </w:tc>
        <w:tc>
          <w:tcPr>
            <w:tcW w:w="3880" w:type="dxa"/>
            <w:vAlign w:val="bottom"/>
            <w:shd w:val="clear" w:color="auto" w:fill="0067B3"/>
          </w:tcPr>
          <w:p>
            <w:pPr>
              <w:spacing w:after="0"/>
              <w:rPr>
                <w:sz w:val="18"/>
                <w:szCs w:val="18"/>
                <w:color w:val="auto"/>
              </w:rPr>
            </w:pPr>
          </w:p>
        </w:tc>
        <w:tc>
          <w:tcPr>
            <w:tcW w:w="1840" w:type="dxa"/>
            <w:vAlign w:val="bottom"/>
            <w:vMerge w:val="restart"/>
            <w:shd w:val="clear" w:color="auto" w:fill="0067B3"/>
          </w:tcPr>
          <w:p>
            <w:pPr>
              <w:jc w:val="right"/>
              <w:ind w:right="439"/>
              <w:spacing w:after="0"/>
              <w:rPr>
                <w:sz w:val="20"/>
                <w:szCs w:val="20"/>
                <w:color w:val="auto"/>
              </w:rPr>
            </w:pPr>
            <w:r>
              <w:rPr>
                <w:rFonts w:ascii="Arial" w:cs="Arial" w:eastAsia="Arial" w:hAnsi="Arial"/>
                <w:sz w:val="16"/>
                <w:szCs w:val="16"/>
                <w:b w:val="1"/>
                <w:bCs w:val="1"/>
                <w:color w:val="FFFFFF"/>
              </w:rPr>
              <w:t>Performance</w:t>
            </w:r>
          </w:p>
        </w:tc>
        <w:tc>
          <w:tcPr>
            <w:tcW w:w="1080" w:type="dxa"/>
            <w:vAlign w:val="bottom"/>
            <w:shd w:val="clear" w:color="auto" w:fill="0067B3"/>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1180" w:type="dxa"/>
            <w:vAlign w:val="bottom"/>
            <w:vMerge w:val="continue"/>
            <w:shd w:val="clear" w:color="auto" w:fill="0067B3"/>
          </w:tcPr>
          <w:p>
            <w:pPr>
              <w:spacing w:after="0"/>
              <w:rPr>
                <w:sz w:val="16"/>
                <w:szCs w:val="16"/>
                <w:color w:val="auto"/>
              </w:rPr>
            </w:pPr>
          </w:p>
        </w:tc>
        <w:tc>
          <w:tcPr>
            <w:tcW w:w="1400" w:type="dxa"/>
            <w:vAlign w:val="bottom"/>
            <w:shd w:val="clear" w:color="auto" w:fill="0067B3"/>
          </w:tcPr>
          <w:p>
            <w:pPr>
              <w:jc w:val="right"/>
              <w:ind w:right="59"/>
              <w:spacing w:after="0"/>
              <w:rPr>
                <w:sz w:val="20"/>
                <w:szCs w:val="20"/>
                <w:color w:val="auto"/>
              </w:rPr>
            </w:pPr>
            <w:r>
              <w:rPr>
                <w:rFonts w:ascii="Arial" w:cs="Arial" w:eastAsia="Arial" w:hAnsi="Arial"/>
                <w:sz w:val="16"/>
                <w:szCs w:val="16"/>
                <w:b w:val="1"/>
                <w:bCs w:val="1"/>
                <w:color w:val="FFFFFF"/>
              </w:rPr>
              <w:t>CEO Annual</w:t>
            </w:r>
          </w:p>
        </w:tc>
        <w:tc>
          <w:tcPr>
            <w:tcW w:w="1860" w:type="dxa"/>
            <w:vAlign w:val="bottom"/>
            <w:shd w:val="clear" w:color="auto" w:fill="0067B3"/>
          </w:tcPr>
          <w:p>
            <w:pPr>
              <w:jc w:val="right"/>
              <w:ind w:right="639"/>
              <w:spacing w:after="0"/>
              <w:rPr>
                <w:sz w:val="20"/>
                <w:szCs w:val="20"/>
                <w:color w:val="auto"/>
              </w:rPr>
            </w:pPr>
            <w:r>
              <w:rPr>
                <w:rFonts w:ascii="Arial" w:cs="Arial" w:eastAsia="Arial" w:hAnsi="Arial"/>
                <w:sz w:val="16"/>
                <w:szCs w:val="16"/>
                <w:b w:val="1"/>
                <w:bCs w:val="1"/>
                <w:color w:val="FFFFFF"/>
              </w:rPr>
              <w:t>Other NEO</w:t>
            </w:r>
          </w:p>
        </w:tc>
        <w:tc>
          <w:tcPr>
            <w:tcW w:w="3880" w:type="dxa"/>
            <w:vAlign w:val="bottom"/>
            <w:shd w:val="clear" w:color="auto" w:fill="0067B3"/>
          </w:tcPr>
          <w:p>
            <w:pPr>
              <w:spacing w:after="0"/>
              <w:rPr>
                <w:sz w:val="16"/>
                <w:szCs w:val="16"/>
                <w:color w:val="auto"/>
              </w:rPr>
            </w:pPr>
          </w:p>
        </w:tc>
        <w:tc>
          <w:tcPr>
            <w:tcW w:w="1840" w:type="dxa"/>
            <w:vAlign w:val="bottom"/>
            <w:vMerge w:val="continue"/>
            <w:shd w:val="clear" w:color="auto" w:fill="0067B3"/>
          </w:tcPr>
          <w:p>
            <w:pPr>
              <w:spacing w:after="0"/>
              <w:rPr>
                <w:sz w:val="16"/>
                <w:szCs w:val="16"/>
                <w:color w:val="auto"/>
              </w:rPr>
            </w:pPr>
          </w:p>
        </w:tc>
        <w:tc>
          <w:tcPr>
            <w:tcW w:w="1080" w:type="dxa"/>
            <w:vAlign w:val="bottom"/>
            <w:shd w:val="clear" w:color="auto" w:fill="0067B3"/>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1180" w:type="dxa"/>
            <w:vAlign w:val="bottom"/>
            <w:shd w:val="clear" w:color="auto" w:fill="0067B3"/>
          </w:tcPr>
          <w:p>
            <w:pPr>
              <w:ind w:left="20"/>
              <w:spacing w:after="0"/>
              <w:rPr>
                <w:sz w:val="20"/>
                <w:szCs w:val="20"/>
                <w:color w:val="auto"/>
              </w:rPr>
            </w:pPr>
            <w:r>
              <w:rPr>
                <w:rFonts w:ascii="Arial" w:cs="Arial" w:eastAsia="Arial" w:hAnsi="Arial"/>
                <w:sz w:val="16"/>
                <w:szCs w:val="16"/>
                <w:b w:val="1"/>
                <w:bCs w:val="1"/>
                <w:color w:val="FFFFFF"/>
              </w:rPr>
              <w:t>Award Type</w:t>
            </w:r>
          </w:p>
        </w:tc>
        <w:tc>
          <w:tcPr>
            <w:tcW w:w="1400" w:type="dxa"/>
            <w:vAlign w:val="bottom"/>
            <w:shd w:val="clear" w:color="auto" w:fill="0067B3"/>
          </w:tcPr>
          <w:p>
            <w:pPr>
              <w:jc w:val="right"/>
              <w:ind w:right="19"/>
              <w:spacing w:after="0"/>
              <w:rPr>
                <w:sz w:val="20"/>
                <w:szCs w:val="20"/>
                <w:color w:val="auto"/>
              </w:rPr>
            </w:pPr>
            <w:r>
              <w:rPr>
                <w:rFonts w:ascii="Arial" w:cs="Arial" w:eastAsia="Arial" w:hAnsi="Arial"/>
                <w:sz w:val="16"/>
                <w:szCs w:val="16"/>
                <w:b w:val="1"/>
                <w:bCs w:val="1"/>
                <w:color w:val="FFFFFF"/>
              </w:rPr>
              <w:t>Grant</w:t>
            </w:r>
          </w:p>
        </w:tc>
        <w:tc>
          <w:tcPr>
            <w:tcW w:w="1860" w:type="dxa"/>
            <w:vAlign w:val="bottom"/>
            <w:shd w:val="clear" w:color="auto" w:fill="0067B3"/>
          </w:tcPr>
          <w:p>
            <w:pPr>
              <w:jc w:val="right"/>
              <w:ind w:right="639"/>
              <w:spacing w:after="0"/>
              <w:rPr>
                <w:sz w:val="20"/>
                <w:szCs w:val="20"/>
                <w:color w:val="auto"/>
              </w:rPr>
            </w:pPr>
            <w:r>
              <w:rPr>
                <w:rFonts w:ascii="Arial" w:cs="Arial" w:eastAsia="Arial" w:hAnsi="Arial"/>
                <w:sz w:val="16"/>
                <w:szCs w:val="16"/>
                <w:b w:val="1"/>
                <w:bCs w:val="1"/>
                <w:color w:val="FFFFFF"/>
              </w:rPr>
              <w:t>Annual Grant</w:t>
            </w:r>
          </w:p>
        </w:tc>
        <w:tc>
          <w:tcPr>
            <w:tcW w:w="3880" w:type="dxa"/>
            <w:vAlign w:val="bottom"/>
            <w:shd w:val="clear" w:color="auto" w:fill="0067B3"/>
          </w:tcPr>
          <w:p>
            <w:pPr>
              <w:ind w:left="720"/>
              <w:spacing w:after="0"/>
              <w:rPr>
                <w:sz w:val="20"/>
                <w:szCs w:val="20"/>
                <w:color w:val="auto"/>
              </w:rPr>
            </w:pPr>
            <w:r>
              <w:rPr>
                <w:rFonts w:ascii="Arial" w:cs="Arial" w:eastAsia="Arial" w:hAnsi="Arial"/>
                <w:sz w:val="16"/>
                <w:szCs w:val="16"/>
                <w:b w:val="1"/>
                <w:bCs w:val="1"/>
                <w:color w:val="FFFFFF"/>
              </w:rPr>
              <w:t>Purpose   Time Period and Vesting</w:t>
            </w:r>
          </w:p>
        </w:tc>
        <w:tc>
          <w:tcPr>
            <w:tcW w:w="1840" w:type="dxa"/>
            <w:vAlign w:val="bottom"/>
            <w:shd w:val="clear" w:color="auto" w:fill="0067B3"/>
          </w:tcPr>
          <w:p>
            <w:pPr>
              <w:jc w:val="right"/>
              <w:ind w:right="439"/>
              <w:spacing w:after="0"/>
              <w:rPr>
                <w:sz w:val="20"/>
                <w:szCs w:val="20"/>
                <w:color w:val="auto"/>
              </w:rPr>
            </w:pPr>
            <w:r>
              <w:rPr>
                <w:rFonts w:ascii="Arial" w:cs="Arial" w:eastAsia="Arial" w:hAnsi="Arial"/>
                <w:sz w:val="16"/>
                <w:szCs w:val="16"/>
                <w:b w:val="1"/>
                <w:bCs w:val="1"/>
                <w:color w:val="FFFFFF"/>
              </w:rPr>
              <w:t>Metrics</w:t>
            </w:r>
          </w:p>
        </w:tc>
        <w:tc>
          <w:tcPr>
            <w:tcW w:w="1080" w:type="dxa"/>
            <w:vAlign w:val="bottom"/>
            <w:shd w:val="clear" w:color="auto" w:fill="0067B3"/>
          </w:tcPr>
          <w:p>
            <w:pPr>
              <w:ind w:left="520"/>
              <w:spacing w:after="0"/>
              <w:rPr>
                <w:sz w:val="20"/>
                <w:szCs w:val="20"/>
                <w:color w:val="auto"/>
              </w:rPr>
            </w:pPr>
            <w:r>
              <w:rPr>
                <w:rFonts w:ascii="Arial" w:cs="Arial" w:eastAsia="Arial" w:hAnsi="Arial"/>
                <w:sz w:val="16"/>
                <w:szCs w:val="16"/>
                <w:b w:val="1"/>
                <w:bCs w:val="1"/>
                <w:color w:val="FFFFFF"/>
              </w:rPr>
              <w:t>Payout</w:t>
            </w:r>
          </w:p>
        </w:tc>
        <w:tc>
          <w:tcPr>
            <w:tcW w:w="0" w:type="dxa"/>
            <w:vAlign w:val="bottom"/>
          </w:tcPr>
          <w:p>
            <w:pPr>
              <w:spacing w:after="0"/>
              <w:rPr>
                <w:sz w:val="1"/>
                <w:szCs w:val="1"/>
                <w:color w:val="auto"/>
              </w:rPr>
            </w:pPr>
          </w:p>
        </w:tc>
      </w:tr>
    </w:tbl>
    <w:p>
      <w:pPr>
        <w:spacing w:after="0" w:line="8" w:lineRule="exact"/>
        <w:rPr>
          <w:sz w:val="20"/>
          <w:szCs w:val="20"/>
          <w:color w:val="auto"/>
        </w:rPr>
      </w:pPr>
    </w:p>
    <w:p>
      <w:pPr>
        <w:sectPr>
          <w:pgSz w:w="11900" w:h="16838" w:orient="portrait"/>
          <w:cols w:equalWidth="0" w:num="1">
            <w:col w:w="11240"/>
          </w:cols>
          <w:pgMar w:left="320" w:top="1174" w:right="339" w:bottom="1440" w:gutter="0" w:footer="0" w:header="0"/>
        </w:sectPr>
      </w:pPr>
    </w:p>
    <w:p>
      <w:pPr>
        <w:spacing w:after="0" w:line="324" w:lineRule="exact"/>
        <w:rPr>
          <w:sz w:val="20"/>
          <w:szCs w:val="20"/>
          <w:color w:val="auto"/>
        </w:rPr>
      </w:pPr>
    </w:p>
    <w:p>
      <w:pPr>
        <w:ind w:left="20" w:right="2040"/>
        <w:spacing w:after="0" w:line="301" w:lineRule="auto"/>
        <w:rPr>
          <w:sz w:val="20"/>
          <w:szCs w:val="20"/>
          <w:color w:val="auto"/>
        </w:rPr>
      </w:pPr>
      <w:r>
        <w:rPr>
          <w:rFonts w:ascii="Arial" w:cs="Arial" w:eastAsia="Arial" w:hAnsi="Arial"/>
          <w:sz w:val="17"/>
          <w:szCs w:val="17"/>
          <w:color w:val="auto"/>
        </w:rPr>
        <w:t>Relative TSR PRSUs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810895</wp:posOffset>
            </wp:positionH>
            <wp:positionV relativeFrom="paragraph">
              <wp:posOffset>-418465</wp:posOffset>
            </wp:positionV>
            <wp:extent cx="436880" cy="445770"/>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436880" cy="44577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4320" w:type="dxa"/>
            <w:vAlign w:val="bottom"/>
            <w:gridSpan w:val="2"/>
          </w:tcPr>
          <w:p>
            <w:pPr>
              <w:jc w:val="right"/>
              <w:ind w:right="50"/>
              <w:spacing w:after="0"/>
              <w:rPr>
                <w:sz w:val="20"/>
                <w:szCs w:val="20"/>
                <w:color w:val="auto"/>
              </w:rPr>
            </w:pPr>
            <w:r>
              <w:rPr>
                <w:rFonts w:ascii="Arial" w:cs="Arial" w:eastAsia="Arial" w:hAnsi="Arial"/>
                <w:sz w:val="18"/>
                <w:szCs w:val="18"/>
                <w:color w:val="auto"/>
              </w:rPr>
              <w:t>Align executive officers’ 3-year performance period</w:t>
            </w:r>
          </w:p>
        </w:tc>
        <w:tc>
          <w:tcPr>
            <w:tcW w:w="2000" w:type="dxa"/>
            <w:vAlign w:val="bottom"/>
          </w:tcPr>
          <w:p>
            <w:pPr>
              <w:jc w:val="right"/>
              <w:ind w:right="370"/>
              <w:spacing w:after="0"/>
              <w:rPr>
                <w:sz w:val="20"/>
                <w:szCs w:val="20"/>
                <w:color w:val="auto"/>
              </w:rPr>
            </w:pPr>
            <w:r>
              <w:rPr>
                <w:rFonts w:ascii="Arial" w:cs="Arial" w:eastAsia="Arial" w:hAnsi="Arial"/>
                <w:sz w:val="18"/>
                <w:szCs w:val="18"/>
                <w:color w:val="auto"/>
              </w:rPr>
              <w:t>ADI’s 3-year TSR</w:t>
            </w:r>
          </w:p>
        </w:tc>
        <w:tc>
          <w:tcPr>
            <w:tcW w:w="1120" w:type="dxa"/>
            <w:vAlign w:val="bottom"/>
          </w:tcPr>
          <w:p>
            <w:pPr>
              <w:ind w:left="460"/>
              <w:spacing w:after="0"/>
              <w:rPr>
                <w:sz w:val="20"/>
                <w:szCs w:val="20"/>
                <w:color w:val="auto"/>
              </w:rPr>
            </w:pPr>
            <w:r>
              <w:rPr>
                <w:rFonts w:ascii="Arial" w:cs="Arial" w:eastAsia="Arial" w:hAnsi="Arial"/>
                <w:sz w:val="18"/>
                <w:szCs w:val="18"/>
                <w:color w:val="auto"/>
                <w:w w:val="96"/>
              </w:rPr>
              <w:t>0–200%</w:t>
            </w:r>
          </w:p>
        </w:tc>
      </w:tr>
      <w:tr>
        <w:trPr>
          <w:trHeight w:val="216"/>
        </w:trPr>
        <w:tc>
          <w:tcPr>
            <w:tcW w:w="2480" w:type="dxa"/>
            <w:vAlign w:val="bottom"/>
          </w:tcPr>
          <w:p>
            <w:pPr>
              <w:jc w:val="right"/>
              <w:ind w:right="370"/>
              <w:spacing w:after="0"/>
              <w:rPr>
                <w:sz w:val="20"/>
                <w:szCs w:val="20"/>
                <w:color w:val="auto"/>
              </w:rPr>
            </w:pPr>
            <w:r>
              <w:rPr>
                <w:rFonts w:ascii="Arial" w:cs="Arial" w:eastAsia="Arial" w:hAnsi="Arial"/>
                <w:sz w:val="18"/>
                <w:szCs w:val="18"/>
                <w:color w:val="auto"/>
              </w:rPr>
              <w:t>and shareholders’</w:t>
            </w:r>
          </w:p>
        </w:tc>
        <w:tc>
          <w:tcPr>
            <w:tcW w:w="1840" w:type="dxa"/>
            <w:vAlign w:val="bottom"/>
          </w:tcPr>
          <w:p>
            <w:pPr>
              <w:jc w:val="right"/>
              <w:ind w:right="50"/>
              <w:spacing w:after="0"/>
              <w:rPr>
                <w:sz w:val="20"/>
                <w:szCs w:val="20"/>
                <w:color w:val="auto"/>
              </w:rPr>
            </w:pPr>
            <w:r>
              <w:rPr>
                <w:rFonts w:ascii="Arial" w:cs="Arial" w:eastAsia="Arial" w:hAnsi="Arial"/>
                <w:sz w:val="18"/>
                <w:szCs w:val="18"/>
                <w:color w:val="auto"/>
              </w:rPr>
              <w:t>with cliff vesting</w:t>
            </w:r>
          </w:p>
        </w:tc>
        <w:tc>
          <w:tcPr>
            <w:tcW w:w="2000" w:type="dxa"/>
            <w:vAlign w:val="bottom"/>
          </w:tcPr>
          <w:p>
            <w:pPr>
              <w:jc w:val="right"/>
              <w:ind w:right="370"/>
              <w:spacing w:after="0"/>
              <w:rPr>
                <w:sz w:val="20"/>
                <w:szCs w:val="20"/>
                <w:color w:val="auto"/>
              </w:rPr>
            </w:pPr>
            <w:r>
              <w:rPr>
                <w:rFonts w:ascii="Arial" w:cs="Arial" w:eastAsia="Arial" w:hAnsi="Arial"/>
                <w:sz w:val="18"/>
                <w:szCs w:val="18"/>
                <w:color w:val="auto"/>
              </w:rPr>
              <w:t>compared to a</w:t>
            </w:r>
          </w:p>
        </w:tc>
        <w:tc>
          <w:tcPr>
            <w:tcW w:w="1120" w:type="dxa"/>
            <w:vAlign w:val="bottom"/>
          </w:tcPr>
          <w:p>
            <w:pPr>
              <w:spacing w:after="0"/>
              <w:rPr>
                <w:sz w:val="18"/>
                <w:szCs w:val="18"/>
                <w:color w:val="auto"/>
              </w:rPr>
            </w:pPr>
          </w:p>
        </w:tc>
      </w:tr>
      <w:tr>
        <w:trPr>
          <w:trHeight w:val="216"/>
        </w:trPr>
        <w:tc>
          <w:tcPr>
            <w:tcW w:w="2480" w:type="dxa"/>
            <w:vAlign w:val="bottom"/>
          </w:tcPr>
          <w:p>
            <w:pPr>
              <w:jc w:val="right"/>
              <w:ind w:right="370"/>
              <w:spacing w:after="0"/>
              <w:rPr>
                <w:sz w:val="20"/>
                <w:szCs w:val="20"/>
                <w:color w:val="auto"/>
              </w:rPr>
            </w:pPr>
            <w:r>
              <w:rPr>
                <w:rFonts w:ascii="Arial" w:cs="Arial" w:eastAsia="Arial" w:hAnsi="Arial"/>
                <w:sz w:val="18"/>
                <w:szCs w:val="18"/>
                <w:color w:val="auto"/>
                <w:w w:val="98"/>
              </w:rPr>
              <w:t>interests to drive superior</w:t>
            </w:r>
          </w:p>
        </w:tc>
        <w:tc>
          <w:tcPr>
            <w:tcW w:w="1840" w:type="dxa"/>
            <w:vAlign w:val="bottom"/>
          </w:tcPr>
          <w:p>
            <w:pPr>
              <w:spacing w:after="0"/>
              <w:rPr>
                <w:sz w:val="18"/>
                <w:szCs w:val="18"/>
                <w:color w:val="auto"/>
              </w:rPr>
            </w:pPr>
          </w:p>
        </w:tc>
        <w:tc>
          <w:tcPr>
            <w:tcW w:w="2000" w:type="dxa"/>
            <w:vAlign w:val="bottom"/>
          </w:tcPr>
          <w:p>
            <w:pPr>
              <w:jc w:val="right"/>
              <w:ind w:right="370"/>
              <w:spacing w:after="0"/>
              <w:rPr>
                <w:sz w:val="20"/>
                <w:szCs w:val="20"/>
                <w:color w:val="auto"/>
              </w:rPr>
            </w:pPr>
            <w:r>
              <w:rPr>
                <w:rFonts w:ascii="Arial" w:cs="Arial" w:eastAsia="Arial" w:hAnsi="Arial"/>
                <w:sz w:val="18"/>
                <w:szCs w:val="18"/>
                <w:color w:val="auto"/>
              </w:rPr>
              <w:t>comparator group</w:t>
            </w:r>
          </w:p>
        </w:tc>
        <w:tc>
          <w:tcPr>
            <w:tcW w:w="1120" w:type="dxa"/>
            <w:vAlign w:val="bottom"/>
          </w:tcPr>
          <w:p>
            <w:pPr>
              <w:spacing w:after="0"/>
              <w:rPr>
                <w:sz w:val="18"/>
                <w:szCs w:val="18"/>
                <w:color w:val="auto"/>
              </w:rPr>
            </w:pPr>
          </w:p>
        </w:tc>
      </w:tr>
      <w:tr>
        <w:trPr>
          <w:trHeight w:val="216"/>
        </w:trPr>
        <w:tc>
          <w:tcPr>
            <w:tcW w:w="2480" w:type="dxa"/>
            <w:vAlign w:val="bottom"/>
          </w:tcPr>
          <w:p>
            <w:pPr>
              <w:jc w:val="right"/>
              <w:ind w:right="370"/>
              <w:spacing w:after="0"/>
              <w:rPr>
                <w:sz w:val="20"/>
                <w:szCs w:val="20"/>
                <w:color w:val="auto"/>
              </w:rPr>
            </w:pPr>
            <w:r>
              <w:rPr>
                <w:rFonts w:ascii="Arial" w:cs="Arial" w:eastAsia="Arial" w:hAnsi="Arial"/>
                <w:sz w:val="18"/>
                <w:szCs w:val="18"/>
                <w:color w:val="auto"/>
              </w:rPr>
              <w:t>TSR relative to</w:t>
            </w:r>
          </w:p>
        </w:tc>
        <w:tc>
          <w:tcPr>
            <w:tcW w:w="184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39"/>
        </w:trPr>
        <w:tc>
          <w:tcPr>
            <w:tcW w:w="2480" w:type="dxa"/>
            <w:vAlign w:val="bottom"/>
          </w:tcPr>
          <w:p>
            <w:pPr>
              <w:jc w:val="right"/>
              <w:ind w:right="370"/>
              <w:spacing w:after="0"/>
              <w:rPr>
                <w:sz w:val="20"/>
                <w:szCs w:val="20"/>
                <w:color w:val="auto"/>
              </w:rPr>
            </w:pPr>
            <w:r>
              <w:rPr>
                <w:rFonts w:ascii="Arial" w:cs="Arial" w:eastAsia="Arial" w:hAnsi="Arial"/>
                <w:sz w:val="18"/>
                <w:szCs w:val="18"/>
                <w:color w:val="auto"/>
              </w:rPr>
              <w:t>comparator group</w:t>
            </w:r>
          </w:p>
        </w:tc>
        <w:tc>
          <w:tcPr>
            <w:tcW w:w="1840" w:type="dxa"/>
            <w:vAlign w:val="bottom"/>
          </w:tcPr>
          <w:p>
            <w:pPr>
              <w:spacing w:after="0"/>
              <w:rPr>
                <w:sz w:val="20"/>
                <w:szCs w:val="20"/>
                <w:color w:val="auto"/>
              </w:rPr>
            </w:pPr>
          </w:p>
        </w:tc>
        <w:tc>
          <w:tcPr>
            <w:tcW w:w="2000" w:type="dxa"/>
            <w:vAlign w:val="bottom"/>
          </w:tcPr>
          <w:p>
            <w:pPr>
              <w:spacing w:after="0"/>
              <w:rPr>
                <w:sz w:val="20"/>
                <w:szCs w:val="20"/>
                <w:color w:val="auto"/>
              </w:rPr>
            </w:pPr>
          </w:p>
        </w:tc>
        <w:tc>
          <w:tcPr>
            <w:tcW w:w="112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-2394585</wp:posOffset>
            </wp:positionH>
            <wp:positionV relativeFrom="paragraph">
              <wp:posOffset>14605</wp:posOffset>
            </wp:positionV>
            <wp:extent cx="7132320" cy="825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-584835</wp:posOffset>
            </wp:positionV>
            <wp:extent cx="411480" cy="411480"/>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411480" cy="411480"/>
                    </a:xfrm>
                    <a:prstGeom prst="rect">
                      <a:avLst/>
                    </a:prstGeom>
                    <a:noFill/>
                  </pic:spPr>
                </pic:pic>
              </a:graphicData>
            </a:graphic>
          </wp:anchor>
        </w:drawing>
      </w:r>
    </w:p>
    <w:p>
      <w:pPr>
        <w:spacing w:after="0" w:line="31" w:lineRule="exact"/>
        <w:rPr>
          <w:sz w:val="20"/>
          <w:szCs w:val="20"/>
          <w:color w:val="auto"/>
        </w:rPr>
      </w:pPr>
    </w:p>
    <w:p>
      <w:pPr>
        <w:sectPr>
          <w:pgSz w:w="11900" w:h="16838" w:orient="portrait"/>
          <w:cols w:equalWidth="0" w:num="2">
            <w:col w:w="3060" w:space="720"/>
            <w:col w:w="7460"/>
          </w:cols>
          <w:pgMar w:left="320" w:top="1174" w:right="339" w:bottom="1440" w:gutter="0" w:footer="0" w:header="0"/>
          <w:type w:val="continuous"/>
        </w:sectPr>
      </w:pPr>
    </w:p>
    <w:p>
      <w:pPr>
        <w:spacing w:after="0" w:line="297" w:lineRule="exact"/>
        <w:rPr>
          <w:sz w:val="20"/>
          <w:szCs w:val="20"/>
          <w:color w:val="auto"/>
        </w:rPr>
      </w:pPr>
    </w:p>
    <w:p>
      <w:pPr>
        <w:ind w:left="20" w:right="2060"/>
        <w:spacing w:after="0" w:line="271" w:lineRule="auto"/>
        <w:rPr>
          <w:sz w:val="20"/>
          <w:szCs w:val="20"/>
          <w:color w:val="auto"/>
        </w:rPr>
      </w:pPr>
      <w:r>
        <w:rPr>
          <w:rFonts w:ascii="Arial" w:cs="Arial" w:eastAsia="Arial" w:hAnsi="Arial"/>
          <w:sz w:val="18"/>
          <w:szCs w:val="18"/>
          <w:color w:val="auto"/>
        </w:rPr>
        <w:t>Financial Metric PRSUs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810895</wp:posOffset>
            </wp:positionH>
            <wp:positionV relativeFrom="paragraph">
              <wp:posOffset>-404495</wp:posOffset>
            </wp:positionV>
            <wp:extent cx="436880" cy="445770"/>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436880" cy="445770"/>
                    </a:xfrm>
                    <a:prstGeom prst="rect">
                      <a:avLst/>
                    </a:prstGeom>
                    <a:noFill/>
                  </pic:spPr>
                </pic:pic>
              </a:graphicData>
            </a:graphic>
          </wp:anchor>
        </w:drawing>
        <w:drawing>
          <wp:anchor simplePos="0" relativeHeight="251657728" behindDoc="1" locked="0" layoutInCell="0" allowOverlap="1">
            <wp:simplePos x="0" y="0"/>
            <wp:positionH relativeFrom="column">
              <wp:posOffset>810895</wp:posOffset>
            </wp:positionH>
            <wp:positionV relativeFrom="paragraph">
              <wp:posOffset>280670</wp:posOffset>
            </wp:positionV>
            <wp:extent cx="436880" cy="436880"/>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436880" cy="436880"/>
                    </a:xfrm>
                    <a:prstGeom prst="rect">
                      <a:avLst/>
                    </a:prstGeom>
                    <a:noFill/>
                  </pic:spPr>
                </pic:pic>
              </a:graphicData>
            </a:graphic>
          </wp:anchor>
        </w:drawing>
      </w:r>
    </w:p>
    <w:p>
      <w:pPr>
        <w:spacing w:after="0" w:line="200" w:lineRule="exact"/>
        <w:rPr>
          <w:sz w:val="20"/>
          <w:szCs w:val="20"/>
          <w:color w:val="auto"/>
        </w:rPr>
      </w:pPr>
    </w:p>
    <w:p>
      <w:pPr>
        <w:spacing w:after="0" w:line="379" w:lineRule="exact"/>
        <w:rPr>
          <w:sz w:val="20"/>
          <w:szCs w:val="20"/>
          <w:color w:val="auto"/>
        </w:rPr>
      </w:pPr>
    </w:p>
    <w:p>
      <w:pPr>
        <w:ind w:left="20" w:right="2240"/>
        <w:spacing w:after="0" w:line="301" w:lineRule="auto"/>
        <w:rPr>
          <w:sz w:val="20"/>
          <w:szCs w:val="20"/>
          <w:color w:val="auto"/>
        </w:rPr>
      </w:pPr>
      <w:r>
        <w:rPr>
          <w:rFonts w:ascii="Arial" w:cs="Arial" w:eastAsia="Arial" w:hAnsi="Arial"/>
          <w:sz w:val="17"/>
          <w:szCs w:val="17"/>
          <w:color w:val="auto"/>
        </w:rPr>
        <w:t>Time-Based RSUs</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89"/>
        </w:trPr>
        <w:tc>
          <w:tcPr>
            <w:tcW w:w="1880" w:type="dxa"/>
            <w:vAlign w:val="bottom"/>
          </w:tcPr>
          <w:p>
            <w:pPr>
              <w:jc w:val="right"/>
              <w:spacing w:after="0"/>
              <w:rPr>
                <w:sz w:val="20"/>
                <w:szCs w:val="20"/>
                <w:color w:val="auto"/>
              </w:rPr>
            </w:pPr>
            <w:r>
              <w:rPr>
                <w:rFonts w:ascii="Arial" w:cs="Arial" w:eastAsia="Arial" w:hAnsi="Arial"/>
                <w:sz w:val="18"/>
                <w:szCs w:val="18"/>
                <w:color w:val="auto"/>
                <w:w w:val="97"/>
              </w:rPr>
              <w:t>Align executive officers’</w:t>
            </w:r>
          </w:p>
        </w:tc>
        <w:tc>
          <w:tcPr>
            <w:tcW w:w="2280" w:type="dxa"/>
            <w:vAlign w:val="bottom"/>
          </w:tcPr>
          <w:p>
            <w:pPr>
              <w:jc w:val="right"/>
              <w:ind w:right="61"/>
              <w:spacing w:after="0"/>
              <w:rPr>
                <w:sz w:val="20"/>
                <w:szCs w:val="20"/>
                <w:color w:val="auto"/>
              </w:rPr>
            </w:pPr>
            <w:r>
              <w:rPr>
                <w:rFonts w:ascii="Arial" w:cs="Arial" w:eastAsia="Arial" w:hAnsi="Arial"/>
                <w:sz w:val="18"/>
                <w:szCs w:val="18"/>
                <w:color w:val="auto"/>
                <w:w w:val="99"/>
              </w:rPr>
              <w:t>3-year performance period</w:t>
            </w:r>
          </w:p>
        </w:tc>
        <w:tc>
          <w:tcPr>
            <w:tcW w:w="1600" w:type="dxa"/>
            <w:vAlign w:val="bottom"/>
          </w:tcPr>
          <w:p>
            <w:pPr>
              <w:jc w:val="right"/>
              <w:spacing w:after="0"/>
              <w:rPr>
                <w:sz w:val="20"/>
                <w:szCs w:val="20"/>
                <w:color w:val="auto"/>
              </w:rPr>
            </w:pPr>
            <w:r>
              <w:rPr>
                <w:rFonts w:ascii="Arial" w:cs="Arial" w:eastAsia="Arial" w:hAnsi="Arial"/>
                <w:sz w:val="18"/>
                <w:szCs w:val="18"/>
                <w:color w:val="auto"/>
              </w:rPr>
              <w:t>3-year cumulative</w:t>
            </w:r>
          </w:p>
        </w:tc>
        <w:tc>
          <w:tcPr>
            <w:tcW w:w="1520" w:type="dxa"/>
            <w:vAlign w:val="bottom"/>
          </w:tcPr>
          <w:p>
            <w:pPr>
              <w:jc w:val="right"/>
              <w:spacing w:after="0"/>
              <w:rPr>
                <w:sz w:val="20"/>
                <w:szCs w:val="20"/>
                <w:color w:val="auto"/>
              </w:rPr>
            </w:pPr>
            <w:r>
              <w:rPr>
                <w:rFonts w:ascii="Arial" w:cs="Arial" w:eastAsia="Arial" w:hAnsi="Arial"/>
                <w:sz w:val="18"/>
                <w:szCs w:val="18"/>
                <w:color w:val="auto"/>
              </w:rPr>
              <w:t>0–200%</w:t>
            </w:r>
          </w:p>
        </w:tc>
        <w:tc>
          <w:tcPr>
            <w:tcW w:w="0" w:type="dxa"/>
            <w:vAlign w:val="bottom"/>
          </w:tcPr>
          <w:p>
            <w:pPr>
              <w:spacing w:after="0"/>
              <w:rPr>
                <w:sz w:val="1"/>
                <w:szCs w:val="1"/>
                <w:color w:val="auto"/>
              </w:rPr>
            </w:pPr>
          </w:p>
        </w:tc>
      </w:tr>
      <w:tr>
        <w:trPr>
          <w:trHeight w:val="103"/>
        </w:trPr>
        <w:tc>
          <w:tcPr>
            <w:tcW w:w="1880" w:type="dxa"/>
            <w:vAlign w:val="bottom"/>
            <w:vMerge w:val="restart"/>
          </w:tcPr>
          <w:p>
            <w:pPr>
              <w:jc w:val="right"/>
              <w:spacing w:after="0"/>
              <w:rPr>
                <w:sz w:val="20"/>
                <w:szCs w:val="20"/>
                <w:color w:val="auto"/>
              </w:rPr>
            </w:pPr>
            <w:r>
              <w:rPr>
                <w:rFonts w:ascii="Arial" w:cs="Arial" w:eastAsia="Arial" w:hAnsi="Arial"/>
                <w:sz w:val="18"/>
                <w:szCs w:val="18"/>
                <w:color w:val="auto"/>
              </w:rPr>
              <w:t>and shareholders’</w:t>
            </w:r>
          </w:p>
        </w:tc>
        <w:tc>
          <w:tcPr>
            <w:tcW w:w="2280" w:type="dxa"/>
            <w:vAlign w:val="bottom"/>
          </w:tcPr>
          <w:p>
            <w:pPr>
              <w:jc w:val="right"/>
              <w:ind w:right="61"/>
              <w:spacing w:after="0" w:line="103" w:lineRule="exact"/>
              <w:rPr>
                <w:sz w:val="20"/>
                <w:szCs w:val="20"/>
                <w:color w:val="auto"/>
              </w:rPr>
            </w:pPr>
            <w:r>
              <w:rPr>
                <w:rFonts w:ascii="Arial" w:cs="Arial" w:eastAsia="Arial" w:hAnsi="Arial"/>
                <w:sz w:val="11"/>
                <w:szCs w:val="11"/>
                <w:color w:val="auto"/>
              </w:rPr>
              <w:t>with cliff vesting</w:t>
            </w:r>
          </w:p>
        </w:tc>
        <w:tc>
          <w:tcPr>
            <w:tcW w:w="1600" w:type="dxa"/>
            <w:vAlign w:val="bottom"/>
          </w:tcPr>
          <w:p>
            <w:pPr>
              <w:jc w:val="right"/>
              <w:spacing w:after="0" w:line="103" w:lineRule="exact"/>
              <w:rPr>
                <w:sz w:val="20"/>
                <w:szCs w:val="20"/>
                <w:color w:val="auto"/>
              </w:rPr>
            </w:pPr>
            <w:r>
              <w:rPr>
                <w:rFonts w:ascii="Arial" w:cs="Arial" w:eastAsia="Arial" w:hAnsi="Arial"/>
                <w:sz w:val="11"/>
                <w:szCs w:val="11"/>
                <w:color w:val="auto"/>
              </w:rPr>
              <w:t>non-GAAP</w:t>
            </w:r>
          </w:p>
        </w:tc>
        <w:tc>
          <w:tcPr>
            <w:tcW w:w="15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8"/>
        </w:trPr>
        <w:tc>
          <w:tcPr>
            <w:tcW w:w="1880" w:type="dxa"/>
            <w:vAlign w:val="bottom"/>
            <w:vMerge w:val="continue"/>
          </w:tcPr>
          <w:p>
            <w:pPr>
              <w:spacing w:after="0"/>
              <w:rPr>
                <w:sz w:val="9"/>
                <w:szCs w:val="9"/>
                <w:color w:val="auto"/>
              </w:rPr>
            </w:pPr>
          </w:p>
        </w:tc>
        <w:tc>
          <w:tcPr>
            <w:tcW w:w="2280" w:type="dxa"/>
            <w:vAlign w:val="bottom"/>
          </w:tcPr>
          <w:p>
            <w:pPr>
              <w:spacing w:after="0"/>
              <w:rPr>
                <w:sz w:val="9"/>
                <w:szCs w:val="9"/>
                <w:color w:val="auto"/>
              </w:rPr>
            </w:pPr>
          </w:p>
        </w:tc>
        <w:tc>
          <w:tcPr>
            <w:tcW w:w="1600" w:type="dxa"/>
            <w:vAlign w:val="bottom"/>
            <w:vMerge w:val="restart"/>
          </w:tcPr>
          <w:p>
            <w:pPr>
              <w:jc w:val="right"/>
              <w:spacing w:after="0" w:line="202" w:lineRule="exact"/>
              <w:rPr>
                <w:sz w:val="20"/>
                <w:szCs w:val="20"/>
                <w:color w:val="auto"/>
              </w:rPr>
            </w:pPr>
            <w:r>
              <w:rPr>
                <w:rFonts w:ascii="Arial" w:cs="Arial" w:eastAsia="Arial" w:hAnsi="Arial"/>
                <w:sz w:val="18"/>
                <w:szCs w:val="18"/>
                <w:color w:val="auto"/>
              </w:rPr>
              <w:t>operating profit</w:t>
            </w:r>
          </w:p>
        </w:tc>
        <w:tc>
          <w:tcPr>
            <w:tcW w:w="15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94"/>
        </w:trPr>
        <w:tc>
          <w:tcPr>
            <w:tcW w:w="1880" w:type="dxa"/>
            <w:vAlign w:val="bottom"/>
            <w:vMerge w:val="restart"/>
          </w:tcPr>
          <w:p>
            <w:pPr>
              <w:jc w:val="right"/>
              <w:spacing w:after="0" w:line="202" w:lineRule="exact"/>
              <w:rPr>
                <w:sz w:val="20"/>
                <w:szCs w:val="20"/>
                <w:color w:val="auto"/>
              </w:rPr>
            </w:pPr>
            <w:r>
              <w:rPr>
                <w:rFonts w:ascii="Arial" w:cs="Arial" w:eastAsia="Arial" w:hAnsi="Arial"/>
                <w:sz w:val="18"/>
                <w:szCs w:val="18"/>
                <w:color w:val="auto"/>
              </w:rPr>
              <w:t>interests to drive long-</w:t>
            </w:r>
          </w:p>
        </w:tc>
        <w:tc>
          <w:tcPr>
            <w:tcW w:w="2280" w:type="dxa"/>
            <w:vAlign w:val="bottom"/>
          </w:tcPr>
          <w:p>
            <w:pPr>
              <w:spacing w:after="0"/>
              <w:rPr>
                <w:sz w:val="8"/>
                <w:szCs w:val="8"/>
                <w:color w:val="auto"/>
              </w:rPr>
            </w:pPr>
          </w:p>
        </w:tc>
        <w:tc>
          <w:tcPr>
            <w:tcW w:w="1600" w:type="dxa"/>
            <w:vAlign w:val="bottom"/>
            <w:vMerge w:val="continue"/>
          </w:tcPr>
          <w:p>
            <w:pPr>
              <w:spacing w:after="0"/>
              <w:rPr>
                <w:sz w:val="8"/>
                <w:szCs w:val="8"/>
                <w:color w:val="auto"/>
              </w:rPr>
            </w:pPr>
          </w:p>
        </w:tc>
        <w:tc>
          <w:tcPr>
            <w:tcW w:w="15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8"/>
        </w:trPr>
        <w:tc>
          <w:tcPr>
            <w:tcW w:w="1880" w:type="dxa"/>
            <w:vAlign w:val="bottom"/>
            <w:vMerge w:val="continue"/>
          </w:tcPr>
          <w:p>
            <w:pPr>
              <w:spacing w:after="0"/>
              <w:rPr>
                <w:sz w:val="9"/>
                <w:szCs w:val="9"/>
                <w:color w:val="auto"/>
              </w:rPr>
            </w:pPr>
          </w:p>
        </w:tc>
        <w:tc>
          <w:tcPr>
            <w:tcW w:w="2280" w:type="dxa"/>
            <w:vAlign w:val="bottom"/>
          </w:tcPr>
          <w:p>
            <w:pPr>
              <w:spacing w:after="0"/>
              <w:rPr>
                <w:sz w:val="9"/>
                <w:szCs w:val="9"/>
                <w:color w:val="auto"/>
              </w:rPr>
            </w:pPr>
          </w:p>
        </w:tc>
        <w:tc>
          <w:tcPr>
            <w:tcW w:w="1600" w:type="dxa"/>
            <w:vAlign w:val="bottom"/>
            <w:vMerge w:val="restart"/>
          </w:tcPr>
          <w:p>
            <w:pPr>
              <w:jc w:val="right"/>
              <w:spacing w:after="0"/>
              <w:rPr>
                <w:sz w:val="20"/>
                <w:szCs w:val="20"/>
                <w:color w:val="auto"/>
              </w:rPr>
            </w:pPr>
            <w:r>
              <w:rPr>
                <w:rFonts w:ascii="Arial" w:cs="Arial" w:eastAsia="Arial" w:hAnsi="Arial"/>
                <w:sz w:val="18"/>
                <w:szCs w:val="18"/>
                <w:color w:val="auto"/>
              </w:rPr>
              <w:t>(in dollars)</w:t>
            </w:r>
          </w:p>
        </w:tc>
        <w:tc>
          <w:tcPr>
            <w:tcW w:w="15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1"/>
        </w:trPr>
        <w:tc>
          <w:tcPr>
            <w:tcW w:w="1880" w:type="dxa"/>
            <w:vAlign w:val="bottom"/>
            <w:vMerge w:val="restart"/>
          </w:tcPr>
          <w:p>
            <w:pPr>
              <w:jc w:val="right"/>
              <w:spacing w:after="0"/>
              <w:rPr>
                <w:sz w:val="20"/>
                <w:szCs w:val="20"/>
                <w:color w:val="auto"/>
              </w:rPr>
            </w:pPr>
            <w:r>
              <w:rPr>
                <w:rFonts w:ascii="Arial" w:cs="Arial" w:eastAsia="Arial" w:hAnsi="Arial"/>
                <w:sz w:val="18"/>
                <w:szCs w:val="18"/>
                <w:color w:val="auto"/>
              </w:rPr>
              <w:t>term profitability</w:t>
            </w:r>
          </w:p>
        </w:tc>
        <w:tc>
          <w:tcPr>
            <w:tcW w:w="2280" w:type="dxa"/>
            <w:vAlign w:val="bottom"/>
          </w:tcPr>
          <w:p>
            <w:pPr>
              <w:spacing w:after="0"/>
              <w:rPr>
                <w:sz w:val="11"/>
                <w:szCs w:val="11"/>
                <w:color w:val="auto"/>
              </w:rPr>
            </w:pPr>
          </w:p>
        </w:tc>
        <w:tc>
          <w:tcPr>
            <w:tcW w:w="1600" w:type="dxa"/>
            <w:vAlign w:val="bottom"/>
            <w:vMerge w:val="continue"/>
          </w:tcPr>
          <w:p>
            <w:pPr>
              <w:spacing w:after="0"/>
              <w:rPr>
                <w:sz w:val="11"/>
                <w:szCs w:val="11"/>
                <w:color w:val="auto"/>
              </w:rPr>
            </w:pPr>
          </w:p>
        </w:tc>
        <w:tc>
          <w:tcPr>
            <w:tcW w:w="15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1880" w:type="dxa"/>
            <w:vAlign w:val="bottom"/>
            <w:vMerge w:val="continue"/>
          </w:tcPr>
          <w:p>
            <w:pPr>
              <w:spacing w:after="0"/>
              <w:rPr>
                <w:sz w:val="9"/>
                <w:szCs w:val="9"/>
                <w:color w:val="auto"/>
              </w:rPr>
            </w:pPr>
          </w:p>
        </w:tc>
        <w:tc>
          <w:tcPr>
            <w:tcW w:w="2280" w:type="dxa"/>
            <w:vAlign w:val="bottom"/>
          </w:tcPr>
          <w:p>
            <w:pPr>
              <w:spacing w:after="0"/>
              <w:rPr>
                <w:sz w:val="9"/>
                <w:szCs w:val="9"/>
                <w:color w:val="auto"/>
              </w:rPr>
            </w:pPr>
          </w:p>
        </w:tc>
        <w:tc>
          <w:tcPr>
            <w:tcW w:w="1600" w:type="dxa"/>
            <w:vAlign w:val="bottom"/>
          </w:tcPr>
          <w:p>
            <w:pPr>
              <w:spacing w:after="0"/>
              <w:rPr>
                <w:sz w:val="9"/>
                <w:szCs w:val="9"/>
                <w:color w:val="auto"/>
              </w:rPr>
            </w:pPr>
          </w:p>
        </w:tc>
        <w:tc>
          <w:tcPr>
            <w:tcW w:w="15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28"/>
        </w:trPr>
        <w:tc>
          <w:tcPr>
            <w:tcW w:w="1880" w:type="dxa"/>
            <w:vAlign w:val="bottom"/>
          </w:tcPr>
          <w:p>
            <w:pPr>
              <w:jc w:val="right"/>
              <w:spacing w:after="0"/>
              <w:rPr>
                <w:sz w:val="20"/>
                <w:szCs w:val="20"/>
                <w:color w:val="auto"/>
              </w:rPr>
            </w:pPr>
            <w:r>
              <w:rPr>
                <w:rFonts w:ascii="Arial" w:cs="Arial" w:eastAsia="Arial" w:hAnsi="Arial"/>
                <w:sz w:val="18"/>
                <w:szCs w:val="18"/>
                <w:color w:val="auto"/>
              </w:rPr>
              <w:t>Attract and retain key</w:t>
            </w:r>
          </w:p>
        </w:tc>
        <w:tc>
          <w:tcPr>
            <w:tcW w:w="2280" w:type="dxa"/>
            <w:vAlign w:val="bottom"/>
          </w:tcPr>
          <w:p>
            <w:pPr>
              <w:jc w:val="right"/>
              <w:ind w:right="61"/>
              <w:spacing w:after="0"/>
              <w:rPr>
                <w:sz w:val="20"/>
                <w:szCs w:val="20"/>
                <w:color w:val="auto"/>
              </w:rPr>
            </w:pPr>
            <w:r>
              <w:rPr>
                <w:rFonts w:ascii="Arial" w:cs="Arial" w:eastAsia="Arial" w:hAnsi="Arial"/>
                <w:sz w:val="18"/>
                <w:szCs w:val="18"/>
                <w:color w:val="auto"/>
              </w:rPr>
              <w:t>4-year graded vesting</w:t>
            </w:r>
          </w:p>
        </w:tc>
        <w:tc>
          <w:tcPr>
            <w:tcW w:w="1600" w:type="dxa"/>
            <w:vAlign w:val="bottom"/>
          </w:tcPr>
          <w:p>
            <w:pPr>
              <w:jc w:val="right"/>
              <w:spacing w:after="0"/>
              <w:rPr>
                <w:sz w:val="20"/>
                <w:szCs w:val="20"/>
                <w:color w:val="auto"/>
              </w:rPr>
            </w:pPr>
            <w:r>
              <w:rPr>
                <w:rFonts w:ascii="Arial" w:cs="Arial" w:eastAsia="Arial" w:hAnsi="Arial"/>
                <w:sz w:val="18"/>
                <w:szCs w:val="18"/>
                <w:color w:val="auto"/>
              </w:rPr>
              <w:t>None</w:t>
            </w:r>
          </w:p>
        </w:tc>
        <w:tc>
          <w:tcPr>
            <w:tcW w:w="1520" w:type="dxa"/>
            <w:vAlign w:val="bottom"/>
          </w:tcPr>
          <w:p>
            <w:pPr>
              <w:jc w:val="right"/>
              <w:spacing w:after="0"/>
              <w:rPr>
                <w:sz w:val="20"/>
                <w:szCs w:val="20"/>
                <w:color w:val="auto"/>
              </w:rPr>
            </w:pPr>
            <w:r>
              <w:rPr>
                <w:rFonts w:ascii="Arial" w:cs="Arial" w:eastAsia="Arial" w:hAnsi="Arial"/>
                <w:sz w:val="18"/>
                <w:szCs w:val="18"/>
                <w:color w:val="auto"/>
              </w:rPr>
              <w:t>100% value in</w:t>
            </w:r>
          </w:p>
        </w:tc>
        <w:tc>
          <w:tcPr>
            <w:tcW w:w="0" w:type="dxa"/>
            <w:vAlign w:val="bottom"/>
          </w:tcPr>
          <w:p>
            <w:pPr>
              <w:spacing w:after="0"/>
              <w:rPr>
                <w:sz w:val="1"/>
                <w:szCs w:val="1"/>
                <w:color w:val="auto"/>
              </w:rPr>
            </w:pPr>
          </w:p>
        </w:tc>
      </w:tr>
      <w:tr>
        <w:trPr>
          <w:trHeight w:val="189"/>
        </w:trPr>
        <w:tc>
          <w:tcPr>
            <w:tcW w:w="1880" w:type="dxa"/>
            <w:vAlign w:val="bottom"/>
          </w:tcPr>
          <w:p>
            <w:pPr>
              <w:jc w:val="right"/>
              <w:spacing w:after="0" w:line="189" w:lineRule="exact"/>
              <w:rPr>
                <w:sz w:val="20"/>
                <w:szCs w:val="20"/>
                <w:color w:val="auto"/>
              </w:rPr>
            </w:pPr>
            <w:r>
              <w:rPr>
                <w:rFonts w:ascii="Arial" w:cs="Arial" w:eastAsia="Arial" w:hAnsi="Arial"/>
                <w:sz w:val="18"/>
                <w:szCs w:val="18"/>
                <w:color w:val="auto"/>
              </w:rPr>
              <w:t>executives</w:t>
            </w:r>
          </w:p>
        </w:tc>
        <w:tc>
          <w:tcPr>
            <w:tcW w:w="228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1520" w:type="dxa"/>
            <w:vAlign w:val="bottom"/>
          </w:tcPr>
          <w:p>
            <w:pPr>
              <w:jc w:val="right"/>
              <w:spacing w:after="0" w:line="189" w:lineRule="exact"/>
              <w:rPr>
                <w:sz w:val="20"/>
                <w:szCs w:val="20"/>
                <w:color w:val="auto"/>
              </w:rPr>
            </w:pPr>
            <w:r>
              <w:rPr>
                <w:rFonts w:ascii="Arial" w:cs="Arial" w:eastAsia="Arial" w:hAnsi="Arial"/>
                <w:sz w:val="18"/>
                <w:szCs w:val="18"/>
                <w:color w:val="auto"/>
              </w:rPr>
              <w:t>line with stock</w:t>
            </w:r>
          </w:p>
        </w:tc>
        <w:tc>
          <w:tcPr>
            <w:tcW w:w="0" w:type="dxa"/>
            <w:vAlign w:val="bottom"/>
          </w:tcPr>
          <w:p>
            <w:pPr>
              <w:spacing w:after="0"/>
              <w:rPr>
                <w:sz w:val="1"/>
                <w:szCs w:val="1"/>
                <w:color w:val="auto"/>
              </w:rPr>
            </w:pPr>
          </w:p>
        </w:tc>
      </w:tr>
      <w:tr>
        <w:trPr>
          <w:trHeight w:val="239"/>
        </w:trPr>
        <w:tc>
          <w:tcPr>
            <w:tcW w:w="1880" w:type="dxa"/>
            <w:vAlign w:val="bottom"/>
          </w:tcPr>
          <w:p>
            <w:pPr>
              <w:spacing w:after="0"/>
              <w:rPr>
                <w:sz w:val="20"/>
                <w:szCs w:val="20"/>
                <w:color w:val="auto"/>
              </w:rPr>
            </w:pPr>
          </w:p>
        </w:tc>
        <w:tc>
          <w:tcPr>
            <w:tcW w:w="228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price performance</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-2496185</wp:posOffset>
            </wp:positionH>
            <wp:positionV relativeFrom="paragraph">
              <wp:posOffset>271780</wp:posOffset>
            </wp:positionV>
            <wp:extent cx="7132320" cy="825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-2496185</wp:posOffset>
            </wp:positionH>
            <wp:positionV relativeFrom="paragraph">
              <wp:posOffset>-404495</wp:posOffset>
            </wp:positionV>
            <wp:extent cx="7132320" cy="825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-901700</wp:posOffset>
            </wp:positionH>
            <wp:positionV relativeFrom="paragraph">
              <wp:posOffset>-979170</wp:posOffset>
            </wp:positionV>
            <wp:extent cx="411480" cy="411480"/>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411480" cy="411480"/>
                    </a:xfrm>
                    <a:prstGeom prst="rect">
                      <a:avLst/>
                    </a:prstGeom>
                    <a:noFill/>
                  </pic:spPr>
                </pic:pic>
              </a:graphicData>
            </a:graphic>
          </wp:anchor>
        </w:drawing>
        <w:drawing>
          <wp:anchor simplePos="0" relativeHeight="251657728" behindDoc="1" locked="0" layoutInCell="0" allowOverlap="1">
            <wp:simplePos x="0" y="0"/>
            <wp:positionH relativeFrom="column">
              <wp:posOffset>-893445</wp:posOffset>
            </wp:positionH>
            <wp:positionV relativeFrom="paragraph">
              <wp:posOffset>-302260</wp:posOffset>
            </wp:positionV>
            <wp:extent cx="411480" cy="411480"/>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411480" cy="411480"/>
                    </a:xfrm>
                    <a:prstGeom prst="rect">
                      <a:avLst/>
                    </a:prstGeom>
                    <a:noFill/>
                  </pic:spPr>
                </pic:pic>
              </a:graphicData>
            </a:graphic>
          </wp:anchor>
        </w:drawing>
      </w:r>
    </w:p>
    <w:p>
      <w:pPr>
        <w:spacing w:after="0" w:line="356" w:lineRule="exact"/>
        <w:rPr>
          <w:sz w:val="20"/>
          <w:szCs w:val="20"/>
          <w:color w:val="auto"/>
        </w:rPr>
      </w:pPr>
    </w:p>
    <w:p>
      <w:pPr>
        <w:sectPr>
          <w:pgSz w:w="11900" w:h="16838" w:orient="portrait"/>
          <w:cols w:equalWidth="0" w:num="2">
            <w:col w:w="3220" w:space="720"/>
            <w:col w:w="7300"/>
          </w:cols>
          <w:pgMar w:left="320" w:top="1174" w:right="339" w:bottom="1440" w:gutter="0" w:footer="0" w:header="0"/>
          <w:type w:val="continuous"/>
        </w:sectPr>
      </w:pPr>
    </w:p>
    <w:p>
      <w:pPr>
        <w:spacing w:after="0" w:line="321" w:lineRule="exact"/>
        <w:rPr>
          <w:sz w:val="20"/>
          <w:szCs w:val="20"/>
          <w:color w:val="auto"/>
        </w:rPr>
      </w:pPr>
    </w:p>
    <w:p>
      <w:pPr>
        <w:spacing w:after="0"/>
        <w:rPr>
          <w:sz w:val="20"/>
          <w:szCs w:val="20"/>
          <w:color w:val="auto"/>
        </w:rPr>
      </w:pPr>
      <w:r>
        <w:rPr>
          <w:rFonts w:ascii="Arial" w:cs="Arial" w:eastAsia="Arial" w:hAnsi="Arial"/>
          <w:sz w:val="23"/>
          <w:szCs w:val="23"/>
          <w:b w:val="1"/>
          <w:bCs w:val="1"/>
          <w:color w:val="auto"/>
        </w:rPr>
        <w:t>Equity Vehicle Structure</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color w:val="0067B3"/>
        </w:rPr>
        <w:t>Performance-Based RSUs</w:t>
      </w:r>
    </w:p>
    <w:p>
      <w:pPr>
        <w:spacing w:after="0" w:line="117" w:lineRule="exact"/>
        <w:rPr>
          <w:sz w:val="20"/>
          <w:szCs w:val="20"/>
          <w:color w:val="auto"/>
        </w:rPr>
      </w:pPr>
    </w:p>
    <w:p>
      <w:pPr>
        <w:spacing w:after="0" w:line="262" w:lineRule="auto"/>
        <w:rPr>
          <w:sz w:val="20"/>
          <w:szCs w:val="20"/>
          <w:color w:val="auto"/>
        </w:rPr>
      </w:pPr>
      <w:r>
        <w:rPr>
          <w:rFonts w:ascii="Arial" w:cs="Arial" w:eastAsia="Arial" w:hAnsi="Arial"/>
          <w:sz w:val="18"/>
          <w:szCs w:val="18"/>
          <w:color w:val="auto"/>
        </w:rPr>
        <w:t>For fiscal year 2025, approximately 75% of our annual equity awards to Mr. Roche and approximately 65% of our annual equity awards to our other executive officers, including our other NEOs, were in the form of PRSUs. To ensure that a direct link exists between the value of our long-term incentives and the value that is created for our shareholders, our fiscal year 2025 equity compensation program included two types of PRSUs for our executive officers: Relative TSR PRSUs and Financial Metric PRSUs.</w:t>
      </w:r>
    </w:p>
    <w:p>
      <w:pPr>
        <w:spacing w:after="0" w:line="68" w:lineRule="exact"/>
        <w:rPr>
          <w:sz w:val="20"/>
          <w:szCs w:val="20"/>
          <w:color w:val="auto"/>
        </w:rPr>
      </w:pPr>
    </w:p>
    <w:p>
      <w:pPr>
        <w:ind w:right="540"/>
        <w:spacing w:after="0" w:line="287" w:lineRule="auto"/>
        <w:rPr>
          <w:sz w:val="20"/>
          <w:szCs w:val="20"/>
          <w:color w:val="auto"/>
        </w:rPr>
      </w:pPr>
      <w:r>
        <w:rPr>
          <w:rFonts w:ascii="Arial" w:cs="Arial" w:eastAsia="Arial" w:hAnsi="Arial"/>
          <w:sz w:val="18"/>
          <w:szCs w:val="18"/>
          <w:b w:val="1"/>
          <w:bCs w:val="1"/>
          <w:color w:val="0067B3"/>
        </w:rPr>
        <w:t xml:space="preserve">Relative TSR PRSUs. </w:t>
      </w:r>
      <w:r>
        <w:rPr>
          <w:rFonts w:ascii="Arial" w:cs="Arial" w:eastAsia="Arial" w:hAnsi="Arial"/>
          <w:sz w:val="18"/>
          <w:szCs w:val="18"/>
          <w:color w:val="000000"/>
        </w:rPr>
        <w:t>The number of PRSUs that executive officers, including our NEOs, may earn is based on our TSR performance</w:t>
      </w:r>
      <w:r>
        <w:rPr>
          <w:rFonts w:ascii="Arial" w:cs="Arial" w:eastAsia="Arial" w:hAnsi="Arial"/>
          <w:sz w:val="18"/>
          <w:szCs w:val="18"/>
          <w:b w:val="1"/>
          <w:bCs w:val="1"/>
          <w:color w:val="0067B3"/>
        </w:rPr>
        <w:t xml:space="preserve"> </w:t>
      </w:r>
      <w:r>
        <w:rPr>
          <w:rFonts w:ascii="Arial" w:cs="Arial" w:eastAsia="Arial" w:hAnsi="Arial"/>
          <w:sz w:val="18"/>
          <w:szCs w:val="18"/>
          <w:color w:val="000000"/>
        </w:rPr>
        <w:t>relative to the TSR performance of other companies in a comparator index over a three-year period.</w:t>
      </w:r>
    </w:p>
    <w:p>
      <w:pPr>
        <w:spacing w:after="0" w:line="45"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The number of Relative PRSUs granted in fiscal year 2025 that vest is determined by ADI’s TSR performance relative to the TSR of the companies in the S&amp;P 500 Index expressed as a percentile. The target payout of our Relative TSR PRSUs is achieved when ADI’s TSR is at the 55th percentile of the TSRs of the companies in the S&amp;P 500 Index. The actual amount of PRSUs that will be earned can range from 0% to 200% of the target amount, corresponding to the percentile attainment of ADI’s TSR as compared to the companies in the S&amp;P 500 Index. No shares will vest if ADI’s TSR is less than at the 25th percentile. The number of earned shares is capped at 100% if ADI’s 3-year TSR performance is negative.</w:t>
      </w:r>
    </w:p>
    <w:p>
      <w:pPr>
        <w:spacing w:after="0" w:line="74" w:lineRule="exact"/>
        <w:rPr>
          <w:sz w:val="20"/>
          <w:szCs w:val="20"/>
          <w:color w:val="auto"/>
        </w:rPr>
      </w:pPr>
    </w:p>
    <w:p>
      <w:pPr>
        <w:ind w:right="860"/>
        <w:spacing w:after="0" w:line="287" w:lineRule="auto"/>
        <w:rPr>
          <w:sz w:val="20"/>
          <w:szCs w:val="20"/>
          <w:color w:val="auto"/>
        </w:rPr>
      </w:pPr>
      <w:r>
        <w:rPr>
          <w:rFonts w:ascii="Arial" w:cs="Arial" w:eastAsia="Arial" w:hAnsi="Arial"/>
          <w:sz w:val="18"/>
          <w:szCs w:val="18"/>
          <w:color w:val="auto"/>
        </w:rPr>
        <w:t>The following table illustrates the percentage of target PRSUs that may be earned based on ADI’s relative TSR performance to the companies in the S&amp;P 500 Index:</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5840" w:type="dxa"/>
            <w:vAlign w:val="bottom"/>
            <w:shd w:val="clear" w:color="auto" w:fill="0067B3"/>
          </w:tcPr>
          <w:p>
            <w:pPr>
              <w:ind w:left="20"/>
              <w:spacing w:after="0"/>
              <w:rPr>
                <w:sz w:val="20"/>
                <w:szCs w:val="20"/>
                <w:color w:val="auto"/>
              </w:rPr>
            </w:pPr>
            <w:r>
              <w:rPr>
                <w:rFonts w:ascii="Arial" w:cs="Arial" w:eastAsia="Arial" w:hAnsi="Arial"/>
                <w:sz w:val="16"/>
                <w:szCs w:val="16"/>
                <w:b w:val="1"/>
                <w:bCs w:val="1"/>
                <w:color w:val="FFFFFF"/>
              </w:rPr>
              <w:t>Percentile Attainment</w:t>
            </w:r>
          </w:p>
        </w:tc>
        <w:tc>
          <w:tcPr>
            <w:tcW w:w="5400" w:type="dxa"/>
            <w:vAlign w:val="bottom"/>
            <w:shd w:val="clear" w:color="auto" w:fill="0067B3"/>
          </w:tcPr>
          <w:p>
            <w:pPr>
              <w:jc w:val="right"/>
              <w:spacing w:after="0"/>
              <w:rPr>
                <w:sz w:val="20"/>
                <w:szCs w:val="20"/>
                <w:color w:val="auto"/>
              </w:rPr>
            </w:pPr>
            <w:r>
              <w:rPr>
                <w:rFonts w:ascii="Arial" w:cs="Arial" w:eastAsia="Arial" w:hAnsi="Arial"/>
                <w:sz w:val="16"/>
                <w:szCs w:val="16"/>
                <w:b w:val="1"/>
                <w:bCs w:val="1"/>
                <w:color w:val="FFFFFF"/>
              </w:rPr>
              <w:t>PRSU Payout %</w:t>
            </w:r>
          </w:p>
        </w:tc>
      </w:tr>
      <w:tr>
        <w:trPr>
          <w:trHeight w:val="270"/>
        </w:trPr>
        <w:tc>
          <w:tcPr>
            <w:tcW w:w="5840" w:type="dxa"/>
            <w:vAlign w:val="bottom"/>
            <w:shd w:val="clear" w:color="auto" w:fill="E2E6F4"/>
          </w:tcPr>
          <w:p>
            <w:pPr>
              <w:ind w:left="20"/>
              <w:spacing w:after="0"/>
              <w:rPr>
                <w:sz w:val="20"/>
                <w:szCs w:val="20"/>
                <w:color w:val="auto"/>
              </w:rPr>
            </w:pPr>
            <w:r>
              <w:rPr>
                <w:rFonts w:ascii="Arial" w:cs="Arial" w:eastAsia="Arial" w:hAnsi="Arial"/>
                <w:sz w:val="18"/>
                <w:szCs w:val="18"/>
                <w:color w:val="auto"/>
              </w:rPr>
              <w:t>&lt; 25</w:t>
            </w:r>
            <w:r>
              <w:rPr>
                <w:rFonts w:ascii="Arial" w:cs="Arial" w:eastAsia="Arial" w:hAnsi="Arial"/>
                <w:sz w:val="23"/>
                <w:szCs w:val="23"/>
                <w:color w:val="auto"/>
                <w:vertAlign w:val="superscript"/>
              </w:rPr>
              <w:t>th</w:t>
            </w:r>
            <w:r>
              <w:rPr>
                <w:rFonts w:ascii="Arial" w:cs="Arial" w:eastAsia="Arial" w:hAnsi="Arial"/>
                <w:sz w:val="18"/>
                <w:szCs w:val="18"/>
                <w:color w:val="auto"/>
              </w:rPr>
              <w:t xml:space="preserve"> percentile</w:t>
            </w:r>
          </w:p>
        </w:tc>
        <w:tc>
          <w:tcPr>
            <w:tcW w:w="5400" w:type="dxa"/>
            <w:vAlign w:val="bottom"/>
            <w:shd w:val="clear" w:color="auto" w:fill="E2E6F4"/>
          </w:tcPr>
          <w:p>
            <w:pPr>
              <w:jc w:val="right"/>
              <w:spacing w:after="0"/>
              <w:rPr>
                <w:sz w:val="20"/>
                <w:szCs w:val="20"/>
                <w:color w:val="auto"/>
              </w:rPr>
            </w:pPr>
            <w:r>
              <w:rPr>
                <w:rFonts w:ascii="Arial" w:cs="Arial" w:eastAsia="Arial" w:hAnsi="Arial"/>
                <w:sz w:val="18"/>
                <w:szCs w:val="18"/>
                <w:b w:val="1"/>
                <w:bCs w:val="1"/>
                <w:color w:val="auto"/>
              </w:rPr>
              <w:t>0%</w:t>
            </w:r>
          </w:p>
        </w:tc>
      </w:tr>
      <w:tr>
        <w:trPr>
          <w:trHeight w:val="270"/>
        </w:trPr>
        <w:tc>
          <w:tcPr>
            <w:tcW w:w="5840" w:type="dxa"/>
            <w:vAlign w:val="bottom"/>
          </w:tcPr>
          <w:p>
            <w:pPr>
              <w:ind w:left="20"/>
              <w:spacing w:after="0"/>
              <w:rPr>
                <w:sz w:val="20"/>
                <w:szCs w:val="20"/>
                <w:color w:val="auto"/>
              </w:rPr>
            </w:pPr>
            <w:r>
              <w:rPr>
                <w:rFonts w:ascii="Arial" w:cs="Arial" w:eastAsia="Arial" w:hAnsi="Arial"/>
                <w:sz w:val="18"/>
                <w:szCs w:val="18"/>
                <w:color w:val="auto"/>
              </w:rPr>
              <w:t>25</w:t>
            </w:r>
            <w:r>
              <w:rPr>
                <w:rFonts w:ascii="Arial" w:cs="Arial" w:eastAsia="Arial" w:hAnsi="Arial"/>
                <w:sz w:val="23"/>
                <w:szCs w:val="23"/>
                <w:color w:val="auto"/>
                <w:vertAlign w:val="superscript"/>
              </w:rPr>
              <w:t>th</w:t>
            </w:r>
            <w:r>
              <w:rPr>
                <w:rFonts w:ascii="Arial" w:cs="Arial" w:eastAsia="Arial" w:hAnsi="Arial"/>
                <w:sz w:val="18"/>
                <w:szCs w:val="18"/>
                <w:color w:val="auto"/>
              </w:rPr>
              <w:t xml:space="preserve"> percentile</w:t>
            </w:r>
          </w:p>
        </w:tc>
        <w:tc>
          <w:tcPr>
            <w:tcW w:w="5400" w:type="dxa"/>
            <w:vAlign w:val="bottom"/>
          </w:tcPr>
          <w:p>
            <w:pPr>
              <w:jc w:val="right"/>
              <w:spacing w:after="0"/>
              <w:rPr>
                <w:sz w:val="20"/>
                <w:szCs w:val="20"/>
                <w:color w:val="auto"/>
              </w:rPr>
            </w:pPr>
            <w:r>
              <w:rPr>
                <w:rFonts w:ascii="Arial" w:cs="Arial" w:eastAsia="Arial" w:hAnsi="Arial"/>
                <w:sz w:val="18"/>
                <w:szCs w:val="18"/>
                <w:b w:val="1"/>
                <w:bCs w:val="1"/>
                <w:color w:val="auto"/>
              </w:rPr>
              <w:t>50%</w:t>
            </w:r>
          </w:p>
        </w:tc>
      </w:tr>
      <w:tr>
        <w:trPr>
          <w:trHeight w:val="270"/>
        </w:trPr>
        <w:tc>
          <w:tcPr>
            <w:tcW w:w="5840" w:type="dxa"/>
            <w:vAlign w:val="bottom"/>
            <w:shd w:val="clear" w:color="auto" w:fill="E2E6F4"/>
          </w:tcPr>
          <w:p>
            <w:pPr>
              <w:ind w:left="20"/>
              <w:spacing w:after="0"/>
              <w:rPr>
                <w:sz w:val="20"/>
                <w:szCs w:val="20"/>
                <w:color w:val="auto"/>
              </w:rPr>
            </w:pPr>
            <w:r>
              <w:rPr>
                <w:rFonts w:ascii="Arial" w:cs="Arial" w:eastAsia="Arial" w:hAnsi="Arial"/>
                <w:sz w:val="18"/>
                <w:szCs w:val="18"/>
                <w:color w:val="auto"/>
              </w:rPr>
              <w:t>55</w:t>
            </w:r>
            <w:r>
              <w:rPr>
                <w:rFonts w:ascii="Arial" w:cs="Arial" w:eastAsia="Arial" w:hAnsi="Arial"/>
                <w:sz w:val="23"/>
                <w:szCs w:val="23"/>
                <w:color w:val="auto"/>
                <w:vertAlign w:val="superscript"/>
              </w:rPr>
              <w:t>th</w:t>
            </w:r>
            <w:r>
              <w:rPr>
                <w:rFonts w:ascii="Arial" w:cs="Arial" w:eastAsia="Arial" w:hAnsi="Arial"/>
                <w:sz w:val="18"/>
                <w:szCs w:val="18"/>
                <w:color w:val="auto"/>
              </w:rPr>
              <w:t xml:space="preserve"> percentile</w:t>
            </w:r>
          </w:p>
        </w:tc>
        <w:tc>
          <w:tcPr>
            <w:tcW w:w="5400" w:type="dxa"/>
            <w:vAlign w:val="bottom"/>
            <w:shd w:val="clear" w:color="auto" w:fill="E2E6F4"/>
          </w:tcPr>
          <w:p>
            <w:pPr>
              <w:jc w:val="right"/>
              <w:spacing w:after="0"/>
              <w:rPr>
                <w:sz w:val="20"/>
                <w:szCs w:val="20"/>
                <w:color w:val="auto"/>
              </w:rPr>
            </w:pPr>
            <w:r>
              <w:rPr>
                <w:rFonts w:ascii="Arial" w:cs="Arial" w:eastAsia="Arial" w:hAnsi="Arial"/>
                <w:sz w:val="18"/>
                <w:szCs w:val="18"/>
                <w:b w:val="1"/>
                <w:bCs w:val="1"/>
                <w:color w:val="auto"/>
              </w:rPr>
              <w:t>100%</w:t>
            </w:r>
          </w:p>
        </w:tc>
      </w:tr>
      <w:tr>
        <w:trPr>
          <w:trHeight w:val="270"/>
        </w:trPr>
        <w:tc>
          <w:tcPr>
            <w:tcW w:w="5840" w:type="dxa"/>
            <w:vAlign w:val="bottom"/>
            <w:tcBorders>
              <w:bottom w:val="single" w:sz="8" w:color="0067B3"/>
            </w:tcBorders>
          </w:tcPr>
          <w:p>
            <w:pPr>
              <w:ind w:left="20"/>
              <w:spacing w:after="0"/>
              <w:rPr>
                <w:sz w:val="20"/>
                <w:szCs w:val="20"/>
                <w:color w:val="auto"/>
              </w:rPr>
            </w:pPr>
            <w:r>
              <w:rPr>
                <w:rFonts w:ascii="Arial" w:cs="Arial" w:eastAsia="Arial" w:hAnsi="Arial"/>
                <w:sz w:val="18"/>
                <w:szCs w:val="18"/>
                <w:color w:val="auto"/>
              </w:rPr>
              <w:t>75</w:t>
            </w:r>
            <w:r>
              <w:rPr>
                <w:rFonts w:ascii="Arial" w:cs="Arial" w:eastAsia="Arial" w:hAnsi="Arial"/>
                <w:sz w:val="23"/>
                <w:szCs w:val="23"/>
                <w:color w:val="auto"/>
                <w:vertAlign w:val="superscript"/>
              </w:rPr>
              <w:t>th</w:t>
            </w:r>
            <w:r>
              <w:rPr>
                <w:rFonts w:ascii="Arial" w:cs="Arial" w:eastAsia="Arial" w:hAnsi="Arial"/>
                <w:sz w:val="18"/>
                <w:szCs w:val="18"/>
                <w:color w:val="auto"/>
              </w:rPr>
              <w:t xml:space="preserve"> percentile</w:t>
            </w:r>
          </w:p>
        </w:tc>
        <w:tc>
          <w:tcPr>
            <w:tcW w:w="5400" w:type="dxa"/>
            <w:vAlign w:val="bottom"/>
            <w:tcBorders>
              <w:bottom w:val="single" w:sz="8" w:color="0067B3"/>
            </w:tcBorders>
          </w:tcPr>
          <w:p>
            <w:pPr>
              <w:jc w:val="right"/>
              <w:spacing w:after="0"/>
              <w:rPr>
                <w:sz w:val="20"/>
                <w:szCs w:val="20"/>
                <w:color w:val="auto"/>
              </w:rPr>
            </w:pPr>
            <w:r>
              <w:rPr>
                <w:rFonts w:ascii="Arial" w:cs="Arial" w:eastAsia="Arial" w:hAnsi="Arial"/>
                <w:sz w:val="18"/>
                <w:szCs w:val="18"/>
                <w:b w:val="1"/>
                <w:bCs w:val="1"/>
                <w:color w:val="auto"/>
              </w:rPr>
              <w:t>200%</w:t>
            </w:r>
          </w:p>
        </w:tc>
      </w:tr>
    </w:tbl>
    <w:p>
      <w:pPr>
        <w:spacing w:after="0" w:line="292" w:lineRule="exact"/>
        <w:rPr>
          <w:sz w:val="20"/>
          <w:szCs w:val="20"/>
          <w:color w:val="auto"/>
        </w:rPr>
      </w:pPr>
    </w:p>
    <w:p>
      <w:pPr>
        <w:spacing w:after="0"/>
        <w:rPr>
          <w:sz w:val="20"/>
          <w:szCs w:val="20"/>
          <w:color w:val="auto"/>
        </w:rPr>
      </w:pPr>
      <w:r>
        <w:rPr>
          <w:rFonts w:ascii="Arial" w:cs="Arial" w:eastAsia="Arial" w:hAnsi="Arial"/>
          <w:sz w:val="18"/>
          <w:szCs w:val="18"/>
          <w:color w:val="auto"/>
        </w:rPr>
        <w:t>Attainment within performance parameters is subject to interpolation on a linear basis.</w:t>
      </w:r>
    </w:p>
    <w:p>
      <w:pPr>
        <w:spacing w:after="0" w:line="117" w:lineRule="exact"/>
        <w:rPr>
          <w:sz w:val="20"/>
          <w:szCs w:val="20"/>
          <w:color w:val="auto"/>
        </w:rPr>
      </w:pPr>
    </w:p>
    <w:p>
      <w:pPr>
        <w:spacing w:after="0" w:line="257" w:lineRule="auto"/>
        <w:rPr>
          <w:sz w:val="20"/>
          <w:szCs w:val="20"/>
          <w:color w:val="auto"/>
        </w:rPr>
      </w:pPr>
      <w:r>
        <w:rPr>
          <w:rFonts w:ascii="Arial" w:cs="Arial" w:eastAsia="Arial" w:hAnsi="Arial"/>
          <w:sz w:val="18"/>
          <w:szCs w:val="18"/>
          <w:b w:val="1"/>
          <w:bCs w:val="1"/>
          <w:color w:val="auto"/>
        </w:rPr>
        <w:t xml:space="preserve">2022-2025 TSR PRSUs Payouts. </w:t>
      </w:r>
      <w:r>
        <w:rPr>
          <w:rFonts w:ascii="Arial" w:cs="Arial" w:eastAsia="Arial" w:hAnsi="Arial"/>
          <w:sz w:val="18"/>
          <w:szCs w:val="18"/>
          <w:color w:val="auto"/>
        </w:rPr>
        <w:t>The Relative TSR PRSUs granted on April 4, 2022 had a three-year performance period that ended on</w:t>
      </w:r>
      <w:r>
        <w:rPr>
          <w:rFonts w:ascii="Arial" w:cs="Arial" w:eastAsia="Arial" w:hAnsi="Arial"/>
          <w:sz w:val="18"/>
          <w:szCs w:val="18"/>
          <w:b w:val="1"/>
          <w:bCs w:val="1"/>
          <w:color w:val="auto"/>
        </w:rPr>
        <w:t xml:space="preserve"> </w:t>
      </w:r>
      <w:r>
        <w:rPr>
          <w:rFonts w:ascii="Arial" w:cs="Arial" w:eastAsia="Arial" w:hAnsi="Arial"/>
          <w:sz w:val="18"/>
          <w:szCs w:val="18"/>
          <w:color w:val="auto"/>
        </w:rPr>
        <w:t>March 15, 2025. The comparator group designated by the Compensation and Talent Committee for the Relative TSR PRSUs granted in fiscal year 2022 consisted of the companies represented in the S&amp;P 500 Index. The target payout of the Relative TSR PRSUs granted in 2022 would be achieved if ADI’s TSR was at the 50th percentile of the TSRs of the companies in the S&amp;P 500 Index. The actual amount of PRSUs that could be earned ranged from 0% to 200% of the target amount, corresponding to the percentile attainment of ADI’s TSR as compared to the companies in the S&amp;P 500 Index.</w:t>
      </w:r>
    </w:p>
    <w:p>
      <w:pPr>
        <w:spacing w:after="0" w:line="74" w:lineRule="exact"/>
        <w:rPr>
          <w:sz w:val="20"/>
          <w:szCs w:val="20"/>
          <w:color w:val="auto"/>
        </w:rPr>
      </w:pPr>
    </w:p>
    <w:p>
      <w:pPr>
        <w:ind w:right="400"/>
        <w:spacing w:after="0" w:line="287" w:lineRule="auto"/>
        <w:rPr>
          <w:sz w:val="20"/>
          <w:szCs w:val="20"/>
          <w:color w:val="auto"/>
        </w:rPr>
      </w:pPr>
      <w:r>
        <w:rPr>
          <w:rFonts w:ascii="Arial" w:cs="Arial" w:eastAsia="Arial" w:hAnsi="Arial"/>
          <w:sz w:val="18"/>
          <w:szCs w:val="18"/>
          <w:color w:val="auto"/>
        </w:rPr>
        <w:t>On a three-year cumulative basis, our TSR performance was 41.56%, representing a percentile of 69.61% against the TSRs of the other companies in the peer group. This resulted in a 178.44% payout of these awards.</w:t>
      </w:r>
    </w:p>
    <w:p>
      <w:pPr>
        <w:sectPr>
          <w:pgSz w:w="11900" w:h="16838" w:orient="portrait"/>
          <w:cols w:equalWidth="0" w:num="1">
            <w:col w:w="11240"/>
          </w:cols>
          <w:pgMar w:left="320" w:top="1174" w:right="339" w:bottom="1440" w:gutter="0" w:footer="0" w:header="0"/>
          <w:type w:val="continuous"/>
        </w:sectPr>
      </w:pPr>
    </w:p>
    <w:p>
      <w:pPr>
        <w:spacing w:after="0" w:line="200" w:lineRule="exact"/>
        <w:rPr>
          <w:sz w:val="20"/>
          <w:szCs w:val="20"/>
          <w:color w:val="auto"/>
        </w:rPr>
      </w:pPr>
    </w:p>
    <w:p>
      <w:pPr>
        <w:spacing w:after="0" w:line="253" w:lineRule="exact"/>
        <w:rPr>
          <w:sz w:val="20"/>
          <w:szCs w:val="20"/>
          <w:color w:val="auto"/>
        </w:rPr>
      </w:pPr>
    </w:p>
    <w:p>
      <w:pPr>
        <w:ind w:left="640" w:hanging="614"/>
        <w:spacing w:after="0"/>
        <w:tabs>
          <w:tab w:leader="none" w:pos="640" w:val="left"/>
        </w:tabs>
        <w:numPr>
          <w:ilvl w:val="0"/>
          <w:numId w:val="100"/>
        </w:numPr>
        <w:rPr>
          <w:rFonts w:ascii="Arial" w:cs="Arial" w:eastAsia="Arial" w:hAnsi="Arial"/>
          <w:sz w:val="20"/>
          <w:szCs w:val="20"/>
          <w:b w:val="1"/>
          <w:bCs w:val="1"/>
          <w:color w:val="auto"/>
        </w:rPr>
      </w:pPr>
      <w:r>
        <w:rPr>
          <w:rFonts w:ascii="Arial" w:cs="Arial" w:eastAsia="Arial" w:hAnsi="Arial"/>
          <w:sz w:val="16"/>
          <w:szCs w:val="16"/>
          <w:color w:val="6D6E71"/>
        </w:rPr>
        <w:t>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194310</wp:posOffset>
            </wp:positionV>
            <wp:extent cx="7157720" cy="4254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4" w:right="339" w:bottom="1440" w:gutter="0" w:footer="0" w:header="0"/>
          <w:type w:val="continuous"/>
        </w:sectPr>
      </w:pPr>
    </w:p>
    <w:bookmarkStart w:id="58" w:name="page59"/>
    <w:bookmarkEnd w:id="58"/>
    <w:p>
      <w:pPr>
        <w:spacing w:after="0" w:line="257" w:lineRule="auto"/>
        <w:rPr>
          <w:sz w:val="20"/>
          <w:szCs w:val="20"/>
          <w:color w:val="auto"/>
        </w:rPr>
      </w:pPr>
      <w:r>
        <w:rPr>
          <w:rFonts w:ascii="Arial" w:cs="Arial" w:eastAsia="Arial" w:hAnsi="Arial"/>
          <w:sz w:val="18"/>
          <w:szCs w:val="18"/>
          <w:b w:val="1"/>
          <w:bCs w:val="1"/>
          <w:color w:val="0067B3"/>
        </w:rPr>
        <w:t xml:space="preserve">Financial Metric PRSUs. </w:t>
      </w:r>
      <w:r>
        <w:rPr>
          <w:rFonts w:ascii="Arial" w:cs="Arial" w:eastAsia="Arial" w:hAnsi="Arial"/>
          <w:sz w:val="18"/>
          <w:szCs w:val="18"/>
          <w:color w:val="000000"/>
        </w:rPr>
        <w:t>The Compensation and Talent Committee continued to include Financial Metric PRSUs as part of our annual</w:t>
      </w:r>
      <w:r>
        <w:rPr>
          <w:rFonts w:ascii="Arial" w:cs="Arial" w:eastAsia="Arial" w:hAnsi="Arial"/>
          <w:sz w:val="18"/>
          <w:szCs w:val="18"/>
          <w:b w:val="1"/>
          <w:bCs w:val="1"/>
          <w:color w:val="0067B3"/>
        </w:rPr>
        <w:t xml:space="preserve"> </w:t>
      </w:r>
      <w:r>
        <w:rPr>
          <w:rFonts w:ascii="Arial" w:cs="Arial" w:eastAsia="Arial" w:hAnsi="Arial"/>
          <w:sz w:val="18"/>
          <w:szCs w:val="18"/>
          <w:color w:val="000000"/>
        </w:rPr>
        <w:t>equity program for our executive officers, based on non-GAAP operating profit in dollars, to incentivize long-term profitable growth measured over a three-year period. Non-GAAP operating profit is equivalent to our Adjusted Operating Income as reported in our annual and quarterly earnings releases. The Compensation and Talent Committee selected this metric because it is a key measure that executives use both internally to drive business decisions and externally when speaking to investors about company results and progress against execution of the company’s strategy.</w:t>
      </w:r>
    </w:p>
    <w:p>
      <w:pPr>
        <w:spacing w:after="0" w:line="74" w:lineRule="exact"/>
        <w:rPr>
          <w:sz w:val="20"/>
          <w:szCs w:val="20"/>
          <w:color w:val="auto"/>
        </w:rPr>
      </w:pPr>
    </w:p>
    <w:p>
      <w:pPr>
        <w:jc w:val="both"/>
        <w:ind w:right="60"/>
        <w:spacing w:after="0" w:line="259" w:lineRule="auto"/>
        <w:rPr>
          <w:sz w:val="20"/>
          <w:szCs w:val="20"/>
          <w:color w:val="auto"/>
        </w:rPr>
      </w:pPr>
      <w:r>
        <w:rPr>
          <w:rFonts w:ascii="Arial" w:cs="Arial" w:eastAsia="Arial" w:hAnsi="Arial"/>
          <w:sz w:val="18"/>
          <w:szCs w:val="18"/>
          <w:color w:val="auto"/>
        </w:rPr>
        <w:t>For each award, the Compensation and Talent Committee reviews and approves challenging targets taking into consideration the company’s long-term financial plan, strategic priorities, and objectives. These targets are measured over a three-year cumulative time period, which we believe further incentivizes our executives to achieve short-term objectives that support our long-term strategy as well as focus on long-term financial growth. The Compensation and Talent Committee does not intend to re-set these targets during the performance period, regardless of company performance or economic conditions.</w:t>
      </w:r>
    </w:p>
    <w:p>
      <w:pPr>
        <w:spacing w:after="0" w:line="71"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The number of PRSUs an executive officer, including each NEO, may earn ranges from 0% to a maximum of 200% of the target amount based on the company’s performance against the targets of this metric. For Financial Metric PRSUs granted before fiscal year 2024, the Compensation and Talent Committee determines the level of achievement of each tranche of Financial Metric PRSUs after the completion of each of the one-year, two-year cumulative, and three-year cumulative performance periods. After such determinations, the number of PRSUs earned by an executive officer under each tranche remains subject to a time-based service requirement and will cliff vest on the third anniversary of the grant date, subject to the executive’s employment through such date. For Financial Metric PRSUs granted in fiscal year 2025, the Compensation and Talent Committee will determine the level of achievement after the completion of the three-year cumulative performance period.</w:t>
      </w:r>
    </w:p>
    <w:p>
      <w:pPr>
        <w:spacing w:after="0" w:line="77" w:lineRule="exact"/>
        <w:rPr>
          <w:sz w:val="20"/>
          <w:szCs w:val="20"/>
          <w:color w:val="auto"/>
        </w:rPr>
      </w:pPr>
    </w:p>
    <w:p>
      <w:pPr>
        <w:ind w:right="300"/>
        <w:spacing w:after="0" w:line="287" w:lineRule="auto"/>
        <w:rPr>
          <w:sz w:val="20"/>
          <w:szCs w:val="20"/>
          <w:color w:val="auto"/>
        </w:rPr>
      </w:pPr>
      <w:r>
        <w:rPr>
          <w:rFonts w:ascii="Arial" w:cs="Arial" w:eastAsia="Arial" w:hAnsi="Arial"/>
          <w:sz w:val="18"/>
          <w:szCs w:val="18"/>
          <w:color w:val="auto"/>
        </w:rPr>
        <w:t>For Financial Metric PRSUs granted in fiscal year 2025, the following table illustrates the percentage of target PRSUs that may be earned based on ADI’s financial performance against target:</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6680" w:type="dxa"/>
            <w:vAlign w:val="bottom"/>
            <w:shd w:val="clear" w:color="auto" w:fill="0067B3"/>
          </w:tcPr>
          <w:p>
            <w:pPr>
              <w:ind w:left="20"/>
              <w:spacing w:after="0"/>
              <w:rPr>
                <w:sz w:val="20"/>
                <w:szCs w:val="20"/>
                <w:color w:val="auto"/>
              </w:rPr>
            </w:pPr>
            <w:r>
              <w:rPr>
                <w:rFonts w:ascii="Arial" w:cs="Arial" w:eastAsia="Arial" w:hAnsi="Arial"/>
                <w:sz w:val="16"/>
                <w:szCs w:val="16"/>
                <w:b w:val="1"/>
                <w:bCs w:val="1"/>
                <w:color w:val="FFFFFF"/>
              </w:rPr>
              <w:t>Performance Achievement as a % of Target</w:t>
            </w:r>
          </w:p>
        </w:tc>
        <w:tc>
          <w:tcPr>
            <w:tcW w:w="4560" w:type="dxa"/>
            <w:vAlign w:val="bottom"/>
            <w:shd w:val="clear" w:color="auto" w:fill="0067B3"/>
          </w:tcPr>
          <w:p>
            <w:pPr>
              <w:jc w:val="right"/>
              <w:spacing w:after="0"/>
              <w:rPr>
                <w:sz w:val="20"/>
                <w:szCs w:val="20"/>
                <w:color w:val="auto"/>
              </w:rPr>
            </w:pPr>
            <w:r>
              <w:rPr>
                <w:rFonts w:ascii="Arial" w:cs="Arial" w:eastAsia="Arial" w:hAnsi="Arial"/>
                <w:sz w:val="16"/>
                <w:szCs w:val="16"/>
                <w:b w:val="1"/>
                <w:bCs w:val="1"/>
                <w:color w:val="FFFFFF"/>
              </w:rPr>
              <w:t>PRSU Payout %</w:t>
            </w:r>
          </w:p>
        </w:tc>
      </w:tr>
      <w:tr>
        <w:trPr>
          <w:trHeight w:val="270"/>
        </w:trPr>
        <w:tc>
          <w:tcPr>
            <w:tcW w:w="6680" w:type="dxa"/>
            <w:vAlign w:val="bottom"/>
            <w:shd w:val="clear" w:color="auto" w:fill="E2E6F4"/>
          </w:tcPr>
          <w:p>
            <w:pPr>
              <w:ind w:left="20"/>
              <w:spacing w:after="0"/>
              <w:rPr>
                <w:sz w:val="20"/>
                <w:szCs w:val="20"/>
                <w:color w:val="auto"/>
              </w:rPr>
            </w:pPr>
            <w:r>
              <w:rPr>
                <w:rFonts w:ascii="Arial" w:cs="Arial" w:eastAsia="Arial" w:hAnsi="Arial"/>
                <w:sz w:val="18"/>
                <w:szCs w:val="18"/>
                <w:color w:val="auto"/>
              </w:rPr>
              <w:t>&lt; 85%</w:t>
            </w:r>
          </w:p>
        </w:tc>
        <w:tc>
          <w:tcPr>
            <w:tcW w:w="4560" w:type="dxa"/>
            <w:vAlign w:val="bottom"/>
            <w:shd w:val="clear" w:color="auto" w:fill="E2E6F4"/>
          </w:tcPr>
          <w:p>
            <w:pPr>
              <w:jc w:val="right"/>
              <w:spacing w:after="0"/>
              <w:rPr>
                <w:sz w:val="20"/>
                <w:szCs w:val="20"/>
                <w:color w:val="auto"/>
              </w:rPr>
            </w:pPr>
            <w:r>
              <w:rPr>
                <w:rFonts w:ascii="Arial" w:cs="Arial" w:eastAsia="Arial" w:hAnsi="Arial"/>
                <w:sz w:val="18"/>
                <w:szCs w:val="18"/>
                <w:b w:val="1"/>
                <w:bCs w:val="1"/>
                <w:color w:val="auto"/>
              </w:rPr>
              <w:t>0%</w:t>
            </w:r>
          </w:p>
        </w:tc>
      </w:tr>
      <w:tr>
        <w:trPr>
          <w:trHeight w:val="263"/>
        </w:trPr>
        <w:tc>
          <w:tcPr>
            <w:tcW w:w="6680" w:type="dxa"/>
            <w:vAlign w:val="bottom"/>
          </w:tcPr>
          <w:p>
            <w:pPr>
              <w:ind w:left="20"/>
              <w:spacing w:after="0"/>
              <w:rPr>
                <w:sz w:val="20"/>
                <w:szCs w:val="20"/>
                <w:color w:val="auto"/>
              </w:rPr>
            </w:pPr>
            <w:r>
              <w:rPr>
                <w:rFonts w:ascii="Arial" w:cs="Arial" w:eastAsia="Arial" w:hAnsi="Arial"/>
                <w:sz w:val="18"/>
                <w:szCs w:val="18"/>
                <w:color w:val="auto"/>
              </w:rPr>
              <w:t>100%</w:t>
            </w:r>
          </w:p>
        </w:tc>
        <w:tc>
          <w:tcPr>
            <w:tcW w:w="4560" w:type="dxa"/>
            <w:vAlign w:val="bottom"/>
          </w:tcPr>
          <w:p>
            <w:pPr>
              <w:jc w:val="right"/>
              <w:spacing w:after="0"/>
              <w:rPr>
                <w:sz w:val="20"/>
                <w:szCs w:val="20"/>
                <w:color w:val="auto"/>
              </w:rPr>
            </w:pPr>
            <w:r>
              <w:rPr>
                <w:rFonts w:ascii="Arial" w:cs="Arial" w:eastAsia="Arial" w:hAnsi="Arial"/>
                <w:sz w:val="18"/>
                <w:szCs w:val="18"/>
                <w:b w:val="1"/>
                <w:bCs w:val="1"/>
                <w:color w:val="auto"/>
              </w:rPr>
              <w:t>100%</w:t>
            </w:r>
          </w:p>
        </w:tc>
      </w:tr>
      <w:tr>
        <w:trPr>
          <w:trHeight w:val="271"/>
        </w:trPr>
        <w:tc>
          <w:tcPr>
            <w:tcW w:w="6680" w:type="dxa"/>
            <w:vAlign w:val="bottom"/>
            <w:tcBorders>
              <w:bottom w:val="single" w:sz="8" w:color="0067B3"/>
            </w:tcBorders>
            <w:shd w:val="clear" w:color="auto" w:fill="E2E6F4"/>
          </w:tcPr>
          <w:p>
            <w:pPr>
              <w:ind w:left="20"/>
              <w:spacing w:after="0"/>
              <w:rPr>
                <w:sz w:val="20"/>
                <w:szCs w:val="20"/>
                <w:color w:val="auto"/>
              </w:rPr>
            </w:pPr>
            <w:r>
              <w:rPr>
                <w:rFonts w:ascii="Arial" w:cs="Arial" w:eastAsia="Arial" w:hAnsi="Arial"/>
                <w:sz w:val="18"/>
                <w:szCs w:val="18"/>
                <w:color w:val="auto"/>
              </w:rPr>
              <w:t>115%</w:t>
            </w:r>
          </w:p>
        </w:tc>
        <w:tc>
          <w:tcPr>
            <w:tcW w:w="4560" w:type="dxa"/>
            <w:vAlign w:val="bottom"/>
            <w:tcBorders>
              <w:bottom w:val="single" w:sz="8" w:color="0067B3"/>
            </w:tcBorders>
            <w:shd w:val="clear" w:color="auto" w:fill="E2E6F4"/>
          </w:tcPr>
          <w:p>
            <w:pPr>
              <w:jc w:val="right"/>
              <w:spacing w:after="0"/>
              <w:rPr>
                <w:sz w:val="20"/>
                <w:szCs w:val="20"/>
                <w:color w:val="auto"/>
              </w:rPr>
            </w:pPr>
            <w:r>
              <w:rPr>
                <w:rFonts w:ascii="Arial" w:cs="Arial" w:eastAsia="Arial" w:hAnsi="Arial"/>
                <w:sz w:val="18"/>
                <w:szCs w:val="18"/>
                <w:b w:val="1"/>
                <w:bCs w:val="1"/>
                <w:color w:val="auto"/>
              </w:rPr>
              <w:t>200%</w:t>
            </w:r>
          </w:p>
        </w:tc>
      </w:tr>
    </w:tbl>
    <w:p>
      <w:pPr>
        <w:spacing w:after="0" w:line="292"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In December 2025, the Compensation and Talent Committee determined the level of achievement of the outstanding Financial Metric PRSUs that were granted in April 2023, based on targets that were set at the beginning of fiscal year 2023. The Compensation and Talent Committee reviewed the achievement of the third tranche of these awards (three-year cumulative time period), covering the non-GAAP operating profit for fiscal years 2023, 2024, and 2025, and determined that with a non-GAAP operating profit of $14.489 billion, which was below the non-GAAP operating profit target attainment level of $16.920 billion, 0% of the target number of PRSUs subject to the third tranche were earned by the company’s executive officers for that period. With all three measurement periods completed, and with the first and second tranches payable at 76% and 0%, respectively, the company’s executive officers earned an aggregate of 25.3% of the total target number of PRSUs subject to these incentive awards.</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b w:val="1"/>
          <w:bCs w:val="1"/>
          <w:color w:val="0067B3"/>
        </w:rPr>
        <w:t>Time-Based RSUs</w:t>
      </w:r>
    </w:p>
    <w:p>
      <w:pPr>
        <w:spacing w:after="0" w:line="117" w:lineRule="exact"/>
        <w:rPr>
          <w:sz w:val="20"/>
          <w:szCs w:val="20"/>
          <w:color w:val="auto"/>
        </w:rPr>
      </w:pPr>
    </w:p>
    <w:p>
      <w:pPr>
        <w:spacing w:after="0" w:line="247" w:lineRule="auto"/>
        <w:rPr>
          <w:sz w:val="20"/>
          <w:szCs w:val="20"/>
          <w:color w:val="auto"/>
        </w:rPr>
      </w:pPr>
      <w:r>
        <w:rPr>
          <w:rFonts w:ascii="Arial" w:cs="Arial" w:eastAsia="Arial" w:hAnsi="Arial"/>
          <w:sz w:val="18"/>
          <w:szCs w:val="18"/>
          <w:color w:val="auto"/>
        </w:rPr>
        <w:t>In a volatile stock market, time-based RSUs continue to provide incentive and retentive value, which the Compensation and Talent Committee believes to be useful in retaining talented executives and employees in uncertain economic times. In this way, we use time-based RSUs as a retention tool and to enable our executive officers to accumulate stock ownership in the company. As part of our annual compensation program, time-based RSUs were granted to our NEOs in April 2025, and such awards will vest in equal increments on the first, second, third, and fourth anniversaries of March 15, 2025.</w:t>
      </w:r>
    </w:p>
    <w:p>
      <w:pPr>
        <w:spacing w:after="0" w:line="82" w:lineRule="exact"/>
        <w:rPr>
          <w:sz w:val="20"/>
          <w:szCs w:val="20"/>
          <w:color w:val="auto"/>
        </w:rPr>
      </w:pPr>
    </w:p>
    <w:p>
      <w:pPr>
        <w:spacing w:after="0"/>
        <w:rPr>
          <w:sz w:val="20"/>
          <w:szCs w:val="20"/>
          <w:color w:val="auto"/>
        </w:rPr>
      </w:pPr>
      <w:r>
        <w:rPr>
          <w:rFonts w:ascii="Arial" w:cs="Arial" w:eastAsia="Arial" w:hAnsi="Arial"/>
          <w:sz w:val="18"/>
          <w:szCs w:val="18"/>
          <w:b w:val="1"/>
          <w:bCs w:val="1"/>
          <w:color w:val="0066BA"/>
        </w:rPr>
        <w:t>Stock Options</w:t>
      </w:r>
    </w:p>
    <w:p>
      <w:pPr>
        <w:spacing w:after="0" w:line="104" w:lineRule="exact"/>
        <w:rPr>
          <w:sz w:val="20"/>
          <w:szCs w:val="20"/>
          <w:color w:val="auto"/>
        </w:rPr>
      </w:pPr>
    </w:p>
    <w:p>
      <w:pPr>
        <w:jc w:val="both"/>
        <w:ind w:right="460"/>
        <w:spacing w:after="0" w:line="261" w:lineRule="auto"/>
        <w:rPr>
          <w:sz w:val="20"/>
          <w:szCs w:val="20"/>
          <w:color w:val="auto"/>
        </w:rPr>
      </w:pPr>
      <w:r>
        <w:rPr>
          <w:rFonts w:ascii="Arial" w:cs="Arial" w:eastAsia="Arial" w:hAnsi="Arial"/>
          <w:sz w:val="18"/>
          <w:szCs w:val="18"/>
          <w:color w:val="auto"/>
        </w:rPr>
        <w:t xml:space="preserve">Prior to fiscal year 2022, we used stock options as a way to reward long-term value creation. Stock options granted to our NEOs in prior years that remain outstanding vest in accordance with the vesting dates as described in footnote 1 to the </w:t>
      </w:r>
      <w:r>
        <w:rPr>
          <w:rFonts w:ascii="Arial" w:cs="Arial" w:eastAsia="Arial" w:hAnsi="Arial"/>
          <w:sz w:val="18"/>
          <w:szCs w:val="18"/>
          <w:i w:val="1"/>
          <w:iCs w:val="1"/>
          <w:color w:val="auto"/>
        </w:rPr>
        <w:t>Outstanding Equity Awards at</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Fiscal Year-End 2025 </w:t>
      </w:r>
      <w:r>
        <w:rPr>
          <w:rFonts w:ascii="Arial" w:cs="Arial" w:eastAsia="Arial" w:hAnsi="Arial"/>
          <w:sz w:val="18"/>
          <w:szCs w:val="18"/>
          <w:color w:val="auto"/>
        </w:rPr>
        <w:t>table and are subject to a 10-year term.</w:t>
      </w:r>
    </w:p>
    <w:p>
      <w:pPr>
        <w:spacing w:after="0" w:line="54" w:lineRule="exact"/>
        <w:rPr>
          <w:sz w:val="20"/>
          <w:szCs w:val="20"/>
          <w:color w:val="auto"/>
        </w:rPr>
      </w:pPr>
    </w:p>
    <w:p>
      <w:pPr>
        <w:ind w:right="20"/>
        <w:spacing w:after="0" w:line="246" w:lineRule="auto"/>
        <w:rPr>
          <w:sz w:val="20"/>
          <w:szCs w:val="20"/>
          <w:color w:val="auto"/>
        </w:rPr>
      </w:pPr>
      <w:r>
        <w:rPr>
          <w:rFonts w:ascii="Arial" w:cs="Arial" w:eastAsia="Arial" w:hAnsi="Arial"/>
          <w:sz w:val="18"/>
          <w:szCs w:val="18"/>
          <w:color w:val="auto"/>
        </w:rPr>
        <w:t>In December 2020, the Compensation and Talent Committee approved the grant of a special performance stock option award (CEO Performance Stock Option Award) to Mr. Roche. The terms of the CEO Performance Stock Option Award provide that if certain challenging target stock price thresholds are met during the five-year period after the date of grant, the option becomes exercisable with respect to an aggregate of 460,000 shares of our common stock in three tranches, with each tranche exercisable one year after the applicable target stock price threshold is met. The target stock price thresholds were attained as of April 12, 2023, May 30, 2024, and July 23, 2024, and as a result, the option became exercisable with respect to (i) 151,800 shares of common stock on April 12, 2024, (ii) 151,800 shares of common stock on May 30, 2025, and (iii) 156,400 shares of common stock on July 23, 2025.</w:t>
      </w:r>
    </w:p>
    <w:p>
      <w:pPr>
        <w:sectPr>
          <w:pgSz w:w="11900" w:h="16838" w:orient="portrait"/>
          <w:cols w:equalWidth="0" w:num="1">
            <w:col w:w="11240"/>
          </w:cols>
          <w:pgMar w:left="320" w:top="1174" w:right="339" w:bottom="1440" w:gutter="0" w:footer="0" w:header="0"/>
        </w:sectPr>
      </w:pPr>
    </w:p>
    <w:p>
      <w:pPr>
        <w:spacing w:after="0" w:line="200" w:lineRule="exact"/>
        <w:rPr>
          <w:sz w:val="20"/>
          <w:szCs w:val="20"/>
          <w:color w:val="auto"/>
        </w:rPr>
      </w:pPr>
    </w:p>
    <w:p>
      <w:pPr>
        <w:spacing w:after="0" w:line="241" w:lineRule="exact"/>
        <w:rPr>
          <w:sz w:val="20"/>
          <w:szCs w:val="20"/>
          <w:color w:val="auto"/>
        </w:rPr>
      </w:pPr>
    </w:p>
    <w:p>
      <w:pPr>
        <w:ind w:left="8980"/>
        <w:spacing w:after="0"/>
        <w:tabs>
          <w:tab w:leader="none" w:pos="10980" w:val="left"/>
        </w:tabs>
        <w:rPr>
          <w:sz w:val="20"/>
          <w:szCs w:val="20"/>
          <w:color w:val="auto"/>
        </w:rPr>
      </w:pPr>
      <w:r>
        <w:rPr>
          <w:rFonts w:ascii="Arial" w:cs="Arial" w:eastAsia="Arial" w:hAnsi="Arial"/>
          <w:sz w:val="16"/>
          <w:szCs w:val="16"/>
          <w:color w:val="0067B3"/>
        </w:rPr>
        <w:t>2026 Proxy Statement</w:t>
      </w:r>
      <w:r>
        <w:rPr>
          <w:sz w:val="20"/>
          <w:szCs w:val="20"/>
          <w:color w:val="auto"/>
        </w:rPr>
        <w:tab/>
      </w:r>
      <w:r>
        <w:rPr>
          <w:rFonts w:ascii="Arial" w:cs="Arial" w:eastAsia="Arial" w:hAnsi="Arial"/>
          <w:sz w:val="19"/>
          <w:szCs w:val="19"/>
          <w:b w:val="1"/>
          <w:bCs w:val="1"/>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232410</wp:posOffset>
            </wp:positionV>
            <wp:extent cx="7157720" cy="4254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4" w:right="339" w:bottom="1440" w:gutter="0" w:footer="0" w:header="0"/>
          <w:type w:val="continuous"/>
        </w:sectPr>
      </w:pPr>
    </w:p>
    <w:bookmarkStart w:id="59" w:name="page60"/>
    <w:bookmarkEnd w:id="59"/>
    <w:p>
      <w:pPr>
        <w:spacing w:after="0"/>
        <w:rPr>
          <w:sz w:val="20"/>
          <w:szCs w:val="20"/>
          <w:color w:val="auto"/>
        </w:rPr>
      </w:pPr>
      <w:r>
        <w:rPr>
          <w:rFonts w:ascii="Arial" w:cs="Arial" w:eastAsia="Arial" w:hAnsi="Arial"/>
          <w:sz w:val="23"/>
          <w:szCs w:val="23"/>
          <w:b w:val="1"/>
          <w:bCs w:val="1"/>
          <w:color w:val="auto"/>
        </w:rPr>
        <w:t>Equity Awards Granted in Fiscal Year 2025</w:t>
      </w:r>
    </w:p>
    <w:p>
      <w:pPr>
        <w:spacing w:after="0" w:line="141"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 xml:space="preserve">In fiscal year 2025, the Compensation and Talent Committee granted equity awards to our NEOs as detailed in the table below as part of our annual compensation program. The values below are the target grant values approved by the Compensation and Talent Committee, which are then converted into a number of RSUs or a number of target PRSUs using an approved formula based on stock price. For the accounting grant date fair value of such awards, see the </w:t>
      </w:r>
      <w:r>
        <w:rPr>
          <w:rFonts w:ascii="Arial" w:cs="Arial" w:eastAsia="Arial" w:hAnsi="Arial"/>
          <w:sz w:val="18"/>
          <w:szCs w:val="18"/>
          <w:i w:val="1"/>
          <w:iCs w:val="1"/>
          <w:color w:val="auto"/>
        </w:rPr>
        <w:t>Summary Compensation Table</w:t>
      </w:r>
      <w:r>
        <w:rPr>
          <w:rFonts w:ascii="Arial" w:cs="Arial" w:eastAsia="Arial" w:hAnsi="Arial"/>
          <w:sz w:val="18"/>
          <w:szCs w:val="18"/>
          <w:color w:val="auto"/>
        </w:rPr>
        <w:t>.</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4600" w:type="dxa"/>
            <w:vAlign w:val="bottom"/>
            <w:shd w:val="clear" w:color="auto" w:fill="0067B3"/>
          </w:tcPr>
          <w:p>
            <w:pPr>
              <w:spacing w:after="0"/>
              <w:rPr>
                <w:sz w:val="17"/>
                <w:szCs w:val="17"/>
                <w:color w:val="auto"/>
              </w:rPr>
            </w:pPr>
          </w:p>
        </w:tc>
        <w:tc>
          <w:tcPr>
            <w:tcW w:w="3480" w:type="dxa"/>
            <w:vAlign w:val="bottom"/>
            <w:shd w:val="clear" w:color="auto" w:fill="0067B3"/>
          </w:tcPr>
          <w:p>
            <w:pPr>
              <w:jc w:val="right"/>
              <w:ind w:right="73"/>
              <w:spacing w:after="0"/>
              <w:rPr>
                <w:sz w:val="20"/>
                <w:szCs w:val="20"/>
                <w:color w:val="auto"/>
              </w:rPr>
            </w:pPr>
            <w:r>
              <w:rPr>
                <w:rFonts w:ascii="Arial" w:cs="Arial" w:eastAsia="Arial" w:hAnsi="Arial"/>
                <w:sz w:val="16"/>
                <w:szCs w:val="16"/>
                <w:b w:val="1"/>
                <w:bCs w:val="1"/>
                <w:color w:val="FFFFFF"/>
              </w:rPr>
              <w:t>Time-</w:t>
            </w:r>
          </w:p>
        </w:tc>
        <w:tc>
          <w:tcPr>
            <w:tcW w:w="940" w:type="dxa"/>
            <w:vAlign w:val="bottom"/>
            <w:shd w:val="clear" w:color="auto" w:fill="0067B3"/>
          </w:tcPr>
          <w:p>
            <w:pPr>
              <w:jc w:val="right"/>
              <w:ind w:right="53"/>
              <w:spacing w:after="0"/>
              <w:rPr>
                <w:sz w:val="20"/>
                <w:szCs w:val="20"/>
                <w:color w:val="auto"/>
              </w:rPr>
            </w:pPr>
            <w:r>
              <w:rPr>
                <w:rFonts w:ascii="Arial" w:cs="Arial" w:eastAsia="Arial" w:hAnsi="Arial"/>
                <w:sz w:val="16"/>
                <w:szCs w:val="16"/>
                <w:b w:val="1"/>
                <w:bCs w:val="1"/>
                <w:color w:val="FFFFFF"/>
              </w:rPr>
              <w:t>Relative</w:t>
            </w:r>
          </w:p>
        </w:tc>
        <w:tc>
          <w:tcPr>
            <w:tcW w:w="980" w:type="dxa"/>
            <w:vAlign w:val="bottom"/>
            <w:shd w:val="clear" w:color="auto" w:fill="0067B3"/>
          </w:tcPr>
          <w:p>
            <w:pPr>
              <w:jc w:val="right"/>
              <w:ind w:right="33"/>
              <w:spacing w:after="0"/>
              <w:rPr>
                <w:sz w:val="20"/>
                <w:szCs w:val="20"/>
                <w:color w:val="auto"/>
              </w:rPr>
            </w:pPr>
            <w:r>
              <w:rPr>
                <w:rFonts w:ascii="Arial" w:cs="Arial" w:eastAsia="Arial" w:hAnsi="Arial"/>
                <w:sz w:val="16"/>
                <w:szCs w:val="16"/>
                <w:b w:val="1"/>
                <w:bCs w:val="1"/>
                <w:color w:val="FFFFFF"/>
              </w:rPr>
              <w:t>Financial</w:t>
            </w:r>
          </w:p>
        </w:tc>
        <w:tc>
          <w:tcPr>
            <w:tcW w:w="240" w:type="dxa"/>
            <w:vAlign w:val="bottom"/>
            <w:shd w:val="clear" w:color="auto" w:fill="0067B3"/>
          </w:tcPr>
          <w:p>
            <w:pPr>
              <w:spacing w:after="0"/>
              <w:rPr>
                <w:sz w:val="17"/>
                <w:szCs w:val="17"/>
                <w:color w:val="auto"/>
              </w:rPr>
            </w:pPr>
          </w:p>
        </w:tc>
        <w:tc>
          <w:tcPr>
            <w:tcW w:w="1000" w:type="dxa"/>
            <w:vAlign w:val="bottom"/>
            <w:shd w:val="clear" w:color="auto" w:fill="0067B3"/>
          </w:tcPr>
          <w:p>
            <w:pPr>
              <w:spacing w:after="0"/>
              <w:rPr>
                <w:sz w:val="17"/>
                <w:szCs w:val="17"/>
                <w:color w:val="auto"/>
              </w:rPr>
            </w:pPr>
          </w:p>
        </w:tc>
      </w:tr>
      <w:tr>
        <w:trPr>
          <w:trHeight w:val="189"/>
        </w:trPr>
        <w:tc>
          <w:tcPr>
            <w:tcW w:w="4600" w:type="dxa"/>
            <w:vAlign w:val="bottom"/>
            <w:shd w:val="clear" w:color="auto" w:fill="0067B3"/>
          </w:tcPr>
          <w:p>
            <w:pPr>
              <w:spacing w:after="0"/>
              <w:rPr>
                <w:sz w:val="16"/>
                <w:szCs w:val="16"/>
                <w:color w:val="auto"/>
              </w:rPr>
            </w:pPr>
          </w:p>
        </w:tc>
        <w:tc>
          <w:tcPr>
            <w:tcW w:w="3480" w:type="dxa"/>
            <w:vAlign w:val="bottom"/>
            <w:shd w:val="clear" w:color="auto" w:fill="0067B3"/>
          </w:tcPr>
          <w:p>
            <w:pPr>
              <w:jc w:val="right"/>
              <w:ind w:right="73"/>
              <w:spacing w:after="0"/>
              <w:rPr>
                <w:sz w:val="20"/>
                <w:szCs w:val="20"/>
                <w:color w:val="auto"/>
              </w:rPr>
            </w:pPr>
            <w:r>
              <w:rPr>
                <w:rFonts w:ascii="Arial" w:cs="Arial" w:eastAsia="Arial" w:hAnsi="Arial"/>
                <w:sz w:val="16"/>
                <w:szCs w:val="16"/>
                <w:b w:val="1"/>
                <w:bCs w:val="1"/>
                <w:color w:val="FFFFFF"/>
              </w:rPr>
              <w:t>based</w:t>
            </w:r>
          </w:p>
        </w:tc>
        <w:tc>
          <w:tcPr>
            <w:tcW w:w="940" w:type="dxa"/>
            <w:vAlign w:val="bottom"/>
            <w:shd w:val="clear" w:color="auto" w:fill="0067B3"/>
          </w:tcPr>
          <w:p>
            <w:pPr>
              <w:jc w:val="right"/>
              <w:ind w:right="53"/>
              <w:spacing w:after="0"/>
              <w:rPr>
                <w:sz w:val="20"/>
                <w:szCs w:val="20"/>
                <w:color w:val="auto"/>
              </w:rPr>
            </w:pPr>
            <w:r>
              <w:rPr>
                <w:rFonts w:ascii="Arial" w:cs="Arial" w:eastAsia="Arial" w:hAnsi="Arial"/>
                <w:sz w:val="16"/>
                <w:szCs w:val="16"/>
                <w:b w:val="1"/>
                <w:bCs w:val="1"/>
                <w:color w:val="FFFFFF"/>
              </w:rPr>
              <w:t>TSR</w:t>
            </w:r>
          </w:p>
        </w:tc>
        <w:tc>
          <w:tcPr>
            <w:tcW w:w="980" w:type="dxa"/>
            <w:vAlign w:val="bottom"/>
            <w:shd w:val="clear" w:color="auto" w:fill="0067B3"/>
          </w:tcPr>
          <w:p>
            <w:pPr>
              <w:jc w:val="right"/>
              <w:ind w:right="33"/>
              <w:spacing w:after="0"/>
              <w:rPr>
                <w:sz w:val="20"/>
                <w:szCs w:val="20"/>
                <w:color w:val="auto"/>
              </w:rPr>
            </w:pPr>
            <w:r>
              <w:rPr>
                <w:rFonts w:ascii="Arial" w:cs="Arial" w:eastAsia="Arial" w:hAnsi="Arial"/>
                <w:sz w:val="16"/>
                <w:szCs w:val="16"/>
                <w:b w:val="1"/>
                <w:bCs w:val="1"/>
                <w:color w:val="FFFFFF"/>
              </w:rPr>
              <w:t>Metric</w:t>
            </w:r>
          </w:p>
        </w:tc>
        <w:tc>
          <w:tcPr>
            <w:tcW w:w="240" w:type="dxa"/>
            <w:vAlign w:val="bottom"/>
            <w:shd w:val="clear" w:color="auto" w:fill="0067B3"/>
          </w:tcPr>
          <w:p>
            <w:pPr>
              <w:spacing w:after="0"/>
              <w:rPr>
                <w:sz w:val="16"/>
                <w:szCs w:val="16"/>
                <w:color w:val="auto"/>
              </w:rPr>
            </w:pPr>
          </w:p>
        </w:tc>
        <w:tc>
          <w:tcPr>
            <w:tcW w:w="1000" w:type="dxa"/>
            <w:vAlign w:val="bottom"/>
            <w:shd w:val="clear" w:color="auto" w:fill="0067B3"/>
          </w:tcPr>
          <w:p>
            <w:pPr>
              <w:jc w:val="right"/>
              <w:spacing w:after="0"/>
              <w:rPr>
                <w:sz w:val="20"/>
                <w:szCs w:val="20"/>
                <w:color w:val="auto"/>
              </w:rPr>
            </w:pPr>
            <w:r>
              <w:rPr>
                <w:rFonts w:ascii="Arial" w:cs="Arial" w:eastAsia="Arial" w:hAnsi="Arial"/>
                <w:sz w:val="16"/>
                <w:szCs w:val="16"/>
                <w:b w:val="1"/>
                <w:bCs w:val="1"/>
                <w:color w:val="FFFFFF"/>
                <w:w w:val="99"/>
              </w:rPr>
              <w:t>Target Grant</w:t>
            </w:r>
          </w:p>
        </w:tc>
      </w:tr>
      <w:tr>
        <w:trPr>
          <w:trHeight w:val="244"/>
        </w:trPr>
        <w:tc>
          <w:tcPr>
            <w:tcW w:w="4600" w:type="dxa"/>
            <w:vAlign w:val="bottom"/>
            <w:shd w:val="clear" w:color="auto" w:fill="0067B3"/>
          </w:tcPr>
          <w:p>
            <w:pPr>
              <w:ind w:left="20"/>
              <w:spacing w:after="0"/>
              <w:rPr>
                <w:sz w:val="20"/>
                <w:szCs w:val="20"/>
                <w:color w:val="auto"/>
              </w:rPr>
            </w:pPr>
            <w:r>
              <w:rPr>
                <w:rFonts w:ascii="Arial" w:cs="Arial" w:eastAsia="Arial" w:hAnsi="Arial"/>
                <w:sz w:val="16"/>
                <w:szCs w:val="16"/>
                <w:b w:val="1"/>
                <w:bCs w:val="1"/>
                <w:color w:val="FFFFFF"/>
              </w:rPr>
              <w:t>Name</w:t>
            </w:r>
          </w:p>
        </w:tc>
        <w:tc>
          <w:tcPr>
            <w:tcW w:w="3480" w:type="dxa"/>
            <w:vAlign w:val="bottom"/>
            <w:shd w:val="clear" w:color="auto" w:fill="0067B3"/>
          </w:tcPr>
          <w:p>
            <w:pPr>
              <w:jc w:val="right"/>
              <w:ind w:right="73"/>
              <w:spacing w:after="0"/>
              <w:rPr>
                <w:sz w:val="20"/>
                <w:szCs w:val="20"/>
                <w:color w:val="auto"/>
              </w:rPr>
            </w:pPr>
            <w:r>
              <w:rPr>
                <w:rFonts w:ascii="Arial" w:cs="Arial" w:eastAsia="Arial" w:hAnsi="Arial"/>
                <w:sz w:val="16"/>
                <w:szCs w:val="16"/>
                <w:b w:val="1"/>
                <w:bCs w:val="1"/>
                <w:color w:val="FFFFFF"/>
              </w:rPr>
              <w:t>RSUs</w:t>
            </w:r>
          </w:p>
        </w:tc>
        <w:tc>
          <w:tcPr>
            <w:tcW w:w="940" w:type="dxa"/>
            <w:vAlign w:val="bottom"/>
            <w:shd w:val="clear" w:color="auto" w:fill="0067B3"/>
          </w:tcPr>
          <w:p>
            <w:pPr>
              <w:jc w:val="right"/>
              <w:ind w:right="53"/>
              <w:spacing w:after="0"/>
              <w:rPr>
                <w:sz w:val="20"/>
                <w:szCs w:val="20"/>
                <w:color w:val="auto"/>
              </w:rPr>
            </w:pPr>
            <w:r>
              <w:rPr>
                <w:rFonts w:ascii="Arial" w:cs="Arial" w:eastAsia="Arial" w:hAnsi="Arial"/>
                <w:sz w:val="16"/>
                <w:szCs w:val="16"/>
                <w:b w:val="1"/>
                <w:bCs w:val="1"/>
                <w:color w:val="FFFFFF"/>
              </w:rPr>
              <w:t>PRSUs</w:t>
            </w:r>
          </w:p>
        </w:tc>
        <w:tc>
          <w:tcPr>
            <w:tcW w:w="980" w:type="dxa"/>
            <w:vAlign w:val="bottom"/>
            <w:shd w:val="clear" w:color="auto" w:fill="0067B3"/>
          </w:tcPr>
          <w:p>
            <w:pPr>
              <w:jc w:val="right"/>
              <w:ind w:right="33"/>
              <w:spacing w:after="0"/>
              <w:rPr>
                <w:sz w:val="20"/>
                <w:szCs w:val="20"/>
                <w:color w:val="auto"/>
              </w:rPr>
            </w:pPr>
            <w:r>
              <w:rPr>
                <w:rFonts w:ascii="Arial" w:cs="Arial" w:eastAsia="Arial" w:hAnsi="Arial"/>
                <w:sz w:val="16"/>
                <w:szCs w:val="16"/>
                <w:b w:val="1"/>
                <w:bCs w:val="1"/>
                <w:color w:val="FFFFFF"/>
              </w:rPr>
              <w:t>PRSUs</w:t>
            </w:r>
          </w:p>
        </w:tc>
        <w:tc>
          <w:tcPr>
            <w:tcW w:w="240" w:type="dxa"/>
            <w:vAlign w:val="bottom"/>
            <w:shd w:val="clear" w:color="auto" w:fill="0067B3"/>
          </w:tcPr>
          <w:p>
            <w:pPr>
              <w:spacing w:after="0"/>
              <w:rPr>
                <w:sz w:val="21"/>
                <w:szCs w:val="21"/>
                <w:color w:val="auto"/>
              </w:rPr>
            </w:pPr>
          </w:p>
        </w:tc>
        <w:tc>
          <w:tcPr>
            <w:tcW w:w="1000" w:type="dxa"/>
            <w:vAlign w:val="bottom"/>
            <w:shd w:val="clear" w:color="auto" w:fill="0067B3"/>
          </w:tcPr>
          <w:p>
            <w:pPr>
              <w:jc w:val="right"/>
              <w:spacing w:after="0"/>
              <w:rPr>
                <w:sz w:val="20"/>
                <w:szCs w:val="20"/>
                <w:color w:val="auto"/>
              </w:rPr>
            </w:pPr>
            <w:r>
              <w:rPr>
                <w:rFonts w:ascii="Arial" w:cs="Arial" w:eastAsia="Arial" w:hAnsi="Arial"/>
                <w:sz w:val="16"/>
                <w:szCs w:val="16"/>
                <w:b w:val="1"/>
                <w:bCs w:val="1"/>
                <w:color w:val="FFFFFF"/>
              </w:rPr>
              <w:t>Value</w:t>
            </w:r>
          </w:p>
        </w:tc>
      </w:tr>
      <w:tr>
        <w:trPr>
          <w:trHeight w:val="270"/>
        </w:trPr>
        <w:tc>
          <w:tcPr>
            <w:tcW w:w="4600" w:type="dxa"/>
            <w:vAlign w:val="bottom"/>
            <w:shd w:val="clear" w:color="auto" w:fill="E2E6F4"/>
          </w:tcPr>
          <w:p>
            <w:pPr>
              <w:ind w:left="20"/>
              <w:spacing w:after="0"/>
              <w:rPr>
                <w:sz w:val="20"/>
                <w:szCs w:val="20"/>
                <w:color w:val="auto"/>
              </w:rPr>
            </w:pPr>
            <w:r>
              <w:rPr>
                <w:rFonts w:ascii="Arial" w:cs="Arial" w:eastAsia="Arial" w:hAnsi="Arial"/>
                <w:sz w:val="18"/>
                <w:szCs w:val="18"/>
                <w:b w:val="1"/>
                <w:bCs w:val="1"/>
                <w:color w:val="0067B3"/>
              </w:rPr>
              <w:t>Vincent Roche</w:t>
            </w:r>
          </w:p>
        </w:tc>
        <w:tc>
          <w:tcPr>
            <w:tcW w:w="3480" w:type="dxa"/>
            <w:vAlign w:val="bottom"/>
            <w:shd w:val="clear" w:color="auto" w:fill="E2E6F4"/>
          </w:tcPr>
          <w:p>
            <w:pPr>
              <w:jc w:val="right"/>
              <w:ind w:right="133"/>
              <w:spacing w:after="0"/>
              <w:rPr>
                <w:sz w:val="20"/>
                <w:szCs w:val="20"/>
                <w:color w:val="auto"/>
              </w:rPr>
            </w:pPr>
            <w:r>
              <w:rPr>
                <w:rFonts w:ascii="Arial" w:cs="Arial" w:eastAsia="Arial" w:hAnsi="Arial"/>
                <w:sz w:val="18"/>
                <w:szCs w:val="18"/>
                <w:color w:val="auto"/>
              </w:rPr>
              <w:t>35,084</w:t>
            </w:r>
          </w:p>
        </w:tc>
        <w:tc>
          <w:tcPr>
            <w:tcW w:w="940" w:type="dxa"/>
            <w:vAlign w:val="bottom"/>
            <w:shd w:val="clear" w:color="auto" w:fill="E2E6F4"/>
          </w:tcPr>
          <w:p>
            <w:pPr>
              <w:jc w:val="right"/>
              <w:ind w:right="113"/>
              <w:spacing w:after="0"/>
              <w:rPr>
                <w:sz w:val="20"/>
                <w:szCs w:val="20"/>
                <w:color w:val="auto"/>
              </w:rPr>
            </w:pPr>
            <w:r>
              <w:rPr>
                <w:rFonts w:ascii="Arial" w:cs="Arial" w:eastAsia="Arial" w:hAnsi="Arial"/>
                <w:sz w:val="18"/>
                <w:szCs w:val="18"/>
                <w:color w:val="auto"/>
              </w:rPr>
              <w:t>42,655</w:t>
            </w:r>
          </w:p>
        </w:tc>
        <w:tc>
          <w:tcPr>
            <w:tcW w:w="980" w:type="dxa"/>
            <w:vAlign w:val="bottom"/>
            <w:shd w:val="clear" w:color="auto" w:fill="E2E6F4"/>
          </w:tcPr>
          <w:p>
            <w:pPr>
              <w:jc w:val="right"/>
              <w:ind w:right="93"/>
              <w:spacing w:after="0"/>
              <w:rPr>
                <w:sz w:val="20"/>
                <w:szCs w:val="20"/>
                <w:color w:val="auto"/>
              </w:rPr>
            </w:pPr>
            <w:r>
              <w:rPr>
                <w:rFonts w:ascii="Arial" w:cs="Arial" w:eastAsia="Arial" w:hAnsi="Arial"/>
                <w:sz w:val="18"/>
                <w:szCs w:val="18"/>
                <w:color w:val="auto"/>
              </w:rPr>
              <w:t>56,811</w:t>
            </w:r>
          </w:p>
        </w:tc>
        <w:tc>
          <w:tcPr>
            <w:tcW w:w="240" w:type="dxa"/>
            <w:vAlign w:val="bottom"/>
            <w:shd w:val="clear" w:color="auto" w:fill="E2E6F4"/>
          </w:tcPr>
          <w:p>
            <w:pPr>
              <w:jc w:val="right"/>
              <w:spacing w:after="0"/>
              <w:rPr>
                <w:sz w:val="20"/>
                <w:szCs w:val="20"/>
                <w:color w:val="auto"/>
              </w:rPr>
            </w:pPr>
            <w:r>
              <w:rPr>
                <w:rFonts w:ascii="Arial" w:cs="Arial" w:eastAsia="Arial" w:hAnsi="Arial"/>
                <w:sz w:val="18"/>
                <w:szCs w:val="18"/>
                <w:color w:val="auto"/>
              </w:rPr>
              <w:t>$</w:t>
            </w:r>
          </w:p>
        </w:tc>
        <w:tc>
          <w:tcPr>
            <w:tcW w:w="1000" w:type="dxa"/>
            <w:vAlign w:val="bottom"/>
            <w:shd w:val="clear" w:color="auto" w:fill="E2E6F4"/>
          </w:tcPr>
          <w:p>
            <w:pPr>
              <w:jc w:val="right"/>
              <w:spacing w:after="0"/>
              <w:rPr>
                <w:sz w:val="20"/>
                <w:szCs w:val="20"/>
                <w:color w:val="auto"/>
              </w:rPr>
            </w:pPr>
            <w:r>
              <w:rPr>
                <w:rFonts w:ascii="Arial" w:cs="Arial" w:eastAsia="Arial" w:hAnsi="Arial"/>
                <w:sz w:val="18"/>
                <w:szCs w:val="18"/>
                <w:color w:val="auto"/>
                <w:w w:val="99"/>
              </w:rPr>
              <w:t>22,000,000</w:t>
            </w:r>
          </w:p>
        </w:tc>
      </w:tr>
      <w:tr>
        <w:trPr>
          <w:trHeight w:val="263"/>
        </w:trPr>
        <w:tc>
          <w:tcPr>
            <w:tcW w:w="4600" w:type="dxa"/>
            <w:vAlign w:val="bottom"/>
          </w:tcPr>
          <w:p>
            <w:pPr>
              <w:ind w:left="20"/>
              <w:spacing w:after="0"/>
              <w:rPr>
                <w:sz w:val="20"/>
                <w:szCs w:val="20"/>
                <w:color w:val="auto"/>
              </w:rPr>
            </w:pPr>
            <w:r>
              <w:rPr>
                <w:rFonts w:ascii="Arial" w:cs="Arial" w:eastAsia="Arial" w:hAnsi="Arial"/>
                <w:sz w:val="18"/>
                <w:szCs w:val="18"/>
                <w:b w:val="1"/>
                <w:bCs w:val="1"/>
                <w:color w:val="0067B3"/>
              </w:rPr>
              <w:t>Richard C. Puccio, Jr.</w:t>
            </w:r>
          </w:p>
        </w:tc>
        <w:tc>
          <w:tcPr>
            <w:tcW w:w="3480" w:type="dxa"/>
            <w:vAlign w:val="bottom"/>
          </w:tcPr>
          <w:p>
            <w:pPr>
              <w:jc w:val="right"/>
              <w:ind w:right="133"/>
              <w:spacing w:after="0"/>
              <w:rPr>
                <w:sz w:val="20"/>
                <w:szCs w:val="20"/>
                <w:color w:val="auto"/>
              </w:rPr>
            </w:pPr>
            <w:r>
              <w:rPr>
                <w:rFonts w:ascii="Arial" w:cs="Arial" w:eastAsia="Arial" w:hAnsi="Arial"/>
                <w:sz w:val="18"/>
                <w:szCs w:val="18"/>
                <w:color w:val="auto"/>
              </w:rPr>
              <w:t>12,615</w:t>
            </w:r>
          </w:p>
        </w:tc>
        <w:tc>
          <w:tcPr>
            <w:tcW w:w="940" w:type="dxa"/>
            <w:vAlign w:val="bottom"/>
          </w:tcPr>
          <w:p>
            <w:pPr>
              <w:jc w:val="right"/>
              <w:ind w:right="113"/>
              <w:spacing w:after="0"/>
              <w:rPr>
                <w:sz w:val="20"/>
                <w:szCs w:val="20"/>
                <w:color w:val="auto"/>
              </w:rPr>
            </w:pPr>
            <w:r>
              <w:rPr>
                <w:rFonts w:ascii="Arial" w:cs="Arial" w:eastAsia="Arial" w:hAnsi="Arial"/>
                <w:sz w:val="18"/>
                <w:szCs w:val="18"/>
                <w:color w:val="auto"/>
              </w:rPr>
              <w:t>9,390</w:t>
            </w:r>
          </w:p>
        </w:tc>
        <w:tc>
          <w:tcPr>
            <w:tcW w:w="980" w:type="dxa"/>
            <w:vAlign w:val="bottom"/>
          </w:tcPr>
          <w:p>
            <w:pPr>
              <w:jc w:val="right"/>
              <w:ind w:right="93"/>
              <w:spacing w:after="0"/>
              <w:rPr>
                <w:sz w:val="20"/>
                <w:szCs w:val="20"/>
                <w:color w:val="auto"/>
              </w:rPr>
            </w:pPr>
            <w:r>
              <w:rPr>
                <w:rFonts w:ascii="Arial" w:cs="Arial" w:eastAsia="Arial" w:hAnsi="Arial"/>
                <w:sz w:val="18"/>
                <w:szCs w:val="18"/>
                <w:color w:val="auto"/>
              </w:rPr>
              <w:t>12,767</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5,650,000</w:t>
            </w:r>
          </w:p>
        </w:tc>
      </w:tr>
      <w:tr>
        <w:trPr>
          <w:trHeight w:val="278"/>
        </w:trPr>
        <w:tc>
          <w:tcPr>
            <w:tcW w:w="4600" w:type="dxa"/>
            <w:vAlign w:val="bottom"/>
            <w:shd w:val="clear" w:color="auto" w:fill="E2E6F4"/>
          </w:tcPr>
          <w:p>
            <w:pPr>
              <w:ind w:left="20"/>
              <w:spacing w:after="0"/>
              <w:rPr>
                <w:sz w:val="20"/>
                <w:szCs w:val="20"/>
                <w:color w:val="auto"/>
              </w:rPr>
            </w:pPr>
            <w:r>
              <w:rPr>
                <w:rFonts w:ascii="Arial" w:cs="Arial" w:eastAsia="Arial" w:hAnsi="Arial"/>
                <w:sz w:val="18"/>
                <w:szCs w:val="18"/>
                <w:b w:val="1"/>
                <w:bCs w:val="1"/>
                <w:color w:val="0067B3"/>
              </w:rPr>
              <w:t>Martin Cotter</w:t>
            </w:r>
          </w:p>
        </w:tc>
        <w:tc>
          <w:tcPr>
            <w:tcW w:w="3480" w:type="dxa"/>
            <w:vAlign w:val="bottom"/>
            <w:shd w:val="clear" w:color="auto" w:fill="E2E6F4"/>
          </w:tcPr>
          <w:p>
            <w:pPr>
              <w:jc w:val="right"/>
              <w:ind w:right="133"/>
              <w:spacing w:after="0"/>
              <w:rPr>
                <w:sz w:val="20"/>
                <w:szCs w:val="20"/>
                <w:color w:val="auto"/>
              </w:rPr>
            </w:pPr>
            <w:r>
              <w:rPr>
                <w:rFonts w:ascii="Arial" w:cs="Arial" w:eastAsia="Arial" w:hAnsi="Arial"/>
                <w:sz w:val="18"/>
                <w:szCs w:val="18"/>
                <w:color w:val="auto"/>
              </w:rPr>
              <w:t>10,717</w:t>
            </w:r>
          </w:p>
        </w:tc>
        <w:tc>
          <w:tcPr>
            <w:tcW w:w="940" w:type="dxa"/>
            <w:vAlign w:val="bottom"/>
            <w:shd w:val="clear" w:color="auto" w:fill="E2E6F4"/>
          </w:tcPr>
          <w:p>
            <w:pPr>
              <w:jc w:val="right"/>
              <w:ind w:right="113"/>
              <w:spacing w:after="0"/>
              <w:rPr>
                <w:sz w:val="20"/>
                <w:szCs w:val="20"/>
                <w:color w:val="auto"/>
              </w:rPr>
            </w:pPr>
            <w:r>
              <w:rPr>
                <w:rFonts w:ascii="Arial" w:cs="Arial" w:eastAsia="Arial" w:hAnsi="Arial"/>
                <w:sz w:val="18"/>
                <w:szCs w:val="18"/>
                <w:color w:val="auto"/>
              </w:rPr>
              <w:t>7,977</w:t>
            </w:r>
          </w:p>
        </w:tc>
        <w:tc>
          <w:tcPr>
            <w:tcW w:w="980" w:type="dxa"/>
            <w:vAlign w:val="bottom"/>
            <w:shd w:val="clear" w:color="auto" w:fill="E2E6F4"/>
          </w:tcPr>
          <w:p>
            <w:pPr>
              <w:jc w:val="right"/>
              <w:ind w:right="93"/>
              <w:spacing w:after="0"/>
              <w:rPr>
                <w:sz w:val="20"/>
                <w:szCs w:val="20"/>
                <w:color w:val="auto"/>
              </w:rPr>
            </w:pPr>
            <w:r>
              <w:rPr>
                <w:rFonts w:ascii="Arial" w:cs="Arial" w:eastAsia="Arial" w:hAnsi="Arial"/>
                <w:sz w:val="18"/>
                <w:szCs w:val="18"/>
                <w:color w:val="auto"/>
              </w:rPr>
              <w:t>10,846</w:t>
            </w:r>
          </w:p>
        </w:tc>
        <w:tc>
          <w:tcPr>
            <w:tcW w:w="240" w:type="dxa"/>
            <w:vAlign w:val="bottom"/>
            <w:shd w:val="clear" w:color="auto" w:fill="E2E6F4"/>
          </w:tcPr>
          <w:p>
            <w:pPr>
              <w:jc w:val="right"/>
              <w:spacing w:after="0"/>
              <w:rPr>
                <w:sz w:val="20"/>
                <w:szCs w:val="20"/>
                <w:color w:val="auto"/>
              </w:rPr>
            </w:pPr>
            <w:r>
              <w:rPr>
                <w:rFonts w:ascii="Arial" w:cs="Arial" w:eastAsia="Arial" w:hAnsi="Arial"/>
                <w:sz w:val="18"/>
                <w:szCs w:val="18"/>
                <w:color w:val="auto"/>
              </w:rPr>
              <w:t>$</w:t>
            </w:r>
          </w:p>
        </w:tc>
        <w:tc>
          <w:tcPr>
            <w:tcW w:w="1000" w:type="dxa"/>
            <w:vAlign w:val="bottom"/>
            <w:shd w:val="clear" w:color="auto" w:fill="E2E6F4"/>
          </w:tcPr>
          <w:p>
            <w:pPr>
              <w:jc w:val="right"/>
              <w:spacing w:after="0"/>
              <w:rPr>
                <w:sz w:val="20"/>
                <w:szCs w:val="20"/>
                <w:color w:val="auto"/>
              </w:rPr>
            </w:pPr>
            <w:r>
              <w:rPr>
                <w:rFonts w:ascii="Arial" w:cs="Arial" w:eastAsia="Arial" w:hAnsi="Arial"/>
                <w:sz w:val="18"/>
                <w:szCs w:val="18"/>
                <w:color w:val="auto"/>
              </w:rPr>
              <w:t>4,800,000</w:t>
            </w:r>
          </w:p>
        </w:tc>
      </w:tr>
      <w:tr>
        <w:trPr>
          <w:trHeight w:val="263"/>
        </w:trPr>
        <w:tc>
          <w:tcPr>
            <w:tcW w:w="4600" w:type="dxa"/>
            <w:vAlign w:val="bottom"/>
          </w:tcPr>
          <w:p>
            <w:pPr>
              <w:ind w:left="20"/>
              <w:spacing w:after="0"/>
              <w:rPr>
                <w:sz w:val="20"/>
                <w:szCs w:val="20"/>
                <w:color w:val="auto"/>
              </w:rPr>
            </w:pPr>
            <w:r>
              <w:rPr>
                <w:rFonts w:ascii="Arial" w:cs="Arial" w:eastAsia="Arial" w:hAnsi="Arial"/>
                <w:sz w:val="18"/>
                <w:szCs w:val="18"/>
                <w:b w:val="1"/>
                <w:bCs w:val="1"/>
                <w:color w:val="0067B3"/>
              </w:rPr>
              <w:t>Vivek Jain</w:t>
            </w:r>
          </w:p>
        </w:tc>
        <w:tc>
          <w:tcPr>
            <w:tcW w:w="3480" w:type="dxa"/>
            <w:vAlign w:val="bottom"/>
          </w:tcPr>
          <w:p>
            <w:pPr>
              <w:jc w:val="right"/>
              <w:ind w:right="133"/>
              <w:spacing w:after="0"/>
              <w:rPr>
                <w:sz w:val="20"/>
                <w:szCs w:val="20"/>
                <w:color w:val="auto"/>
              </w:rPr>
            </w:pPr>
            <w:r>
              <w:rPr>
                <w:rFonts w:ascii="Arial" w:cs="Arial" w:eastAsia="Arial" w:hAnsi="Arial"/>
                <w:sz w:val="18"/>
                <w:szCs w:val="18"/>
                <w:color w:val="auto"/>
              </w:rPr>
              <w:t>12,615</w:t>
            </w:r>
          </w:p>
        </w:tc>
        <w:tc>
          <w:tcPr>
            <w:tcW w:w="940" w:type="dxa"/>
            <w:vAlign w:val="bottom"/>
          </w:tcPr>
          <w:p>
            <w:pPr>
              <w:jc w:val="right"/>
              <w:ind w:right="113"/>
              <w:spacing w:after="0"/>
              <w:rPr>
                <w:sz w:val="20"/>
                <w:szCs w:val="20"/>
                <w:color w:val="auto"/>
              </w:rPr>
            </w:pPr>
            <w:r>
              <w:rPr>
                <w:rFonts w:ascii="Arial" w:cs="Arial" w:eastAsia="Arial" w:hAnsi="Arial"/>
                <w:sz w:val="18"/>
                <w:szCs w:val="18"/>
                <w:color w:val="auto"/>
              </w:rPr>
              <w:t>9,390</w:t>
            </w:r>
          </w:p>
        </w:tc>
        <w:tc>
          <w:tcPr>
            <w:tcW w:w="980" w:type="dxa"/>
            <w:vAlign w:val="bottom"/>
          </w:tcPr>
          <w:p>
            <w:pPr>
              <w:jc w:val="right"/>
              <w:ind w:right="93"/>
              <w:spacing w:after="0"/>
              <w:rPr>
                <w:sz w:val="20"/>
                <w:szCs w:val="20"/>
                <w:color w:val="auto"/>
              </w:rPr>
            </w:pPr>
            <w:r>
              <w:rPr>
                <w:rFonts w:ascii="Arial" w:cs="Arial" w:eastAsia="Arial" w:hAnsi="Arial"/>
                <w:sz w:val="18"/>
                <w:szCs w:val="18"/>
                <w:color w:val="auto"/>
              </w:rPr>
              <w:t>12,767</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5,650,000</w:t>
            </w:r>
          </w:p>
        </w:tc>
      </w:tr>
      <w:tr>
        <w:trPr>
          <w:trHeight w:val="271"/>
        </w:trPr>
        <w:tc>
          <w:tcPr>
            <w:tcW w:w="4600" w:type="dxa"/>
            <w:vAlign w:val="bottom"/>
            <w:tcBorders>
              <w:bottom w:val="single" w:sz="8" w:color="0067B3"/>
            </w:tcBorders>
            <w:shd w:val="clear" w:color="auto" w:fill="E2E6F4"/>
          </w:tcPr>
          <w:p>
            <w:pPr>
              <w:ind w:left="20"/>
              <w:spacing w:after="0"/>
              <w:rPr>
                <w:sz w:val="20"/>
                <w:szCs w:val="20"/>
                <w:color w:val="auto"/>
              </w:rPr>
            </w:pPr>
            <w:r>
              <w:rPr>
                <w:rFonts w:ascii="Arial" w:cs="Arial" w:eastAsia="Arial" w:hAnsi="Arial"/>
                <w:sz w:val="18"/>
                <w:szCs w:val="18"/>
                <w:b w:val="1"/>
                <w:bCs w:val="1"/>
                <w:color w:val="0067B3"/>
              </w:rPr>
              <w:t>Katsu Nakamura</w:t>
            </w:r>
          </w:p>
        </w:tc>
        <w:tc>
          <w:tcPr>
            <w:tcW w:w="3480" w:type="dxa"/>
            <w:vAlign w:val="bottom"/>
            <w:tcBorders>
              <w:bottom w:val="single" w:sz="8" w:color="0067B3"/>
            </w:tcBorders>
            <w:shd w:val="clear" w:color="auto" w:fill="E2E6F4"/>
          </w:tcPr>
          <w:p>
            <w:pPr>
              <w:jc w:val="right"/>
              <w:ind w:right="133"/>
              <w:spacing w:after="0"/>
              <w:rPr>
                <w:sz w:val="20"/>
                <w:szCs w:val="20"/>
                <w:color w:val="auto"/>
              </w:rPr>
            </w:pPr>
            <w:r>
              <w:rPr>
                <w:rFonts w:ascii="Arial" w:cs="Arial" w:eastAsia="Arial" w:hAnsi="Arial"/>
                <w:sz w:val="18"/>
                <w:szCs w:val="18"/>
                <w:color w:val="auto"/>
              </w:rPr>
              <w:t>6,698</w:t>
            </w:r>
          </w:p>
        </w:tc>
        <w:tc>
          <w:tcPr>
            <w:tcW w:w="940" w:type="dxa"/>
            <w:vAlign w:val="bottom"/>
            <w:tcBorders>
              <w:bottom w:val="single" w:sz="8" w:color="0067B3"/>
            </w:tcBorders>
            <w:shd w:val="clear" w:color="auto" w:fill="E2E6F4"/>
          </w:tcPr>
          <w:p>
            <w:pPr>
              <w:jc w:val="right"/>
              <w:ind w:right="113"/>
              <w:spacing w:after="0"/>
              <w:rPr>
                <w:sz w:val="20"/>
                <w:szCs w:val="20"/>
                <w:color w:val="auto"/>
              </w:rPr>
            </w:pPr>
            <w:r>
              <w:rPr>
                <w:rFonts w:ascii="Arial" w:cs="Arial" w:eastAsia="Arial" w:hAnsi="Arial"/>
                <w:sz w:val="18"/>
                <w:szCs w:val="18"/>
                <w:color w:val="auto"/>
              </w:rPr>
              <w:t>4,986</w:t>
            </w:r>
          </w:p>
        </w:tc>
        <w:tc>
          <w:tcPr>
            <w:tcW w:w="980" w:type="dxa"/>
            <w:vAlign w:val="bottom"/>
            <w:tcBorders>
              <w:bottom w:val="single" w:sz="8" w:color="0067B3"/>
            </w:tcBorders>
            <w:shd w:val="clear" w:color="auto" w:fill="E2E6F4"/>
          </w:tcPr>
          <w:p>
            <w:pPr>
              <w:jc w:val="right"/>
              <w:ind w:right="93"/>
              <w:spacing w:after="0"/>
              <w:rPr>
                <w:sz w:val="20"/>
                <w:szCs w:val="20"/>
                <w:color w:val="auto"/>
              </w:rPr>
            </w:pPr>
            <w:r>
              <w:rPr>
                <w:rFonts w:ascii="Arial" w:cs="Arial" w:eastAsia="Arial" w:hAnsi="Arial"/>
                <w:sz w:val="18"/>
                <w:szCs w:val="18"/>
                <w:color w:val="auto"/>
              </w:rPr>
              <w:t>6,779</w:t>
            </w:r>
          </w:p>
        </w:tc>
        <w:tc>
          <w:tcPr>
            <w:tcW w:w="240" w:type="dxa"/>
            <w:vAlign w:val="bottom"/>
            <w:tcBorders>
              <w:bottom w:val="single" w:sz="8" w:color="0067B3"/>
            </w:tcBorders>
            <w:shd w:val="clear" w:color="auto" w:fill="E2E6F4"/>
          </w:tcPr>
          <w:p>
            <w:pPr>
              <w:jc w:val="right"/>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0067B3"/>
            </w:tcBorders>
            <w:shd w:val="clear" w:color="auto" w:fill="E2E6F4"/>
          </w:tcPr>
          <w:p>
            <w:pPr>
              <w:jc w:val="right"/>
              <w:spacing w:after="0"/>
              <w:rPr>
                <w:sz w:val="20"/>
                <w:szCs w:val="20"/>
                <w:color w:val="auto"/>
              </w:rPr>
            </w:pPr>
            <w:r>
              <w:rPr>
                <w:rFonts w:ascii="Arial" w:cs="Arial" w:eastAsia="Arial" w:hAnsi="Arial"/>
                <w:sz w:val="18"/>
                <w:szCs w:val="18"/>
                <w:color w:val="auto"/>
              </w:rPr>
              <w:t>3,000,000</w:t>
            </w:r>
          </w:p>
        </w:tc>
      </w:tr>
    </w:tbl>
    <w:p>
      <w:pPr>
        <w:spacing w:after="0" w:line="268" w:lineRule="exact"/>
        <w:rPr>
          <w:sz w:val="20"/>
          <w:szCs w:val="20"/>
          <w:color w:val="auto"/>
        </w:rPr>
      </w:pPr>
    </w:p>
    <w:p>
      <w:pPr>
        <w:spacing w:after="0"/>
        <w:rPr>
          <w:sz w:val="20"/>
          <w:szCs w:val="20"/>
          <w:color w:val="auto"/>
        </w:rPr>
      </w:pPr>
      <w:r>
        <w:rPr>
          <w:rFonts w:ascii="Arial" w:cs="Arial" w:eastAsia="Arial" w:hAnsi="Arial"/>
          <w:sz w:val="27"/>
          <w:szCs w:val="27"/>
          <w:b w:val="1"/>
          <w:bCs w:val="1"/>
          <w:color w:val="0067B3"/>
        </w:rPr>
        <w:t>Determining Fiscal Year 2025 Target Compensation</w:t>
      </w:r>
    </w:p>
    <w:p>
      <w:pPr>
        <w:spacing w:after="0" w:line="159" w:lineRule="exact"/>
        <w:rPr>
          <w:sz w:val="20"/>
          <w:szCs w:val="20"/>
          <w:color w:val="auto"/>
        </w:rPr>
      </w:pPr>
    </w:p>
    <w:p>
      <w:pPr>
        <w:ind w:right="340"/>
        <w:spacing w:after="0" w:line="261" w:lineRule="auto"/>
        <w:rPr>
          <w:sz w:val="20"/>
          <w:szCs w:val="20"/>
          <w:color w:val="auto"/>
        </w:rPr>
      </w:pPr>
      <w:r>
        <w:rPr>
          <w:rFonts w:ascii="Arial" w:cs="Arial" w:eastAsia="Arial" w:hAnsi="Arial"/>
          <w:sz w:val="18"/>
          <w:szCs w:val="18"/>
          <w:color w:val="auto"/>
        </w:rPr>
        <w:t>Our executive compensation programs are designed to attract and retain top executive talent, align the interests of our executive officers, including our NEOs, and shareholders, and drive long-term shareholder value. The level of compensation for our executive officers is determined through the following steps: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47625</wp:posOffset>
            </wp:positionH>
            <wp:positionV relativeFrom="paragraph">
              <wp:posOffset>191770</wp:posOffset>
            </wp:positionV>
            <wp:extent cx="7089140" cy="8572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7089140" cy="85725"/>
                    </a:xfrm>
                    <a:prstGeom prst="rect">
                      <a:avLst/>
                    </a:prstGeom>
                    <a:noFill/>
                  </pic:spPr>
                </pic:pic>
              </a:graphicData>
            </a:graphic>
          </wp:anchor>
        </w:drawing>
      </w:r>
    </w:p>
    <w:p>
      <w:pPr>
        <w:spacing w:after="0" w:line="200" w:lineRule="exact"/>
        <w:rPr>
          <w:sz w:val="20"/>
          <w:szCs w:val="20"/>
          <w:color w:val="auto"/>
        </w:rPr>
      </w:pPr>
    </w:p>
    <w:p>
      <w:pPr>
        <w:spacing w:after="0" w:line="376" w:lineRule="exact"/>
        <w:rPr>
          <w:sz w:val="20"/>
          <w:szCs w:val="20"/>
          <w:color w:val="auto"/>
        </w:rPr>
      </w:pPr>
    </w:p>
    <w:tbl>
      <w:tblPr>
        <w:tblLayout w:type="fixed"/>
        <w:tblInd w:w="20" w:type="dxa"/>
        <w:tblCellMar>
          <w:top w:w="0" w:type="dxa"/>
          <w:left w:w="0" w:type="dxa"/>
          <w:bottom w:w="0" w:type="dxa"/>
          <w:right w:w="0" w:type="dxa"/>
        </w:tblCellMar>
      </w:tblPr>
      <w:tr>
        <w:trPr>
          <w:trHeight w:val="362"/>
        </w:trPr>
        <w:tc>
          <w:tcPr>
            <w:tcW w:w="580" w:type="dxa"/>
            <w:vAlign w:val="bottom"/>
            <w:vMerge w:val="restart"/>
          </w:tcPr>
          <w:p>
            <w:pPr>
              <w:jc w:val="right"/>
              <w:ind w:right="124"/>
              <w:spacing w:after="0"/>
              <w:rPr>
                <w:sz w:val="20"/>
                <w:szCs w:val="20"/>
                <w:color w:val="auto"/>
              </w:rPr>
            </w:pPr>
            <w:r>
              <w:rPr>
                <w:rFonts w:ascii="Arial" w:cs="Arial" w:eastAsia="Arial" w:hAnsi="Arial"/>
                <w:sz w:val="43"/>
                <w:szCs w:val="43"/>
                <w:b w:val="1"/>
                <w:bCs w:val="1"/>
                <w:color w:val="0067B3"/>
                <w:w w:val="91"/>
              </w:rPr>
              <w:t>1</w:t>
            </w:r>
          </w:p>
        </w:tc>
        <w:tc>
          <w:tcPr>
            <w:tcW w:w="3720" w:type="dxa"/>
            <w:vAlign w:val="bottom"/>
            <w:vMerge w:val="restart"/>
          </w:tcPr>
          <w:p>
            <w:pPr>
              <w:ind w:left="320"/>
              <w:spacing w:after="0"/>
              <w:rPr>
                <w:sz w:val="20"/>
                <w:szCs w:val="20"/>
                <w:color w:val="auto"/>
              </w:rPr>
            </w:pPr>
            <w:r>
              <w:rPr>
                <w:rFonts w:ascii="Arial" w:cs="Arial" w:eastAsia="Arial" w:hAnsi="Arial"/>
                <w:sz w:val="18"/>
                <w:szCs w:val="18"/>
                <w:b w:val="1"/>
                <w:bCs w:val="1"/>
                <w:color w:val="0067B3"/>
              </w:rPr>
              <w:t xml:space="preserve">First, we ensure our executive   </w:t>
            </w:r>
            <w:r>
              <w:rPr>
                <w:rFonts w:ascii="Arial" w:cs="Arial" w:eastAsia="Arial" w:hAnsi="Arial"/>
                <w:sz w:val="43"/>
                <w:szCs w:val="43"/>
                <w:b w:val="1"/>
                <w:bCs w:val="1"/>
                <w:color w:val="0067B3"/>
              </w:rPr>
              <w:t>2</w:t>
            </w:r>
          </w:p>
        </w:tc>
        <w:tc>
          <w:tcPr>
            <w:tcW w:w="3100" w:type="dxa"/>
            <w:vAlign w:val="bottom"/>
            <w:vMerge w:val="restart"/>
          </w:tcPr>
          <w:p>
            <w:pPr>
              <w:ind w:left="340"/>
              <w:spacing w:after="0"/>
              <w:rPr>
                <w:sz w:val="20"/>
                <w:szCs w:val="20"/>
                <w:color w:val="auto"/>
              </w:rPr>
            </w:pPr>
            <w:r>
              <w:rPr>
                <w:rFonts w:ascii="Arial" w:cs="Arial" w:eastAsia="Arial" w:hAnsi="Arial"/>
                <w:sz w:val="18"/>
                <w:szCs w:val="18"/>
                <w:b w:val="1"/>
                <w:bCs w:val="1"/>
                <w:color w:val="0067B3"/>
              </w:rPr>
              <w:t>We then consider a variety of</w:t>
            </w:r>
          </w:p>
        </w:tc>
        <w:tc>
          <w:tcPr>
            <w:tcW w:w="660" w:type="dxa"/>
            <w:vAlign w:val="bottom"/>
            <w:vMerge w:val="restart"/>
          </w:tcPr>
          <w:p>
            <w:pPr>
              <w:jc w:val="right"/>
              <w:ind w:right="124"/>
              <w:spacing w:after="0"/>
              <w:rPr>
                <w:sz w:val="20"/>
                <w:szCs w:val="20"/>
                <w:color w:val="auto"/>
              </w:rPr>
            </w:pPr>
            <w:r>
              <w:rPr>
                <w:rFonts w:ascii="Arial" w:cs="Arial" w:eastAsia="Arial" w:hAnsi="Arial"/>
                <w:sz w:val="43"/>
                <w:szCs w:val="43"/>
                <w:b w:val="1"/>
                <w:bCs w:val="1"/>
                <w:color w:val="0067B3"/>
              </w:rPr>
              <w:t>3</w:t>
            </w:r>
          </w:p>
        </w:tc>
        <w:tc>
          <w:tcPr>
            <w:tcW w:w="3000" w:type="dxa"/>
            <w:vAlign w:val="bottom"/>
          </w:tcPr>
          <w:p>
            <w:pPr>
              <w:ind w:left="320"/>
              <w:spacing w:after="0"/>
              <w:rPr>
                <w:sz w:val="20"/>
                <w:szCs w:val="20"/>
                <w:color w:val="auto"/>
              </w:rPr>
            </w:pPr>
            <w:r>
              <w:rPr>
                <w:rFonts w:ascii="Arial" w:cs="Arial" w:eastAsia="Arial" w:hAnsi="Arial"/>
                <w:sz w:val="18"/>
                <w:szCs w:val="18"/>
                <w:b w:val="1"/>
                <w:bCs w:val="1"/>
                <w:color w:val="0067B3"/>
              </w:rPr>
              <w:t>We structure our</w:t>
            </w:r>
          </w:p>
        </w:tc>
        <w:tc>
          <w:tcPr>
            <w:tcW w:w="0" w:type="dxa"/>
            <w:vAlign w:val="bottom"/>
          </w:tcPr>
          <w:p>
            <w:pPr>
              <w:spacing w:after="0"/>
              <w:rPr>
                <w:sz w:val="1"/>
                <w:szCs w:val="1"/>
                <w:color w:val="auto"/>
              </w:rPr>
            </w:pPr>
          </w:p>
        </w:tc>
      </w:tr>
      <w:tr>
        <w:trPr>
          <w:trHeight w:val="181"/>
        </w:trPr>
        <w:tc>
          <w:tcPr>
            <w:tcW w:w="580" w:type="dxa"/>
            <w:vAlign w:val="bottom"/>
            <w:vMerge w:val="continue"/>
          </w:tcPr>
          <w:p>
            <w:pPr>
              <w:spacing w:after="0"/>
              <w:rPr>
                <w:sz w:val="15"/>
                <w:szCs w:val="15"/>
                <w:color w:val="auto"/>
              </w:rPr>
            </w:pPr>
          </w:p>
        </w:tc>
        <w:tc>
          <w:tcPr>
            <w:tcW w:w="3720" w:type="dxa"/>
            <w:vAlign w:val="bottom"/>
            <w:vMerge w:val="continue"/>
          </w:tcPr>
          <w:p>
            <w:pPr>
              <w:spacing w:after="0"/>
              <w:rPr>
                <w:sz w:val="15"/>
                <w:szCs w:val="15"/>
                <w:color w:val="auto"/>
              </w:rPr>
            </w:pPr>
          </w:p>
        </w:tc>
        <w:tc>
          <w:tcPr>
            <w:tcW w:w="3100" w:type="dxa"/>
            <w:vAlign w:val="bottom"/>
            <w:vMerge w:val="continue"/>
          </w:tcPr>
          <w:p>
            <w:pPr>
              <w:spacing w:after="0"/>
              <w:rPr>
                <w:sz w:val="15"/>
                <w:szCs w:val="15"/>
                <w:color w:val="auto"/>
              </w:rPr>
            </w:pPr>
          </w:p>
        </w:tc>
        <w:tc>
          <w:tcPr>
            <w:tcW w:w="660" w:type="dxa"/>
            <w:vAlign w:val="bottom"/>
            <w:vMerge w:val="continue"/>
          </w:tcPr>
          <w:p>
            <w:pPr>
              <w:spacing w:after="0"/>
              <w:rPr>
                <w:sz w:val="15"/>
                <w:szCs w:val="15"/>
                <w:color w:val="auto"/>
              </w:rPr>
            </w:pPr>
          </w:p>
        </w:tc>
        <w:tc>
          <w:tcPr>
            <w:tcW w:w="3000" w:type="dxa"/>
            <w:vAlign w:val="bottom"/>
          </w:tcPr>
          <w:p>
            <w:pPr>
              <w:ind w:left="320"/>
              <w:spacing w:after="0" w:line="181" w:lineRule="exact"/>
              <w:rPr>
                <w:sz w:val="20"/>
                <w:szCs w:val="20"/>
                <w:color w:val="auto"/>
              </w:rPr>
            </w:pPr>
            <w:r>
              <w:rPr>
                <w:rFonts w:ascii="Arial" w:cs="Arial" w:eastAsia="Arial" w:hAnsi="Arial"/>
                <w:sz w:val="18"/>
                <w:szCs w:val="18"/>
                <w:b w:val="1"/>
                <w:bCs w:val="1"/>
                <w:color w:val="0067B3"/>
                <w:w w:val="99"/>
              </w:rPr>
              <w:t>compensation package to align</w:t>
            </w:r>
          </w:p>
        </w:tc>
        <w:tc>
          <w:tcPr>
            <w:tcW w:w="0" w:type="dxa"/>
            <w:vAlign w:val="bottom"/>
          </w:tcPr>
          <w:p>
            <w:pPr>
              <w:spacing w:after="0"/>
              <w:rPr>
                <w:sz w:val="1"/>
                <w:szCs w:val="1"/>
                <w:color w:val="auto"/>
              </w:rPr>
            </w:pPr>
          </w:p>
        </w:tc>
      </w:tr>
      <w:tr>
        <w:trPr>
          <w:trHeight w:val="130"/>
        </w:trPr>
        <w:tc>
          <w:tcPr>
            <w:tcW w:w="580" w:type="dxa"/>
            <w:vAlign w:val="bottom"/>
          </w:tcPr>
          <w:p>
            <w:pPr>
              <w:spacing w:after="0"/>
              <w:rPr>
                <w:sz w:val="11"/>
                <w:szCs w:val="11"/>
                <w:color w:val="auto"/>
              </w:rPr>
            </w:pPr>
          </w:p>
        </w:tc>
        <w:tc>
          <w:tcPr>
            <w:tcW w:w="3720" w:type="dxa"/>
            <w:vAlign w:val="bottom"/>
          </w:tcPr>
          <w:p>
            <w:pPr>
              <w:ind w:left="320"/>
              <w:spacing w:after="0" w:line="130" w:lineRule="exact"/>
              <w:rPr>
                <w:sz w:val="20"/>
                <w:szCs w:val="20"/>
                <w:color w:val="auto"/>
              </w:rPr>
            </w:pPr>
            <w:r>
              <w:rPr>
                <w:rFonts w:ascii="Arial" w:cs="Arial" w:eastAsia="Arial" w:hAnsi="Arial"/>
                <w:sz w:val="15"/>
                <w:szCs w:val="15"/>
                <w:b w:val="1"/>
                <w:bCs w:val="1"/>
                <w:color w:val="0067B3"/>
              </w:rPr>
              <w:t>compensation is competitive</w:t>
            </w:r>
          </w:p>
        </w:tc>
        <w:tc>
          <w:tcPr>
            <w:tcW w:w="3100" w:type="dxa"/>
            <w:vAlign w:val="bottom"/>
          </w:tcPr>
          <w:p>
            <w:pPr>
              <w:ind w:left="340"/>
              <w:spacing w:after="0" w:line="130" w:lineRule="exact"/>
              <w:rPr>
                <w:sz w:val="20"/>
                <w:szCs w:val="20"/>
                <w:color w:val="auto"/>
              </w:rPr>
            </w:pPr>
            <w:r>
              <w:rPr>
                <w:rFonts w:ascii="Arial" w:cs="Arial" w:eastAsia="Arial" w:hAnsi="Arial"/>
                <w:sz w:val="15"/>
                <w:szCs w:val="15"/>
                <w:b w:val="1"/>
                <w:bCs w:val="1"/>
                <w:color w:val="0067B3"/>
              </w:rPr>
              <w:t>factors</w:t>
            </w:r>
            <w:r>
              <w:rPr>
                <w:rFonts w:ascii="Arial" w:cs="Arial" w:eastAsia="Arial" w:hAnsi="Arial"/>
                <w:sz w:val="15"/>
                <w:szCs w:val="15"/>
                <w:b w:val="1"/>
                <w:bCs w:val="1"/>
                <w:color w:val="000000"/>
              </w:rPr>
              <w:t>,</w:t>
            </w:r>
            <w:r>
              <w:rPr>
                <w:rFonts w:ascii="Arial" w:cs="Arial" w:eastAsia="Arial" w:hAnsi="Arial"/>
                <w:sz w:val="15"/>
                <w:szCs w:val="15"/>
                <w:b w:val="1"/>
                <w:bCs w:val="1"/>
                <w:color w:val="0067B3"/>
              </w:rPr>
              <w:t xml:space="preserve"> </w:t>
            </w:r>
            <w:r>
              <w:rPr>
                <w:rFonts w:ascii="Arial" w:cs="Arial" w:eastAsia="Arial" w:hAnsi="Arial"/>
                <w:sz w:val="15"/>
                <w:szCs w:val="15"/>
                <w:color w:val="000000"/>
              </w:rPr>
              <w:t>including the scope of</w:t>
            </w:r>
          </w:p>
        </w:tc>
        <w:tc>
          <w:tcPr>
            <w:tcW w:w="660" w:type="dxa"/>
            <w:vAlign w:val="bottom"/>
          </w:tcPr>
          <w:p>
            <w:pPr>
              <w:spacing w:after="0"/>
              <w:rPr>
                <w:sz w:val="11"/>
                <w:szCs w:val="11"/>
                <w:color w:val="auto"/>
              </w:rPr>
            </w:pPr>
          </w:p>
        </w:tc>
        <w:tc>
          <w:tcPr>
            <w:tcW w:w="3000" w:type="dxa"/>
            <w:vAlign w:val="bottom"/>
            <w:vMerge w:val="restart"/>
          </w:tcPr>
          <w:p>
            <w:pPr>
              <w:ind w:left="320"/>
              <w:spacing w:after="0"/>
              <w:rPr>
                <w:sz w:val="20"/>
                <w:szCs w:val="20"/>
                <w:color w:val="auto"/>
              </w:rPr>
            </w:pPr>
            <w:r>
              <w:rPr>
                <w:rFonts w:ascii="Arial" w:cs="Arial" w:eastAsia="Arial" w:hAnsi="Arial"/>
                <w:sz w:val="18"/>
                <w:szCs w:val="18"/>
                <w:b w:val="1"/>
                <w:bCs w:val="1"/>
                <w:color w:val="0067B3"/>
              </w:rPr>
              <w:t>our executive officers’</w:t>
            </w:r>
          </w:p>
        </w:tc>
        <w:tc>
          <w:tcPr>
            <w:tcW w:w="0" w:type="dxa"/>
            <w:vAlign w:val="bottom"/>
          </w:tcPr>
          <w:p>
            <w:pPr>
              <w:spacing w:after="0"/>
              <w:rPr>
                <w:sz w:val="1"/>
                <w:szCs w:val="1"/>
                <w:color w:val="auto"/>
              </w:rPr>
            </w:pPr>
          </w:p>
        </w:tc>
      </w:tr>
      <w:tr>
        <w:trPr>
          <w:trHeight w:val="108"/>
        </w:trPr>
        <w:tc>
          <w:tcPr>
            <w:tcW w:w="580" w:type="dxa"/>
            <w:vAlign w:val="bottom"/>
          </w:tcPr>
          <w:p>
            <w:pPr>
              <w:spacing w:after="0"/>
              <w:rPr>
                <w:sz w:val="9"/>
                <w:szCs w:val="9"/>
                <w:color w:val="auto"/>
              </w:rPr>
            </w:pPr>
          </w:p>
        </w:tc>
        <w:tc>
          <w:tcPr>
            <w:tcW w:w="3720" w:type="dxa"/>
            <w:vAlign w:val="bottom"/>
            <w:vMerge w:val="restart"/>
          </w:tcPr>
          <w:p>
            <w:pPr>
              <w:ind w:left="320"/>
              <w:spacing w:after="0"/>
              <w:rPr>
                <w:sz w:val="20"/>
                <w:szCs w:val="20"/>
                <w:color w:val="auto"/>
              </w:rPr>
            </w:pPr>
            <w:r>
              <w:rPr>
                <w:rFonts w:ascii="Arial" w:cs="Arial" w:eastAsia="Arial" w:hAnsi="Arial"/>
                <w:sz w:val="18"/>
                <w:szCs w:val="18"/>
                <w:color w:val="auto"/>
              </w:rPr>
              <w:t>and attracts and retains top</w:t>
            </w:r>
          </w:p>
        </w:tc>
        <w:tc>
          <w:tcPr>
            <w:tcW w:w="3100" w:type="dxa"/>
            <w:vAlign w:val="bottom"/>
            <w:vMerge w:val="restart"/>
          </w:tcPr>
          <w:p>
            <w:pPr>
              <w:ind w:left="340"/>
              <w:spacing w:after="0"/>
              <w:rPr>
                <w:sz w:val="20"/>
                <w:szCs w:val="20"/>
                <w:color w:val="auto"/>
              </w:rPr>
            </w:pPr>
            <w:r>
              <w:rPr>
                <w:rFonts w:ascii="Arial" w:cs="Arial" w:eastAsia="Arial" w:hAnsi="Arial"/>
                <w:sz w:val="18"/>
                <w:szCs w:val="18"/>
                <w:color w:val="auto"/>
              </w:rPr>
              <w:t>the role, tenure in the position,</w:t>
            </w:r>
          </w:p>
        </w:tc>
        <w:tc>
          <w:tcPr>
            <w:tcW w:w="660" w:type="dxa"/>
            <w:vAlign w:val="bottom"/>
          </w:tcPr>
          <w:p>
            <w:pPr>
              <w:spacing w:after="0"/>
              <w:rPr>
                <w:sz w:val="9"/>
                <w:szCs w:val="9"/>
                <w:color w:val="auto"/>
              </w:rPr>
            </w:pPr>
          </w:p>
        </w:tc>
        <w:tc>
          <w:tcPr>
            <w:tcW w:w="30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580" w:type="dxa"/>
            <w:vAlign w:val="bottom"/>
          </w:tcPr>
          <w:p>
            <w:pPr>
              <w:spacing w:after="0"/>
              <w:rPr>
                <w:sz w:val="9"/>
                <w:szCs w:val="9"/>
                <w:color w:val="auto"/>
              </w:rPr>
            </w:pPr>
          </w:p>
        </w:tc>
        <w:tc>
          <w:tcPr>
            <w:tcW w:w="3720" w:type="dxa"/>
            <w:vAlign w:val="bottom"/>
            <w:vMerge w:val="continue"/>
          </w:tcPr>
          <w:p>
            <w:pPr>
              <w:spacing w:after="0"/>
              <w:rPr>
                <w:sz w:val="9"/>
                <w:szCs w:val="9"/>
                <w:color w:val="auto"/>
              </w:rPr>
            </w:pPr>
          </w:p>
        </w:tc>
        <w:tc>
          <w:tcPr>
            <w:tcW w:w="3100" w:type="dxa"/>
            <w:vAlign w:val="bottom"/>
            <w:vMerge w:val="continue"/>
          </w:tcPr>
          <w:p>
            <w:pPr>
              <w:spacing w:after="0"/>
              <w:rPr>
                <w:sz w:val="9"/>
                <w:szCs w:val="9"/>
                <w:color w:val="auto"/>
              </w:rPr>
            </w:pPr>
          </w:p>
        </w:tc>
        <w:tc>
          <w:tcPr>
            <w:tcW w:w="660" w:type="dxa"/>
            <w:vAlign w:val="bottom"/>
          </w:tcPr>
          <w:p>
            <w:pPr>
              <w:spacing w:after="0"/>
              <w:rPr>
                <w:sz w:val="9"/>
                <w:szCs w:val="9"/>
                <w:color w:val="auto"/>
              </w:rPr>
            </w:pPr>
          </w:p>
        </w:tc>
        <w:tc>
          <w:tcPr>
            <w:tcW w:w="3000" w:type="dxa"/>
            <w:vAlign w:val="bottom"/>
            <w:vMerge w:val="restart"/>
          </w:tcPr>
          <w:p>
            <w:pPr>
              <w:ind w:left="320"/>
              <w:spacing w:after="0" w:line="202" w:lineRule="exact"/>
              <w:rPr>
                <w:sz w:val="20"/>
                <w:szCs w:val="20"/>
                <w:color w:val="auto"/>
              </w:rPr>
            </w:pPr>
            <w:r>
              <w:rPr>
                <w:rFonts w:ascii="Arial" w:cs="Arial" w:eastAsia="Arial" w:hAnsi="Arial"/>
                <w:sz w:val="18"/>
                <w:szCs w:val="18"/>
                <w:b w:val="1"/>
                <w:bCs w:val="1"/>
                <w:color w:val="0067B3"/>
              </w:rPr>
              <w:t>interests with those of our</w:t>
            </w:r>
          </w:p>
        </w:tc>
        <w:tc>
          <w:tcPr>
            <w:tcW w:w="0" w:type="dxa"/>
            <w:vAlign w:val="bottom"/>
          </w:tcPr>
          <w:p>
            <w:pPr>
              <w:spacing w:after="0"/>
              <w:rPr>
                <w:sz w:val="1"/>
                <w:szCs w:val="1"/>
                <w:color w:val="auto"/>
              </w:rPr>
            </w:pPr>
          </w:p>
        </w:tc>
      </w:tr>
      <w:tr>
        <w:trPr>
          <w:trHeight w:val="95"/>
        </w:trPr>
        <w:tc>
          <w:tcPr>
            <w:tcW w:w="580" w:type="dxa"/>
            <w:vAlign w:val="bottom"/>
          </w:tcPr>
          <w:p>
            <w:pPr>
              <w:spacing w:after="0"/>
              <w:rPr>
                <w:sz w:val="8"/>
                <w:szCs w:val="8"/>
                <w:color w:val="auto"/>
              </w:rPr>
            </w:pPr>
          </w:p>
        </w:tc>
        <w:tc>
          <w:tcPr>
            <w:tcW w:w="3720" w:type="dxa"/>
            <w:vAlign w:val="bottom"/>
            <w:vMerge w:val="restart"/>
          </w:tcPr>
          <w:p>
            <w:pPr>
              <w:ind w:left="320"/>
              <w:spacing w:after="0" w:line="202" w:lineRule="exact"/>
              <w:rPr>
                <w:sz w:val="20"/>
                <w:szCs w:val="20"/>
                <w:color w:val="auto"/>
              </w:rPr>
            </w:pPr>
            <w:r>
              <w:rPr>
                <w:rFonts w:ascii="Arial" w:cs="Arial" w:eastAsia="Arial" w:hAnsi="Arial"/>
                <w:sz w:val="18"/>
                <w:szCs w:val="18"/>
                <w:color w:val="auto"/>
              </w:rPr>
              <w:t>executive talent by</w:t>
            </w:r>
          </w:p>
        </w:tc>
        <w:tc>
          <w:tcPr>
            <w:tcW w:w="3100" w:type="dxa"/>
            <w:vAlign w:val="bottom"/>
            <w:vMerge w:val="restart"/>
          </w:tcPr>
          <w:p>
            <w:pPr>
              <w:ind w:left="340"/>
              <w:spacing w:after="0" w:line="202" w:lineRule="exact"/>
              <w:rPr>
                <w:sz w:val="20"/>
                <w:szCs w:val="20"/>
                <w:color w:val="auto"/>
              </w:rPr>
            </w:pPr>
            <w:r>
              <w:rPr>
                <w:rFonts w:ascii="Arial" w:cs="Arial" w:eastAsia="Arial" w:hAnsi="Arial"/>
                <w:sz w:val="18"/>
                <w:szCs w:val="18"/>
                <w:color w:val="auto"/>
              </w:rPr>
              <w:t>and the performance and</w:t>
            </w:r>
          </w:p>
        </w:tc>
        <w:tc>
          <w:tcPr>
            <w:tcW w:w="660" w:type="dxa"/>
            <w:vAlign w:val="bottom"/>
          </w:tcPr>
          <w:p>
            <w:pPr>
              <w:spacing w:after="0"/>
              <w:rPr>
                <w:sz w:val="8"/>
                <w:szCs w:val="8"/>
                <w:color w:val="auto"/>
              </w:rPr>
            </w:pPr>
          </w:p>
        </w:tc>
        <w:tc>
          <w:tcPr>
            <w:tcW w:w="300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8"/>
        </w:trPr>
        <w:tc>
          <w:tcPr>
            <w:tcW w:w="580" w:type="dxa"/>
            <w:vAlign w:val="bottom"/>
          </w:tcPr>
          <w:p>
            <w:pPr>
              <w:spacing w:after="0"/>
              <w:rPr>
                <w:sz w:val="9"/>
                <w:szCs w:val="9"/>
                <w:color w:val="auto"/>
              </w:rPr>
            </w:pPr>
          </w:p>
        </w:tc>
        <w:tc>
          <w:tcPr>
            <w:tcW w:w="3720" w:type="dxa"/>
            <w:vAlign w:val="bottom"/>
            <w:vMerge w:val="continue"/>
          </w:tcPr>
          <w:p>
            <w:pPr>
              <w:spacing w:after="0"/>
              <w:rPr>
                <w:sz w:val="9"/>
                <w:szCs w:val="9"/>
                <w:color w:val="auto"/>
              </w:rPr>
            </w:pPr>
          </w:p>
        </w:tc>
        <w:tc>
          <w:tcPr>
            <w:tcW w:w="3100" w:type="dxa"/>
            <w:vAlign w:val="bottom"/>
            <w:vMerge w:val="continue"/>
          </w:tcPr>
          <w:p>
            <w:pPr>
              <w:spacing w:after="0"/>
              <w:rPr>
                <w:sz w:val="9"/>
                <w:szCs w:val="9"/>
                <w:color w:val="auto"/>
              </w:rPr>
            </w:pPr>
          </w:p>
        </w:tc>
        <w:tc>
          <w:tcPr>
            <w:tcW w:w="660" w:type="dxa"/>
            <w:vAlign w:val="bottom"/>
          </w:tcPr>
          <w:p>
            <w:pPr>
              <w:spacing w:after="0"/>
              <w:rPr>
                <w:sz w:val="9"/>
                <w:szCs w:val="9"/>
                <w:color w:val="auto"/>
              </w:rPr>
            </w:pPr>
          </w:p>
        </w:tc>
        <w:tc>
          <w:tcPr>
            <w:tcW w:w="3000" w:type="dxa"/>
            <w:vAlign w:val="bottom"/>
            <w:vMerge w:val="restart"/>
          </w:tcPr>
          <w:p>
            <w:pPr>
              <w:ind w:left="320"/>
              <w:spacing w:after="0" w:line="202" w:lineRule="exact"/>
              <w:rPr>
                <w:sz w:val="20"/>
                <w:szCs w:val="20"/>
                <w:color w:val="auto"/>
              </w:rPr>
            </w:pPr>
            <w:r>
              <w:rPr>
                <w:rFonts w:ascii="Arial" w:cs="Arial" w:eastAsia="Arial" w:hAnsi="Arial"/>
                <w:sz w:val="18"/>
                <w:szCs w:val="18"/>
                <w:b w:val="1"/>
                <w:bCs w:val="1"/>
                <w:color w:val="0067B3"/>
              </w:rPr>
              <w:t xml:space="preserve">shareholders </w:t>
            </w:r>
            <w:r>
              <w:rPr>
                <w:rFonts w:ascii="Arial" w:cs="Arial" w:eastAsia="Arial" w:hAnsi="Arial"/>
                <w:sz w:val="18"/>
                <w:szCs w:val="18"/>
                <w:color w:val="000000"/>
              </w:rPr>
              <w:t>by tying a</w:t>
            </w:r>
          </w:p>
        </w:tc>
        <w:tc>
          <w:tcPr>
            <w:tcW w:w="0" w:type="dxa"/>
            <w:vAlign w:val="bottom"/>
          </w:tcPr>
          <w:p>
            <w:pPr>
              <w:spacing w:after="0"/>
              <w:rPr>
                <w:sz w:val="1"/>
                <w:szCs w:val="1"/>
                <w:color w:val="auto"/>
              </w:rPr>
            </w:pPr>
          </w:p>
        </w:tc>
      </w:tr>
      <w:tr>
        <w:trPr>
          <w:trHeight w:val="95"/>
        </w:trPr>
        <w:tc>
          <w:tcPr>
            <w:tcW w:w="580" w:type="dxa"/>
            <w:vAlign w:val="bottom"/>
          </w:tcPr>
          <w:p>
            <w:pPr>
              <w:spacing w:after="0"/>
              <w:rPr>
                <w:sz w:val="8"/>
                <w:szCs w:val="8"/>
                <w:color w:val="auto"/>
              </w:rPr>
            </w:pPr>
          </w:p>
        </w:tc>
        <w:tc>
          <w:tcPr>
            <w:tcW w:w="3720" w:type="dxa"/>
            <w:vAlign w:val="bottom"/>
            <w:vMerge w:val="restart"/>
          </w:tcPr>
          <w:p>
            <w:pPr>
              <w:ind w:left="320"/>
              <w:spacing w:after="0" w:line="202" w:lineRule="exact"/>
              <w:rPr>
                <w:sz w:val="20"/>
                <w:szCs w:val="20"/>
                <w:color w:val="auto"/>
              </w:rPr>
            </w:pPr>
            <w:r>
              <w:rPr>
                <w:rFonts w:ascii="Arial" w:cs="Arial" w:eastAsia="Arial" w:hAnsi="Arial"/>
                <w:sz w:val="18"/>
                <w:szCs w:val="18"/>
                <w:color w:val="auto"/>
              </w:rPr>
              <w:t>understanding how the total</w:t>
            </w:r>
          </w:p>
        </w:tc>
        <w:tc>
          <w:tcPr>
            <w:tcW w:w="3100" w:type="dxa"/>
            <w:vAlign w:val="bottom"/>
            <w:vMerge w:val="restart"/>
          </w:tcPr>
          <w:p>
            <w:pPr>
              <w:ind w:left="340"/>
              <w:spacing w:after="0" w:line="202" w:lineRule="exact"/>
              <w:rPr>
                <w:sz w:val="20"/>
                <w:szCs w:val="20"/>
                <w:color w:val="auto"/>
              </w:rPr>
            </w:pPr>
            <w:r>
              <w:rPr>
                <w:rFonts w:ascii="Arial" w:cs="Arial" w:eastAsia="Arial" w:hAnsi="Arial"/>
                <w:sz w:val="18"/>
                <w:szCs w:val="18"/>
                <w:color w:val="auto"/>
              </w:rPr>
              <w:t>experience of the individual when</w:t>
            </w:r>
          </w:p>
        </w:tc>
        <w:tc>
          <w:tcPr>
            <w:tcW w:w="660" w:type="dxa"/>
            <w:vAlign w:val="bottom"/>
          </w:tcPr>
          <w:p>
            <w:pPr>
              <w:spacing w:after="0"/>
              <w:rPr>
                <w:sz w:val="8"/>
                <w:szCs w:val="8"/>
                <w:color w:val="auto"/>
              </w:rPr>
            </w:pPr>
          </w:p>
        </w:tc>
        <w:tc>
          <w:tcPr>
            <w:tcW w:w="300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8"/>
        </w:trPr>
        <w:tc>
          <w:tcPr>
            <w:tcW w:w="580" w:type="dxa"/>
            <w:vAlign w:val="bottom"/>
          </w:tcPr>
          <w:p>
            <w:pPr>
              <w:spacing w:after="0"/>
              <w:rPr>
                <w:sz w:val="9"/>
                <w:szCs w:val="9"/>
                <w:color w:val="auto"/>
              </w:rPr>
            </w:pPr>
          </w:p>
        </w:tc>
        <w:tc>
          <w:tcPr>
            <w:tcW w:w="3720" w:type="dxa"/>
            <w:vAlign w:val="bottom"/>
            <w:vMerge w:val="continue"/>
          </w:tcPr>
          <w:p>
            <w:pPr>
              <w:spacing w:after="0"/>
              <w:rPr>
                <w:sz w:val="9"/>
                <w:szCs w:val="9"/>
                <w:color w:val="auto"/>
              </w:rPr>
            </w:pPr>
          </w:p>
        </w:tc>
        <w:tc>
          <w:tcPr>
            <w:tcW w:w="3100" w:type="dxa"/>
            <w:vAlign w:val="bottom"/>
            <w:vMerge w:val="continue"/>
          </w:tcPr>
          <w:p>
            <w:pPr>
              <w:spacing w:after="0"/>
              <w:rPr>
                <w:sz w:val="9"/>
                <w:szCs w:val="9"/>
                <w:color w:val="auto"/>
              </w:rPr>
            </w:pPr>
          </w:p>
        </w:tc>
        <w:tc>
          <w:tcPr>
            <w:tcW w:w="660" w:type="dxa"/>
            <w:vAlign w:val="bottom"/>
          </w:tcPr>
          <w:p>
            <w:pPr>
              <w:spacing w:after="0"/>
              <w:rPr>
                <w:sz w:val="9"/>
                <w:szCs w:val="9"/>
                <w:color w:val="auto"/>
              </w:rPr>
            </w:pPr>
          </w:p>
        </w:tc>
        <w:tc>
          <w:tcPr>
            <w:tcW w:w="3000" w:type="dxa"/>
            <w:vAlign w:val="bottom"/>
            <w:vMerge w:val="restart"/>
          </w:tcPr>
          <w:p>
            <w:pPr>
              <w:ind w:left="320"/>
              <w:spacing w:after="0"/>
              <w:rPr>
                <w:sz w:val="20"/>
                <w:szCs w:val="20"/>
                <w:color w:val="auto"/>
              </w:rPr>
            </w:pPr>
            <w:r>
              <w:rPr>
                <w:rFonts w:ascii="Arial" w:cs="Arial" w:eastAsia="Arial" w:hAnsi="Arial"/>
                <w:sz w:val="18"/>
                <w:szCs w:val="18"/>
                <w:color w:val="auto"/>
              </w:rPr>
              <w:t>significant portion of their total</w:t>
            </w:r>
          </w:p>
        </w:tc>
        <w:tc>
          <w:tcPr>
            <w:tcW w:w="0" w:type="dxa"/>
            <w:vAlign w:val="bottom"/>
          </w:tcPr>
          <w:p>
            <w:pPr>
              <w:spacing w:after="0"/>
              <w:rPr>
                <w:sz w:val="1"/>
                <w:szCs w:val="1"/>
                <w:color w:val="auto"/>
              </w:rPr>
            </w:pPr>
          </w:p>
        </w:tc>
      </w:tr>
      <w:tr>
        <w:trPr>
          <w:trHeight w:val="108"/>
        </w:trPr>
        <w:tc>
          <w:tcPr>
            <w:tcW w:w="580" w:type="dxa"/>
            <w:vAlign w:val="bottom"/>
          </w:tcPr>
          <w:p>
            <w:pPr>
              <w:spacing w:after="0"/>
              <w:rPr>
                <w:sz w:val="9"/>
                <w:szCs w:val="9"/>
                <w:color w:val="auto"/>
              </w:rPr>
            </w:pPr>
          </w:p>
        </w:tc>
        <w:tc>
          <w:tcPr>
            <w:tcW w:w="3720" w:type="dxa"/>
            <w:vAlign w:val="bottom"/>
            <w:vMerge w:val="restart"/>
          </w:tcPr>
          <w:p>
            <w:pPr>
              <w:ind w:left="320"/>
              <w:spacing w:after="0"/>
              <w:rPr>
                <w:sz w:val="20"/>
                <w:szCs w:val="20"/>
                <w:color w:val="auto"/>
              </w:rPr>
            </w:pPr>
            <w:r>
              <w:rPr>
                <w:rFonts w:ascii="Arial" w:cs="Arial" w:eastAsia="Arial" w:hAnsi="Arial"/>
                <w:sz w:val="18"/>
                <w:szCs w:val="18"/>
                <w:color w:val="auto"/>
              </w:rPr>
              <w:t>target compensation (consisting</w:t>
            </w:r>
          </w:p>
        </w:tc>
        <w:tc>
          <w:tcPr>
            <w:tcW w:w="3100" w:type="dxa"/>
            <w:vAlign w:val="bottom"/>
            <w:vMerge w:val="restart"/>
          </w:tcPr>
          <w:p>
            <w:pPr>
              <w:ind w:left="340"/>
              <w:spacing w:after="0"/>
              <w:rPr>
                <w:sz w:val="20"/>
                <w:szCs w:val="20"/>
                <w:color w:val="auto"/>
              </w:rPr>
            </w:pPr>
            <w:r>
              <w:rPr>
                <w:rFonts w:ascii="Arial" w:cs="Arial" w:eastAsia="Arial" w:hAnsi="Arial"/>
                <w:sz w:val="18"/>
                <w:szCs w:val="18"/>
                <w:color w:val="auto"/>
              </w:rPr>
              <w:t>deciding how to position each</w:t>
            </w:r>
          </w:p>
        </w:tc>
        <w:tc>
          <w:tcPr>
            <w:tcW w:w="660" w:type="dxa"/>
            <w:vAlign w:val="bottom"/>
          </w:tcPr>
          <w:p>
            <w:pPr>
              <w:spacing w:after="0"/>
              <w:rPr>
                <w:sz w:val="9"/>
                <w:szCs w:val="9"/>
                <w:color w:val="auto"/>
              </w:rPr>
            </w:pPr>
          </w:p>
        </w:tc>
        <w:tc>
          <w:tcPr>
            <w:tcW w:w="30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580" w:type="dxa"/>
            <w:vAlign w:val="bottom"/>
          </w:tcPr>
          <w:p>
            <w:pPr>
              <w:spacing w:after="0"/>
              <w:rPr>
                <w:sz w:val="9"/>
                <w:szCs w:val="9"/>
                <w:color w:val="auto"/>
              </w:rPr>
            </w:pPr>
          </w:p>
        </w:tc>
        <w:tc>
          <w:tcPr>
            <w:tcW w:w="3720" w:type="dxa"/>
            <w:vAlign w:val="bottom"/>
            <w:vMerge w:val="continue"/>
          </w:tcPr>
          <w:p>
            <w:pPr>
              <w:spacing w:after="0"/>
              <w:rPr>
                <w:sz w:val="9"/>
                <w:szCs w:val="9"/>
                <w:color w:val="auto"/>
              </w:rPr>
            </w:pPr>
          </w:p>
        </w:tc>
        <w:tc>
          <w:tcPr>
            <w:tcW w:w="3100" w:type="dxa"/>
            <w:vAlign w:val="bottom"/>
            <w:vMerge w:val="continue"/>
          </w:tcPr>
          <w:p>
            <w:pPr>
              <w:spacing w:after="0"/>
              <w:rPr>
                <w:sz w:val="9"/>
                <w:szCs w:val="9"/>
                <w:color w:val="auto"/>
              </w:rPr>
            </w:pPr>
          </w:p>
        </w:tc>
        <w:tc>
          <w:tcPr>
            <w:tcW w:w="660" w:type="dxa"/>
            <w:vAlign w:val="bottom"/>
          </w:tcPr>
          <w:p>
            <w:pPr>
              <w:spacing w:after="0"/>
              <w:rPr>
                <w:sz w:val="9"/>
                <w:szCs w:val="9"/>
                <w:color w:val="auto"/>
              </w:rPr>
            </w:pPr>
          </w:p>
        </w:tc>
        <w:tc>
          <w:tcPr>
            <w:tcW w:w="3000" w:type="dxa"/>
            <w:vAlign w:val="bottom"/>
            <w:vMerge w:val="restart"/>
          </w:tcPr>
          <w:p>
            <w:pPr>
              <w:ind w:left="320"/>
              <w:spacing w:after="0" w:line="202" w:lineRule="exact"/>
              <w:rPr>
                <w:sz w:val="20"/>
                <w:szCs w:val="20"/>
                <w:color w:val="auto"/>
              </w:rPr>
            </w:pPr>
            <w:r>
              <w:rPr>
                <w:rFonts w:ascii="Arial" w:cs="Arial" w:eastAsia="Arial" w:hAnsi="Arial"/>
                <w:sz w:val="18"/>
                <w:szCs w:val="18"/>
                <w:color w:val="auto"/>
              </w:rPr>
              <w:t>compensation directly to ADI’s</w:t>
            </w:r>
          </w:p>
        </w:tc>
        <w:tc>
          <w:tcPr>
            <w:tcW w:w="0" w:type="dxa"/>
            <w:vAlign w:val="bottom"/>
          </w:tcPr>
          <w:p>
            <w:pPr>
              <w:spacing w:after="0"/>
              <w:rPr>
                <w:sz w:val="1"/>
                <w:szCs w:val="1"/>
                <w:color w:val="auto"/>
              </w:rPr>
            </w:pPr>
          </w:p>
        </w:tc>
      </w:tr>
      <w:tr>
        <w:trPr>
          <w:trHeight w:val="95"/>
        </w:trPr>
        <w:tc>
          <w:tcPr>
            <w:tcW w:w="580" w:type="dxa"/>
            <w:vAlign w:val="bottom"/>
          </w:tcPr>
          <w:p>
            <w:pPr>
              <w:spacing w:after="0"/>
              <w:rPr>
                <w:sz w:val="8"/>
                <w:szCs w:val="8"/>
                <w:color w:val="auto"/>
              </w:rPr>
            </w:pPr>
          </w:p>
        </w:tc>
        <w:tc>
          <w:tcPr>
            <w:tcW w:w="3720" w:type="dxa"/>
            <w:vAlign w:val="bottom"/>
            <w:vMerge w:val="restart"/>
          </w:tcPr>
          <w:p>
            <w:pPr>
              <w:ind w:left="320"/>
              <w:spacing w:after="0" w:line="202" w:lineRule="exact"/>
              <w:rPr>
                <w:sz w:val="20"/>
                <w:szCs w:val="20"/>
                <w:color w:val="auto"/>
              </w:rPr>
            </w:pPr>
            <w:r>
              <w:rPr>
                <w:rFonts w:ascii="Arial" w:cs="Arial" w:eastAsia="Arial" w:hAnsi="Arial"/>
                <w:sz w:val="18"/>
                <w:szCs w:val="18"/>
                <w:color w:val="auto"/>
              </w:rPr>
              <w:t>of base salary, variable cash</w:t>
            </w:r>
          </w:p>
        </w:tc>
        <w:tc>
          <w:tcPr>
            <w:tcW w:w="3100" w:type="dxa"/>
            <w:vAlign w:val="bottom"/>
            <w:vMerge w:val="restart"/>
          </w:tcPr>
          <w:p>
            <w:pPr>
              <w:ind w:left="340"/>
              <w:spacing w:after="0" w:line="202" w:lineRule="exact"/>
              <w:rPr>
                <w:sz w:val="20"/>
                <w:szCs w:val="20"/>
                <w:color w:val="auto"/>
              </w:rPr>
            </w:pPr>
            <w:r>
              <w:rPr>
                <w:rFonts w:ascii="Arial" w:cs="Arial" w:eastAsia="Arial" w:hAnsi="Arial"/>
                <w:sz w:val="18"/>
                <w:szCs w:val="18"/>
                <w:color w:val="auto"/>
              </w:rPr>
              <w:t>executive officer’s total target</w:t>
            </w:r>
          </w:p>
        </w:tc>
        <w:tc>
          <w:tcPr>
            <w:tcW w:w="660" w:type="dxa"/>
            <w:vAlign w:val="bottom"/>
          </w:tcPr>
          <w:p>
            <w:pPr>
              <w:spacing w:after="0"/>
              <w:rPr>
                <w:sz w:val="8"/>
                <w:szCs w:val="8"/>
                <w:color w:val="auto"/>
              </w:rPr>
            </w:pPr>
          </w:p>
        </w:tc>
        <w:tc>
          <w:tcPr>
            <w:tcW w:w="300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8"/>
        </w:trPr>
        <w:tc>
          <w:tcPr>
            <w:tcW w:w="580" w:type="dxa"/>
            <w:vAlign w:val="bottom"/>
          </w:tcPr>
          <w:p>
            <w:pPr>
              <w:spacing w:after="0"/>
              <w:rPr>
                <w:sz w:val="9"/>
                <w:szCs w:val="9"/>
                <w:color w:val="auto"/>
              </w:rPr>
            </w:pPr>
          </w:p>
        </w:tc>
        <w:tc>
          <w:tcPr>
            <w:tcW w:w="3720" w:type="dxa"/>
            <w:vAlign w:val="bottom"/>
            <w:vMerge w:val="continue"/>
          </w:tcPr>
          <w:p>
            <w:pPr>
              <w:spacing w:after="0"/>
              <w:rPr>
                <w:sz w:val="9"/>
                <w:szCs w:val="9"/>
                <w:color w:val="auto"/>
              </w:rPr>
            </w:pPr>
          </w:p>
        </w:tc>
        <w:tc>
          <w:tcPr>
            <w:tcW w:w="3100" w:type="dxa"/>
            <w:vAlign w:val="bottom"/>
            <w:vMerge w:val="continue"/>
          </w:tcPr>
          <w:p>
            <w:pPr>
              <w:spacing w:after="0"/>
              <w:rPr>
                <w:sz w:val="9"/>
                <w:szCs w:val="9"/>
                <w:color w:val="auto"/>
              </w:rPr>
            </w:pPr>
          </w:p>
        </w:tc>
        <w:tc>
          <w:tcPr>
            <w:tcW w:w="660" w:type="dxa"/>
            <w:vAlign w:val="bottom"/>
          </w:tcPr>
          <w:p>
            <w:pPr>
              <w:spacing w:after="0"/>
              <w:rPr>
                <w:sz w:val="9"/>
                <w:szCs w:val="9"/>
                <w:color w:val="auto"/>
              </w:rPr>
            </w:pPr>
          </w:p>
        </w:tc>
        <w:tc>
          <w:tcPr>
            <w:tcW w:w="3000" w:type="dxa"/>
            <w:vAlign w:val="bottom"/>
            <w:vMerge w:val="restart"/>
          </w:tcPr>
          <w:p>
            <w:pPr>
              <w:ind w:left="320"/>
              <w:spacing w:after="0" w:line="202" w:lineRule="exact"/>
              <w:rPr>
                <w:sz w:val="20"/>
                <w:szCs w:val="20"/>
                <w:color w:val="auto"/>
              </w:rPr>
            </w:pPr>
            <w:r>
              <w:rPr>
                <w:rFonts w:ascii="Arial" w:cs="Arial" w:eastAsia="Arial" w:hAnsi="Arial"/>
                <w:sz w:val="18"/>
                <w:szCs w:val="18"/>
                <w:color w:val="auto"/>
              </w:rPr>
              <w:t>short- and long-term</w:t>
            </w:r>
          </w:p>
        </w:tc>
        <w:tc>
          <w:tcPr>
            <w:tcW w:w="0" w:type="dxa"/>
            <w:vAlign w:val="bottom"/>
          </w:tcPr>
          <w:p>
            <w:pPr>
              <w:spacing w:after="0"/>
              <w:rPr>
                <w:sz w:val="1"/>
                <w:szCs w:val="1"/>
                <w:color w:val="auto"/>
              </w:rPr>
            </w:pPr>
          </w:p>
        </w:tc>
      </w:tr>
      <w:tr>
        <w:trPr>
          <w:trHeight w:val="95"/>
        </w:trPr>
        <w:tc>
          <w:tcPr>
            <w:tcW w:w="580" w:type="dxa"/>
            <w:vAlign w:val="bottom"/>
          </w:tcPr>
          <w:p>
            <w:pPr>
              <w:spacing w:after="0"/>
              <w:rPr>
                <w:sz w:val="8"/>
                <w:szCs w:val="8"/>
                <w:color w:val="auto"/>
              </w:rPr>
            </w:pPr>
          </w:p>
        </w:tc>
        <w:tc>
          <w:tcPr>
            <w:tcW w:w="3720" w:type="dxa"/>
            <w:vAlign w:val="bottom"/>
            <w:vMerge w:val="restart"/>
          </w:tcPr>
          <w:p>
            <w:pPr>
              <w:ind w:left="320"/>
              <w:spacing w:after="0" w:line="202" w:lineRule="exact"/>
              <w:rPr>
                <w:sz w:val="20"/>
                <w:szCs w:val="20"/>
                <w:color w:val="auto"/>
              </w:rPr>
            </w:pPr>
            <w:r>
              <w:rPr>
                <w:rFonts w:ascii="Arial" w:cs="Arial" w:eastAsia="Arial" w:hAnsi="Arial"/>
                <w:sz w:val="18"/>
                <w:szCs w:val="18"/>
                <w:color w:val="auto"/>
              </w:rPr>
              <w:t>incentive compensation, and</w:t>
            </w:r>
          </w:p>
        </w:tc>
        <w:tc>
          <w:tcPr>
            <w:tcW w:w="3100" w:type="dxa"/>
            <w:vAlign w:val="bottom"/>
            <w:vMerge w:val="restart"/>
          </w:tcPr>
          <w:p>
            <w:pPr>
              <w:ind w:left="340"/>
              <w:spacing w:after="0" w:line="202" w:lineRule="exact"/>
              <w:rPr>
                <w:sz w:val="20"/>
                <w:szCs w:val="20"/>
                <w:color w:val="auto"/>
              </w:rPr>
            </w:pPr>
            <w:r>
              <w:rPr>
                <w:rFonts w:ascii="Arial" w:cs="Arial" w:eastAsia="Arial" w:hAnsi="Arial"/>
                <w:sz w:val="18"/>
                <w:szCs w:val="18"/>
                <w:color w:val="auto"/>
              </w:rPr>
              <w:t>compensation to the total target</w:t>
            </w:r>
          </w:p>
        </w:tc>
        <w:tc>
          <w:tcPr>
            <w:tcW w:w="660" w:type="dxa"/>
            <w:vAlign w:val="bottom"/>
          </w:tcPr>
          <w:p>
            <w:pPr>
              <w:spacing w:after="0"/>
              <w:rPr>
                <w:sz w:val="8"/>
                <w:szCs w:val="8"/>
                <w:color w:val="auto"/>
              </w:rPr>
            </w:pPr>
          </w:p>
        </w:tc>
        <w:tc>
          <w:tcPr>
            <w:tcW w:w="300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8"/>
        </w:trPr>
        <w:tc>
          <w:tcPr>
            <w:tcW w:w="580" w:type="dxa"/>
            <w:vAlign w:val="bottom"/>
          </w:tcPr>
          <w:p>
            <w:pPr>
              <w:spacing w:after="0"/>
              <w:rPr>
                <w:sz w:val="9"/>
                <w:szCs w:val="9"/>
                <w:color w:val="auto"/>
              </w:rPr>
            </w:pPr>
          </w:p>
        </w:tc>
        <w:tc>
          <w:tcPr>
            <w:tcW w:w="3720" w:type="dxa"/>
            <w:vAlign w:val="bottom"/>
            <w:vMerge w:val="continue"/>
          </w:tcPr>
          <w:p>
            <w:pPr>
              <w:spacing w:after="0"/>
              <w:rPr>
                <w:sz w:val="9"/>
                <w:szCs w:val="9"/>
                <w:color w:val="auto"/>
              </w:rPr>
            </w:pPr>
          </w:p>
        </w:tc>
        <w:tc>
          <w:tcPr>
            <w:tcW w:w="3100" w:type="dxa"/>
            <w:vAlign w:val="bottom"/>
            <w:vMerge w:val="continue"/>
          </w:tcPr>
          <w:p>
            <w:pPr>
              <w:spacing w:after="0"/>
              <w:rPr>
                <w:sz w:val="9"/>
                <w:szCs w:val="9"/>
                <w:color w:val="auto"/>
              </w:rPr>
            </w:pPr>
          </w:p>
        </w:tc>
        <w:tc>
          <w:tcPr>
            <w:tcW w:w="660" w:type="dxa"/>
            <w:vAlign w:val="bottom"/>
          </w:tcPr>
          <w:p>
            <w:pPr>
              <w:spacing w:after="0"/>
              <w:rPr>
                <w:sz w:val="9"/>
                <w:szCs w:val="9"/>
                <w:color w:val="auto"/>
              </w:rPr>
            </w:pPr>
          </w:p>
        </w:tc>
        <w:tc>
          <w:tcPr>
            <w:tcW w:w="3000" w:type="dxa"/>
            <w:vAlign w:val="bottom"/>
            <w:vMerge w:val="restart"/>
          </w:tcPr>
          <w:p>
            <w:pPr>
              <w:ind w:left="320"/>
              <w:spacing w:after="0"/>
              <w:rPr>
                <w:sz w:val="20"/>
                <w:szCs w:val="20"/>
                <w:color w:val="auto"/>
              </w:rPr>
            </w:pPr>
            <w:r>
              <w:rPr>
                <w:rFonts w:ascii="Arial" w:cs="Arial" w:eastAsia="Arial" w:hAnsi="Arial"/>
                <w:sz w:val="18"/>
                <w:szCs w:val="18"/>
                <w:color w:val="auto"/>
              </w:rPr>
              <w:t>performance. For executive</w:t>
            </w:r>
          </w:p>
        </w:tc>
        <w:tc>
          <w:tcPr>
            <w:tcW w:w="0" w:type="dxa"/>
            <w:vAlign w:val="bottom"/>
          </w:tcPr>
          <w:p>
            <w:pPr>
              <w:spacing w:after="0"/>
              <w:rPr>
                <w:sz w:val="1"/>
                <w:szCs w:val="1"/>
                <w:color w:val="auto"/>
              </w:rPr>
            </w:pPr>
          </w:p>
        </w:tc>
      </w:tr>
      <w:tr>
        <w:trPr>
          <w:trHeight w:val="108"/>
        </w:trPr>
        <w:tc>
          <w:tcPr>
            <w:tcW w:w="580" w:type="dxa"/>
            <w:vAlign w:val="bottom"/>
          </w:tcPr>
          <w:p>
            <w:pPr>
              <w:spacing w:after="0"/>
              <w:rPr>
                <w:sz w:val="9"/>
                <w:szCs w:val="9"/>
                <w:color w:val="auto"/>
              </w:rPr>
            </w:pPr>
          </w:p>
        </w:tc>
        <w:tc>
          <w:tcPr>
            <w:tcW w:w="3720" w:type="dxa"/>
            <w:vAlign w:val="bottom"/>
            <w:vMerge w:val="restart"/>
          </w:tcPr>
          <w:p>
            <w:pPr>
              <w:ind w:left="320"/>
              <w:spacing w:after="0"/>
              <w:rPr>
                <w:sz w:val="20"/>
                <w:szCs w:val="20"/>
                <w:color w:val="auto"/>
              </w:rPr>
            </w:pPr>
            <w:r>
              <w:rPr>
                <w:rFonts w:ascii="Arial" w:cs="Arial" w:eastAsia="Arial" w:hAnsi="Arial"/>
                <w:sz w:val="18"/>
                <w:szCs w:val="18"/>
                <w:color w:val="auto"/>
              </w:rPr>
              <w:t>annual long-term incentive</w:t>
            </w:r>
          </w:p>
        </w:tc>
        <w:tc>
          <w:tcPr>
            <w:tcW w:w="3100" w:type="dxa"/>
            <w:vAlign w:val="bottom"/>
            <w:vMerge w:val="restart"/>
          </w:tcPr>
          <w:p>
            <w:pPr>
              <w:ind w:left="340"/>
              <w:spacing w:after="0"/>
              <w:rPr>
                <w:sz w:val="20"/>
                <w:szCs w:val="20"/>
                <w:color w:val="auto"/>
              </w:rPr>
            </w:pPr>
            <w:r>
              <w:rPr>
                <w:rFonts w:ascii="Arial" w:cs="Arial" w:eastAsia="Arial" w:hAnsi="Arial"/>
                <w:sz w:val="18"/>
                <w:szCs w:val="18"/>
                <w:color w:val="auto"/>
              </w:rPr>
              <w:t>compensation of those in similar</w:t>
            </w:r>
          </w:p>
        </w:tc>
        <w:tc>
          <w:tcPr>
            <w:tcW w:w="660" w:type="dxa"/>
            <w:vAlign w:val="bottom"/>
          </w:tcPr>
          <w:p>
            <w:pPr>
              <w:spacing w:after="0"/>
              <w:rPr>
                <w:sz w:val="9"/>
                <w:szCs w:val="9"/>
                <w:color w:val="auto"/>
              </w:rPr>
            </w:pPr>
          </w:p>
        </w:tc>
        <w:tc>
          <w:tcPr>
            <w:tcW w:w="30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580" w:type="dxa"/>
            <w:vAlign w:val="bottom"/>
          </w:tcPr>
          <w:p>
            <w:pPr>
              <w:spacing w:after="0"/>
              <w:rPr>
                <w:sz w:val="9"/>
                <w:szCs w:val="9"/>
                <w:color w:val="auto"/>
              </w:rPr>
            </w:pPr>
          </w:p>
        </w:tc>
        <w:tc>
          <w:tcPr>
            <w:tcW w:w="3720" w:type="dxa"/>
            <w:vAlign w:val="bottom"/>
            <w:vMerge w:val="continue"/>
          </w:tcPr>
          <w:p>
            <w:pPr>
              <w:spacing w:after="0"/>
              <w:rPr>
                <w:sz w:val="9"/>
                <w:szCs w:val="9"/>
                <w:color w:val="auto"/>
              </w:rPr>
            </w:pPr>
          </w:p>
        </w:tc>
        <w:tc>
          <w:tcPr>
            <w:tcW w:w="3100" w:type="dxa"/>
            <w:vAlign w:val="bottom"/>
            <w:vMerge w:val="continue"/>
          </w:tcPr>
          <w:p>
            <w:pPr>
              <w:spacing w:after="0"/>
              <w:rPr>
                <w:sz w:val="9"/>
                <w:szCs w:val="9"/>
                <w:color w:val="auto"/>
              </w:rPr>
            </w:pPr>
          </w:p>
        </w:tc>
        <w:tc>
          <w:tcPr>
            <w:tcW w:w="660" w:type="dxa"/>
            <w:vAlign w:val="bottom"/>
          </w:tcPr>
          <w:p>
            <w:pPr>
              <w:spacing w:after="0"/>
              <w:rPr>
                <w:sz w:val="9"/>
                <w:szCs w:val="9"/>
                <w:color w:val="auto"/>
              </w:rPr>
            </w:pPr>
          </w:p>
        </w:tc>
        <w:tc>
          <w:tcPr>
            <w:tcW w:w="3000" w:type="dxa"/>
            <w:vAlign w:val="bottom"/>
            <w:vMerge w:val="restart"/>
          </w:tcPr>
          <w:p>
            <w:pPr>
              <w:ind w:left="320"/>
              <w:spacing w:after="0" w:line="202" w:lineRule="exact"/>
              <w:rPr>
                <w:sz w:val="20"/>
                <w:szCs w:val="20"/>
                <w:color w:val="auto"/>
              </w:rPr>
            </w:pPr>
            <w:r>
              <w:rPr>
                <w:rFonts w:ascii="Arial" w:cs="Arial" w:eastAsia="Arial" w:hAnsi="Arial"/>
                <w:sz w:val="18"/>
                <w:szCs w:val="18"/>
                <w:color w:val="auto"/>
              </w:rPr>
              <w:t>officers, this is measured by</w:t>
            </w:r>
          </w:p>
        </w:tc>
        <w:tc>
          <w:tcPr>
            <w:tcW w:w="0" w:type="dxa"/>
            <w:vAlign w:val="bottom"/>
          </w:tcPr>
          <w:p>
            <w:pPr>
              <w:spacing w:after="0"/>
              <w:rPr>
                <w:sz w:val="1"/>
                <w:szCs w:val="1"/>
                <w:color w:val="auto"/>
              </w:rPr>
            </w:pPr>
          </w:p>
        </w:tc>
      </w:tr>
      <w:tr>
        <w:trPr>
          <w:trHeight w:val="94"/>
        </w:trPr>
        <w:tc>
          <w:tcPr>
            <w:tcW w:w="580" w:type="dxa"/>
            <w:vAlign w:val="bottom"/>
          </w:tcPr>
          <w:p>
            <w:pPr>
              <w:spacing w:after="0"/>
              <w:rPr>
                <w:sz w:val="8"/>
                <w:szCs w:val="8"/>
                <w:color w:val="auto"/>
              </w:rPr>
            </w:pPr>
          </w:p>
        </w:tc>
        <w:tc>
          <w:tcPr>
            <w:tcW w:w="3720" w:type="dxa"/>
            <w:vAlign w:val="bottom"/>
            <w:vMerge w:val="restart"/>
          </w:tcPr>
          <w:p>
            <w:pPr>
              <w:ind w:left="320"/>
              <w:spacing w:after="0"/>
              <w:rPr>
                <w:sz w:val="20"/>
                <w:szCs w:val="20"/>
                <w:color w:val="auto"/>
              </w:rPr>
            </w:pPr>
            <w:r>
              <w:rPr>
                <w:rFonts w:ascii="Arial" w:cs="Arial" w:eastAsia="Arial" w:hAnsi="Arial"/>
                <w:sz w:val="18"/>
                <w:szCs w:val="18"/>
                <w:color w:val="auto"/>
              </w:rPr>
              <w:t>compensation) of each of our</w:t>
            </w:r>
          </w:p>
        </w:tc>
        <w:tc>
          <w:tcPr>
            <w:tcW w:w="3100" w:type="dxa"/>
            <w:vAlign w:val="bottom"/>
            <w:vMerge w:val="restart"/>
          </w:tcPr>
          <w:p>
            <w:pPr>
              <w:ind w:left="340"/>
              <w:spacing w:after="0"/>
              <w:rPr>
                <w:sz w:val="20"/>
                <w:szCs w:val="20"/>
                <w:color w:val="auto"/>
              </w:rPr>
            </w:pPr>
            <w:r>
              <w:rPr>
                <w:rFonts w:ascii="Arial" w:cs="Arial" w:eastAsia="Arial" w:hAnsi="Arial"/>
                <w:sz w:val="18"/>
                <w:szCs w:val="18"/>
                <w:color w:val="auto"/>
              </w:rPr>
              <w:t>positions within our peer group.</w:t>
            </w:r>
          </w:p>
        </w:tc>
        <w:tc>
          <w:tcPr>
            <w:tcW w:w="660" w:type="dxa"/>
            <w:vAlign w:val="bottom"/>
          </w:tcPr>
          <w:p>
            <w:pPr>
              <w:spacing w:after="0"/>
              <w:rPr>
                <w:sz w:val="8"/>
                <w:szCs w:val="8"/>
                <w:color w:val="auto"/>
              </w:rPr>
            </w:pPr>
          </w:p>
        </w:tc>
        <w:tc>
          <w:tcPr>
            <w:tcW w:w="300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44"/>
        </w:trPr>
        <w:tc>
          <w:tcPr>
            <w:tcW w:w="580" w:type="dxa"/>
            <w:vAlign w:val="bottom"/>
          </w:tcPr>
          <w:p>
            <w:pPr>
              <w:spacing w:after="0"/>
              <w:rPr>
                <w:sz w:val="12"/>
                <w:szCs w:val="12"/>
                <w:color w:val="auto"/>
              </w:rPr>
            </w:pPr>
          </w:p>
        </w:tc>
        <w:tc>
          <w:tcPr>
            <w:tcW w:w="3720" w:type="dxa"/>
            <w:vAlign w:val="bottom"/>
            <w:vMerge w:val="continue"/>
          </w:tcPr>
          <w:p>
            <w:pPr>
              <w:spacing w:after="0"/>
              <w:rPr>
                <w:sz w:val="12"/>
                <w:szCs w:val="12"/>
                <w:color w:val="auto"/>
              </w:rPr>
            </w:pPr>
          </w:p>
        </w:tc>
        <w:tc>
          <w:tcPr>
            <w:tcW w:w="3100" w:type="dxa"/>
            <w:vAlign w:val="bottom"/>
            <w:vMerge w:val="continue"/>
          </w:tcPr>
          <w:p>
            <w:pPr>
              <w:spacing w:after="0"/>
              <w:rPr>
                <w:sz w:val="12"/>
                <w:szCs w:val="12"/>
                <w:color w:val="auto"/>
              </w:rPr>
            </w:pPr>
          </w:p>
        </w:tc>
        <w:tc>
          <w:tcPr>
            <w:tcW w:w="660" w:type="dxa"/>
            <w:vAlign w:val="bottom"/>
          </w:tcPr>
          <w:p>
            <w:pPr>
              <w:spacing w:after="0"/>
              <w:rPr>
                <w:sz w:val="12"/>
                <w:szCs w:val="12"/>
                <w:color w:val="auto"/>
              </w:rPr>
            </w:pPr>
          </w:p>
        </w:tc>
        <w:tc>
          <w:tcPr>
            <w:tcW w:w="3000" w:type="dxa"/>
            <w:vAlign w:val="bottom"/>
          </w:tcPr>
          <w:p>
            <w:pPr>
              <w:ind w:left="320"/>
              <w:spacing w:after="0" w:line="126" w:lineRule="exact"/>
              <w:rPr>
                <w:sz w:val="20"/>
                <w:szCs w:val="20"/>
                <w:color w:val="auto"/>
              </w:rPr>
            </w:pPr>
            <w:r>
              <w:rPr>
                <w:rFonts w:ascii="Arial" w:cs="Arial" w:eastAsia="Arial" w:hAnsi="Arial"/>
                <w:sz w:val="13"/>
                <w:szCs w:val="13"/>
                <w:color w:val="auto"/>
              </w:rPr>
              <w:t>OPBT, OPBT margin, year-over-</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-1116330</wp:posOffset>
            </wp:positionV>
            <wp:extent cx="360045" cy="274320"/>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360045" cy="274320"/>
                    </a:xfrm>
                    <a:prstGeom prst="rect">
                      <a:avLst/>
                    </a:prstGeom>
                    <a:noFill/>
                  </pic:spPr>
                </pic:pic>
              </a:graphicData>
            </a:graphic>
          </wp:anchor>
        </w:drawing>
        <w:drawing>
          <wp:anchor simplePos="0" relativeHeight="251657728" behindDoc="1" locked="0" layoutInCell="0" allowOverlap="1">
            <wp:simplePos x="0" y="0"/>
            <wp:positionH relativeFrom="column">
              <wp:posOffset>2379345</wp:posOffset>
            </wp:positionH>
            <wp:positionV relativeFrom="paragraph">
              <wp:posOffset>-1116330</wp:posOffset>
            </wp:positionV>
            <wp:extent cx="334010" cy="33464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334010" cy="334645"/>
                    </a:xfrm>
                    <a:prstGeom prst="rect">
                      <a:avLst/>
                    </a:prstGeom>
                    <a:noFill/>
                  </pic:spPr>
                </pic:pic>
              </a:graphicData>
            </a:graphic>
          </wp:anchor>
        </w:drawing>
        <w:drawing>
          <wp:anchor simplePos="0" relativeHeight="251657728" behindDoc="1" locked="0" layoutInCell="0" allowOverlap="1">
            <wp:simplePos x="0" y="0"/>
            <wp:positionH relativeFrom="column">
              <wp:posOffset>4762500</wp:posOffset>
            </wp:positionH>
            <wp:positionV relativeFrom="paragraph">
              <wp:posOffset>-1116330</wp:posOffset>
            </wp:positionV>
            <wp:extent cx="334645" cy="32575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334645" cy="325755"/>
                    </a:xfrm>
                    <a:prstGeom prst="rect">
                      <a:avLst/>
                    </a:prstGeom>
                    <a:noFill/>
                  </pic:spPr>
                </pic:pic>
              </a:graphicData>
            </a:graphic>
          </wp:anchor>
        </w:drawing>
      </w:r>
    </w:p>
    <w:tbl>
      <w:tblPr>
        <w:tblLayout w:type="fixed"/>
        <w:tblInd w:w="920" w:type="dxa"/>
        <w:tblCellMar>
          <w:top w:w="0" w:type="dxa"/>
          <w:left w:w="0" w:type="dxa"/>
          <w:bottom w:w="0" w:type="dxa"/>
          <w:right w:w="0" w:type="dxa"/>
        </w:tblCellMar>
      </w:tblPr>
      <w:tr>
        <w:trPr>
          <w:trHeight w:val="185"/>
        </w:trPr>
        <w:tc>
          <w:tcPr>
            <w:tcW w:w="5000" w:type="dxa"/>
            <w:vAlign w:val="bottom"/>
          </w:tcPr>
          <w:p>
            <w:pPr>
              <w:spacing w:after="0" w:line="184" w:lineRule="exact"/>
              <w:rPr>
                <w:sz w:val="20"/>
                <w:szCs w:val="20"/>
                <w:color w:val="auto"/>
              </w:rPr>
            </w:pPr>
            <w:r>
              <w:rPr>
                <w:rFonts w:ascii="Arial" w:cs="Arial" w:eastAsia="Arial" w:hAnsi="Arial"/>
                <w:sz w:val="18"/>
                <w:szCs w:val="18"/>
                <w:color w:val="auto"/>
              </w:rPr>
              <w:t>executive officers compares to</w:t>
            </w:r>
          </w:p>
        </w:tc>
        <w:tc>
          <w:tcPr>
            <w:tcW w:w="4920" w:type="dxa"/>
            <w:vAlign w:val="bottom"/>
            <w:vMerge w:val="restart"/>
          </w:tcPr>
          <w:p>
            <w:pPr>
              <w:ind w:left="2480"/>
              <w:spacing w:after="0"/>
              <w:rPr>
                <w:sz w:val="20"/>
                <w:szCs w:val="20"/>
                <w:color w:val="auto"/>
              </w:rPr>
            </w:pPr>
            <w:r>
              <w:rPr>
                <w:rFonts w:ascii="Arial" w:cs="Arial" w:eastAsia="Arial" w:hAnsi="Arial"/>
                <w:sz w:val="18"/>
                <w:szCs w:val="18"/>
                <w:color w:val="auto"/>
                <w:w w:val="99"/>
              </w:rPr>
              <w:t>year revenue growth, absolute</w:t>
            </w:r>
          </w:p>
        </w:tc>
        <w:tc>
          <w:tcPr>
            <w:tcW w:w="0" w:type="dxa"/>
            <w:vAlign w:val="bottom"/>
          </w:tcPr>
          <w:p>
            <w:pPr>
              <w:spacing w:after="0"/>
              <w:rPr>
                <w:sz w:val="1"/>
                <w:szCs w:val="1"/>
                <w:color w:val="auto"/>
              </w:rPr>
            </w:pPr>
          </w:p>
        </w:tc>
      </w:tr>
      <w:tr>
        <w:trPr>
          <w:trHeight w:val="108"/>
        </w:trPr>
        <w:tc>
          <w:tcPr>
            <w:tcW w:w="5000" w:type="dxa"/>
            <w:vAlign w:val="bottom"/>
            <w:vMerge w:val="restart"/>
          </w:tcPr>
          <w:p>
            <w:pPr>
              <w:spacing w:after="0"/>
              <w:rPr>
                <w:sz w:val="20"/>
                <w:szCs w:val="20"/>
                <w:color w:val="auto"/>
              </w:rPr>
            </w:pPr>
            <w:r>
              <w:rPr>
                <w:rFonts w:ascii="Arial" w:cs="Arial" w:eastAsia="Arial" w:hAnsi="Arial"/>
                <w:sz w:val="18"/>
                <w:szCs w:val="18"/>
                <w:color w:val="auto"/>
              </w:rPr>
              <w:t>the target total compensation of</w:t>
            </w:r>
          </w:p>
        </w:tc>
        <w:tc>
          <w:tcPr>
            <w:tcW w:w="49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5000" w:type="dxa"/>
            <w:vAlign w:val="bottom"/>
            <w:vMerge w:val="continue"/>
          </w:tcPr>
          <w:p>
            <w:pPr>
              <w:spacing w:after="0"/>
              <w:rPr>
                <w:sz w:val="9"/>
                <w:szCs w:val="9"/>
                <w:color w:val="auto"/>
              </w:rPr>
            </w:pPr>
          </w:p>
        </w:tc>
        <w:tc>
          <w:tcPr>
            <w:tcW w:w="4920" w:type="dxa"/>
            <w:vAlign w:val="bottom"/>
            <w:vMerge w:val="restart"/>
          </w:tcPr>
          <w:p>
            <w:pPr>
              <w:ind w:left="2480"/>
              <w:spacing w:after="0" w:line="202" w:lineRule="exact"/>
              <w:rPr>
                <w:sz w:val="20"/>
                <w:szCs w:val="20"/>
                <w:color w:val="auto"/>
              </w:rPr>
            </w:pPr>
            <w:r>
              <w:rPr>
                <w:rFonts w:ascii="Arial" w:cs="Arial" w:eastAsia="Arial" w:hAnsi="Arial"/>
                <w:sz w:val="18"/>
                <w:szCs w:val="18"/>
                <w:color w:val="auto"/>
              </w:rPr>
              <w:t>stock price appreciation, and</w:t>
            </w:r>
          </w:p>
        </w:tc>
        <w:tc>
          <w:tcPr>
            <w:tcW w:w="0" w:type="dxa"/>
            <w:vAlign w:val="bottom"/>
          </w:tcPr>
          <w:p>
            <w:pPr>
              <w:spacing w:after="0"/>
              <w:rPr>
                <w:sz w:val="1"/>
                <w:szCs w:val="1"/>
                <w:color w:val="auto"/>
              </w:rPr>
            </w:pPr>
          </w:p>
        </w:tc>
      </w:tr>
      <w:tr>
        <w:trPr>
          <w:trHeight w:val="95"/>
        </w:trPr>
        <w:tc>
          <w:tcPr>
            <w:tcW w:w="5000" w:type="dxa"/>
            <w:vAlign w:val="bottom"/>
            <w:vMerge w:val="restart"/>
          </w:tcPr>
          <w:p>
            <w:pPr>
              <w:spacing w:after="0" w:line="202" w:lineRule="exact"/>
              <w:rPr>
                <w:sz w:val="20"/>
                <w:szCs w:val="20"/>
                <w:color w:val="auto"/>
              </w:rPr>
            </w:pPr>
            <w:r>
              <w:rPr>
                <w:rFonts w:ascii="Arial" w:cs="Arial" w:eastAsia="Arial" w:hAnsi="Arial"/>
                <w:sz w:val="18"/>
                <w:szCs w:val="18"/>
                <w:color w:val="auto"/>
              </w:rPr>
              <w:t>those in similar positions within</w:t>
            </w:r>
          </w:p>
        </w:tc>
        <w:tc>
          <w:tcPr>
            <w:tcW w:w="49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8"/>
        </w:trPr>
        <w:tc>
          <w:tcPr>
            <w:tcW w:w="5000" w:type="dxa"/>
            <w:vAlign w:val="bottom"/>
            <w:vMerge w:val="continue"/>
          </w:tcPr>
          <w:p>
            <w:pPr>
              <w:spacing w:after="0"/>
              <w:rPr>
                <w:sz w:val="9"/>
                <w:szCs w:val="9"/>
                <w:color w:val="auto"/>
              </w:rPr>
            </w:pPr>
          </w:p>
        </w:tc>
        <w:tc>
          <w:tcPr>
            <w:tcW w:w="4920" w:type="dxa"/>
            <w:vAlign w:val="bottom"/>
            <w:vMerge w:val="restart"/>
          </w:tcPr>
          <w:p>
            <w:pPr>
              <w:ind w:left="2480"/>
              <w:spacing w:after="0" w:line="202" w:lineRule="exact"/>
              <w:rPr>
                <w:sz w:val="20"/>
                <w:szCs w:val="20"/>
                <w:color w:val="auto"/>
              </w:rPr>
            </w:pPr>
            <w:r>
              <w:rPr>
                <w:rFonts w:ascii="Arial" w:cs="Arial" w:eastAsia="Arial" w:hAnsi="Arial"/>
                <w:sz w:val="18"/>
                <w:szCs w:val="18"/>
                <w:color w:val="auto"/>
              </w:rPr>
              <w:t>relative TSR, which all drive</w:t>
            </w:r>
          </w:p>
        </w:tc>
        <w:tc>
          <w:tcPr>
            <w:tcW w:w="0" w:type="dxa"/>
            <w:vAlign w:val="bottom"/>
          </w:tcPr>
          <w:p>
            <w:pPr>
              <w:spacing w:after="0"/>
              <w:rPr>
                <w:sz w:val="1"/>
                <w:szCs w:val="1"/>
                <w:color w:val="auto"/>
              </w:rPr>
            </w:pPr>
          </w:p>
        </w:tc>
      </w:tr>
      <w:tr>
        <w:trPr>
          <w:trHeight w:val="95"/>
        </w:trPr>
        <w:tc>
          <w:tcPr>
            <w:tcW w:w="5000" w:type="dxa"/>
            <w:vAlign w:val="bottom"/>
            <w:vMerge w:val="restart"/>
          </w:tcPr>
          <w:p>
            <w:pPr>
              <w:spacing w:after="0"/>
              <w:rPr>
                <w:sz w:val="20"/>
                <w:szCs w:val="20"/>
                <w:color w:val="auto"/>
              </w:rPr>
            </w:pPr>
            <w:r>
              <w:rPr>
                <w:rFonts w:ascii="Arial" w:cs="Arial" w:eastAsia="Arial" w:hAnsi="Arial"/>
                <w:sz w:val="18"/>
                <w:szCs w:val="18"/>
                <w:color w:val="auto"/>
              </w:rPr>
              <w:t>our peer group.</w:t>
            </w:r>
          </w:p>
        </w:tc>
        <w:tc>
          <w:tcPr>
            <w:tcW w:w="49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44"/>
        </w:trPr>
        <w:tc>
          <w:tcPr>
            <w:tcW w:w="5000" w:type="dxa"/>
            <w:vAlign w:val="bottom"/>
            <w:vMerge w:val="continue"/>
          </w:tcPr>
          <w:p>
            <w:pPr>
              <w:spacing w:after="0"/>
              <w:rPr>
                <w:sz w:val="12"/>
                <w:szCs w:val="12"/>
                <w:color w:val="auto"/>
              </w:rPr>
            </w:pPr>
          </w:p>
        </w:tc>
        <w:tc>
          <w:tcPr>
            <w:tcW w:w="4920" w:type="dxa"/>
            <w:vAlign w:val="bottom"/>
            <w:vMerge w:val="restart"/>
          </w:tcPr>
          <w:p>
            <w:pPr>
              <w:ind w:left="2480"/>
              <w:spacing w:after="0"/>
              <w:rPr>
                <w:sz w:val="20"/>
                <w:szCs w:val="20"/>
                <w:color w:val="auto"/>
              </w:rPr>
            </w:pPr>
            <w:r>
              <w:rPr>
                <w:rFonts w:ascii="Arial" w:cs="Arial" w:eastAsia="Arial" w:hAnsi="Arial"/>
                <w:sz w:val="18"/>
                <w:szCs w:val="18"/>
                <w:color w:val="auto"/>
              </w:rPr>
              <w:t>shareholder value creation.</w:t>
            </w:r>
          </w:p>
        </w:tc>
        <w:tc>
          <w:tcPr>
            <w:tcW w:w="0" w:type="dxa"/>
            <w:vAlign w:val="bottom"/>
          </w:tcPr>
          <w:p>
            <w:pPr>
              <w:spacing w:after="0"/>
              <w:rPr>
                <w:sz w:val="1"/>
                <w:szCs w:val="1"/>
                <w:color w:val="auto"/>
              </w:rPr>
            </w:pPr>
          </w:p>
        </w:tc>
      </w:tr>
      <w:tr>
        <w:trPr>
          <w:trHeight w:val="95"/>
        </w:trPr>
        <w:tc>
          <w:tcPr>
            <w:tcW w:w="5000" w:type="dxa"/>
            <w:vAlign w:val="bottom"/>
          </w:tcPr>
          <w:p>
            <w:pPr>
              <w:spacing w:after="0"/>
              <w:rPr>
                <w:sz w:val="8"/>
                <w:szCs w:val="8"/>
                <w:color w:val="auto"/>
              </w:rPr>
            </w:pPr>
          </w:p>
        </w:tc>
        <w:tc>
          <w:tcPr>
            <w:tcW w:w="49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ind w:left="640" w:hanging="614"/>
        <w:spacing w:after="0"/>
        <w:tabs>
          <w:tab w:leader="none" w:pos="640" w:val="left"/>
        </w:tabs>
        <w:numPr>
          <w:ilvl w:val="0"/>
          <w:numId w:val="101"/>
        </w:numPr>
        <w:rPr>
          <w:rFonts w:ascii="Arial" w:cs="Arial" w:eastAsia="Arial" w:hAnsi="Arial"/>
          <w:sz w:val="20"/>
          <w:szCs w:val="20"/>
          <w:b w:val="1"/>
          <w:bCs w:val="1"/>
          <w:color w:val="auto"/>
        </w:rPr>
      </w:pPr>
      <w:r>
        <w:rPr>
          <w:rFonts w:ascii="Arial" w:cs="Arial" w:eastAsia="Arial" w:hAnsi="Arial"/>
          <w:sz w:val="16"/>
          <w:szCs w:val="16"/>
          <w:color w:val="6D6E71"/>
        </w:rPr>
        <w:t>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186055</wp:posOffset>
            </wp:positionV>
            <wp:extent cx="7157720" cy="4254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40" w:right="339" w:bottom="1440" w:gutter="0" w:footer="0" w:header="0"/>
        </w:sectPr>
      </w:pPr>
    </w:p>
    <w:bookmarkStart w:id="60" w:name="page61"/>
    <w:bookmarkEnd w:id="60"/>
    <w:p>
      <w:pPr>
        <w:spacing w:after="0"/>
        <w:rPr>
          <w:sz w:val="20"/>
          <w:szCs w:val="20"/>
          <w:color w:val="auto"/>
        </w:rPr>
      </w:pPr>
      <w:r>
        <w:rPr>
          <w:rFonts w:ascii="Arial" w:cs="Arial" w:eastAsia="Arial" w:hAnsi="Arial"/>
          <w:sz w:val="23"/>
          <w:szCs w:val="23"/>
          <w:b w:val="1"/>
          <w:bCs w:val="1"/>
          <w:color w:val="auto"/>
        </w:rPr>
        <w:t>Fiscal Year 2025 CEO and Chair Compensation Decisions</w:t>
      </w:r>
    </w:p>
    <w:p>
      <w:pPr>
        <w:spacing w:after="0" w:line="155" w:lineRule="exact"/>
        <w:rPr>
          <w:sz w:val="20"/>
          <w:szCs w:val="20"/>
          <w:color w:val="auto"/>
        </w:rPr>
      </w:pPr>
    </w:p>
    <w:p>
      <w:pPr>
        <w:jc w:val="both"/>
        <w:ind w:right="40"/>
        <w:spacing w:after="0" w:line="268" w:lineRule="auto"/>
        <w:rPr>
          <w:sz w:val="20"/>
          <w:szCs w:val="20"/>
          <w:color w:val="auto"/>
        </w:rPr>
      </w:pPr>
      <w:r>
        <w:rPr>
          <w:rFonts w:ascii="Arial" w:cs="Arial" w:eastAsia="Arial" w:hAnsi="Arial"/>
          <w:sz w:val="18"/>
          <w:szCs w:val="18"/>
          <w:color w:val="auto"/>
        </w:rPr>
        <w:t>On an annual basis, the Compensation and Talent Committee takes a holistic approach to determining a compensation package for our CEO and Chair, completing a robust evaluation of ADI’s recent and long-term performance, the strategic direction of ADI, and peer compensation benchmarking and practices.</w:t>
      </w:r>
    </w:p>
    <w:p>
      <w:pPr>
        <w:spacing w:after="0" w:line="63" w:lineRule="exact"/>
        <w:rPr>
          <w:sz w:val="20"/>
          <w:szCs w:val="20"/>
          <w:color w:val="auto"/>
        </w:rPr>
      </w:pPr>
    </w:p>
    <w:p>
      <w:pPr>
        <w:ind w:right="280"/>
        <w:spacing w:after="0" w:line="262" w:lineRule="auto"/>
        <w:rPr>
          <w:sz w:val="20"/>
          <w:szCs w:val="20"/>
          <w:color w:val="auto"/>
        </w:rPr>
      </w:pPr>
      <w:r>
        <w:rPr>
          <w:rFonts w:ascii="Arial" w:cs="Arial" w:eastAsia="Arial" w:hAnsi="Arial"/>
          <w:sz w:val="18"/>
          <w:szCs w:val="18"/>
          <w:color w:val="auto"/>
        </w:rPr>
        <w:t>Based on a review of the above factors and discussions with its independent compensation consultant, the Compensation and Talent Committee determined to make no changes to Mr. Roche’s target total compensation package in fiscal year 2025. The Compensation and Talent Committee considers Mr. Roche’s fiscal year 2025 compensation package to be aligned with the interests of our shareholders and appropriate given his importance in driving ADI’s future success.</w:t>
      </w:r>
    </w:p>
    <w:p>
      <w:pPr>
        <w:spacing w:after="0" w:line="68" w:lineRule="exact"/>
        <w:rPr>
          <w:sz w:val="20"/>
          <w:szCs w:val="20"/>
          <w:color w:val="auto"/>
        </w:rPr>
      </w:pPr>
    </w:p>
    <w:p>
      <w:pPr>
        <w:spacing w:after="0"/>
        <w:rPr>
          <w:sz w:val="20"/>
          <w:szCs w:val="20"/>
          <w:color w:val="auto"/>
        </w:rPr>
      </w:pPr>
      <w:r>
        <w:rPr>
          <w:rFonts w:ascii="Arial" w:cs="Arial" w:eastAsia="Arial" w:hAnsi="Arial"/>
          <w:sz w:val="18"/>
          <w:szCs w:val="18"/>
          <w:color w:val="auto"/>
        </w:rPr>
        <w:t>The Compensation and Talent Committee approved the following cash compensation package, in consideration of the factors listed above:</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6440" w:type="dxa"/>
            <w:vAlign w:val="bottom"/>
            <w:shd w:val="clear" w:color="auto" w:fill="0067B3"/>
          </w:tcPr>
          <w:p>
            <w:pPr>
              <w:spacing w:after="0"/>
              <w:rPr>
                <w:sz w:val="18"/>
                <w:szCs w:val="18"/>
                <w:color w:val="auto"/>
              </w:rPr>
            </w:pPr>
          </w:p>
        </w:tc>
        <w:tc>
          <w:tcPr>
            <w:tcW w:w="4800" w:type="dxa"/>
            <w:vAlign w:val="bottom"/>
            <w:shd w:val="clear" w:color="auto" w:fill="0067B3"/>
          </w:tcPr>
          <w:p>
            <w:pPr>
              <w:jc w:val="right"/>
              <w:spacing w:after="0"/>
              <w:rPr>
                <w:sz w:val="20"/>
                <w:szCs w:val="20"/>
                <w:color w:val="auto"/>
              </w:rPr>
            </w:pPr>
            <w:r>
              <w:rPr>
                <w:rFonts w:ascii="Arial" w:cs="Arial" w:eastAsia="Arial" w:hAnsi="Arial"/>
                <w:sz w:val="16"/>
                <w:szCs w:val="16"/>
                <w:b w:val="1"/>
                <w:bCs w:val="1"/>
                <w:color w:val="FFFFFF"/>
              </w:rPr>
              <w:t>Fiscal Year 2025 Target</w:t>
            </w:r>
          </w:p>
        </w:tc>
      </w:tr>
      <w:tr>
        <w:trPr>
          <w:trHeight w:val="230"/>
        </w:trPr>
        <w:tc>
          <w:tcPr>
            <w:tcW w:w="6440" w:type="dxa"/>
            <w:vAlign w:val="bottom"/>
            <w:shd w:val="clear" w:color="auto" w:fill="0067B3"/>
          </w:tcPr>
          <w:p>
            <w:pPr>
              <w:ind w:left="20"/>
              <w:spacing w:after="0"/>
              <w:rPr>
                <w:sz w:val="20"/>
                <w:szCs w:val="20"/>
                <w:color w:val="auto"/>
              </w:rPr>
            </w:pPr>
            <w:r>
              <w:rPr>
                <w:rFonts w:ascii="Arial" w:cs="Arial" w:eastAsia="Arial" w:hAnsi="Arial"/>
                <w:sz w:val="16"/>
                <w:szCs w:val="16"/>
                <w:b w:val="1"/>
                <w:bCs w:val="1"/>
                <w:color w:val="FFFFFF"/>
              </w:rPr>
              <w:t>Cash Compensation</w:t>
            </w:r>
          </w:p>
        </w:tc>
        <w:tc>
          <w:tcPr>
            <w:tcW w:w="4800" w:type="dxa"/>
            <w:vAlign w:val="bottom"/>
            <w:shd w:val="clear" w:color="auto" w:fill="0067B3"/>
          </w:tcPr>
          <w:p>
            <w:pPr>
              <w:jc w:val="right"/>
              <w:spacing w:after="0"/>
              <w:rPr>
                <w:sz w:val="20"/>
                <w:szCs w:val="20"/>
                <w:color w:val="auto"/>
              </w:rPr>
            </w:pPr>
            <w:r>
              <w:rPr>
                <w:rFonts w:ascii="Arial" w:cs="Arial" w:eastAsia="Arial" w:hAnsi="Arial"/>
                <w:sz w:val="16"/>
                <w:szCs w:val="16"/>
                <w:b w:val="1"/>
                <w:bCs w:val="1"/>
                <w:color w:val="FFFFFF"/>
              </w:rPr>
              <w:t>Value</w:t>
            </w:r>
          </w:p>
        </w:tc>
      </w:tr>
      <w:tr>
        <w:trPr>
          <w:trHeight w:val="250"/>
        </w:trPr>
        <w:tc>
          <w:tcPr>
            <w:tcW w:w="6440" w:type="dxa"/>
            <w:vAlign w:val="bottom"/>
            <w:tcBorders>
              <w:bottom w:val="single" w:sz="8" w:color="E2E6F4"/>
            </w:tcBorders>
            <w:shd w:val="clear" w:color="auto" w:fill="E2E6F4"/>
          </w:tcPr>
          <w:p>
            <w:pPr>
              <w:ind w:left="20"/>
              <w:spacing w:after="0"/>
              <w:rPr>
                <w:sz w:val="20"/>
                <w:szCs w:val="20"/>
                <w:color w:val="auto"/>
              </w:rPr>
            </w:pPr>
            <w:r>
              <w:rPr>
                <w:rFonts w:ascii="Arial" w:cs="Arial" w:eastAsia="Arial" w:hAnsi="Arial"/>
                <w:sz w:val="18"/>
                <w:szCs w:val="18"/>
                <w:color w:val="auto"/>
              </w:rPr>
              <w:t>Base Salary</w:t>
            </w:r>
          </w:p>
        </w:tc>
        <w:tc>
          <w:tcPr>
            <w:tcW w:w="4800" w:type="dxa"/>
            <w:vAlign w:val="bottom"/>
            <w:tcBorders>
              <w:bottom w:val="single" w:sz="8" w:color="E2E6F4"/>
            </w:tcBorders>
            <w:shd w:val="clear" w:color="auto" w:fill="E2E6F4"/>
          </w:tcPr>
          <w:p>
            <w:pPr>
              <w:jc w:val="right"/>
              <w:spacing w:after="0"/>
              <w:rPr>
                <w:sz w:val="20"/>
                <w:szCs w:val="20"/>
                <w:color w:val="auto"/>
              </w:rPr>
            </w:pPr>
            <w:r>
              <w:rPr>
                <w:rFonts w:ascii="Arial" w:cs="Arial" w:eastAsia="Arial" w:hAnsi="Arial"/>
                <w:sz w:val="18"/>
                <w:szCs w:val="18"/>
                <w:color w:val="auto"/>
              </w:rPr>
              <w:t>$1,200,000</w:t>
            </w:r>
          </w:p>
        </w:tc>
      </w:tr>
      <w:tr>
        <w:trPr>
          <w:trHeight w:val="247"/>
        </w:trPr>
        <w:tc>
          <w:tcPr>
            <w:tcW w:w="6440" w:type="dxa"/>
            <w:vAlign w:val="bottom"/>
          </w:tcPr>
          <w:p>
            <w:pPr>
              <w:ind w:left="20"/>
              <w:spacing w:after="0"/>
              <w:rPr>
                <w:sz w:val="20"/>
                <w:szCs w:val="20"/>
                <w:color w:val="auto"/>
              </w:rPr>
            </w:pPr>
            <w:r>
              <w:rPr>
                <w:rFonts w:ascii="Arial" w:cs="Arial" w:eastAsia="Arial" w:hAnsi="Arial"/>
                <w:sz w:val="18"/>
                <w:szCs w:val="18"/>
                <w:color w:val="auto"/>
              </w:rPr>
              <w:t>Variable Cash Incentive Target Percentage</w:t>
            </w:r>
          </w:p>
        </w:tc>
        <w:tc>
          <w:tcPr>
            <w:tcW w:w="4800" w:type="dxa"/>
            <w:vAlign w:val="bottom"/>
          </w:tcPr>
          <w:p>
            <w:pPr>
              <w:jc w:val="right"/>
              <w:spacing w:after="0"/>
              <w:rPr>
                <w:sz w:val="20"/>
                <w:szCs w:val="20"/>
                <w:color w:val="auto"/>
              </w:rPr>
            </w:pPr>
            <w:r>
              <w:rPr>
                <w:rFonts w:ascii="Arial" w:cs="Arial" w:eastAsia="Arial" w:hAnsi="Arial"/>
                <w:sz w:val="18"/>
                <w:szCs w:val="18"/>
                <w:color w:val="auto"/>
              </w:rPr>
              <w:t>200%</w:t>
            </w:r>
          </w:p>
        </w:tc>
      </w:tr>
      <w:tr>
        <w:trPr>
          <w:trHeight w:val="23"/>
        </w:trPr>
        <w:tc>
          <w:tcPr>
            <w:tcW w:w="6440" w:type="dxa"/>
            <w:vAlign w:val="bottom"/>
            <w:tcBorders>
              <w:bottom w:val="single" w:sz="8" w:color="0067B3"/>
            </w:tcBorders>
          </w:tcPr>
          <w:p>
            <w:pPr>
              <w:spacing w:after="0"/>
              <w:rPr>
                <w:sz w:val="2"/>
                <w:szCs w:val="2"/>
                <w:color w:val="auto"/>
              </w:rPr>
            </w:pPr>
          </w:p>
        </w:tc>
        <w:tc>
          <w:tcPr>
            <w:tcW w:w="4800" w:type="dxa"/>
            <w:vAlign w:val="bottom"/>
            <w:tcBorders>
              <w:bottom w:val="single" w:sz="8" w:color="0067B3"/>
            </w:tcBorders>
          </w:tcPr>
          <w:p>
            <w:pPr>
              <w:spacing w:after="0"/>
              <w:rPr>
                <w:sz w:val="2"/>
                <w:szCs w:val="2"/>
                <w:color w:val="auto"/>
              </w:rPr>
            </w:pPr>
          </w:p>
        </w:tc>
      </w:tr>
    </w:tbl>
    <w:p>
      <w:pPr>
        <w:spacing w:after="0" w:line="251" w:lineRule="exact"/>
        <w:rPr>
          <w:sz w:val="20"/>
          <w:szCs w:val="20"/>
          <w:color w:val="auto"/>
        </w:rPr>
      </w:pPr>
    </w:p>
    <w:p>
      <w:pPr>
        <w:ind w:right="80"/>
        <w:spacing w:after="0" w:line="287" w:lineRule="auto"/>
        <w:rPr>
          <w:sz w:val="20"/>
          <w:szCs w:val="20"/>
          <w:color w:val="auto"/>
        </w:rPr>
      </w:pPr>
      <w:r>
        <w:rPr>
          <w:rFonts w:ascii="Arial" w:cs="Arial" w:eastAsia="Arial" w:hAnsi="Arial"/>
          <w:sz w:val="18"/>
          <w:szCs w:val="18"/>
          <w:color w:val="auto"/>
        </w:rPr>
        <w:t>Mr. Roche’s total equity package remained weighted towards performance-based equity, with 75% of the total equity awarded to him in fiscal year 2025 in the form of PRSUs, and 25% in the form of RSUs to align with the interests of our shareholders.</w:t>
      </w:r>
    </w:p>
    <w:p>
      <w:pPr>
        <w:spacing w:after="0" w:line="45" w:lineRule="exact"/>
        <w:rPr>
          <w:sz w:val="20"/>
          <w:szCs w:val="20"/>
          <w:color w:val="auto"/>
        </w:rPr>
      </w:pPr>
    </w:p>
    <w:p>
      <w:pPr>
        <w:spacing w:after="0"/>
        <w:rPr>
          <w:sz w:val="20"/>
          <w:szCs w:val="20"/>
          <w:color w:val="auto"/>
        </w:rPr>
      </w:pPr>
      <w:r>
        <w:rPr>
          <w:rFonts w:ascii="Arial" w:cs="Arial" w:eastAsia="Arial" w:hAnsi="Arial"/>
          <w:sz w:val="18"/>
          <w:szCs w:val="18"/>
          <w:color w:val="auto"/>
        </w:rPr>
        <w:t>The Compensation and Talent Committee approved the following equity compensation package, in consideration of the factors listed above:</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3360" w:type="dxa"/>
            <w:vAlign w:val="bottom"/>
            <w:shd w:val="clear" w:color="auto" w:fill="0067B3"/>
          </w:tcPr>
          <w:p>
            <w:pPr>
              <w:ind w:left="20"/>
              <w:spacing w:after="0"/>
              <w:rPr>
                <w:sz w:val="20"/>
                <w:szCs w:val="20"/>
                <w:color w:val="auto"/>
              </w:rPr>
            </w:pPr>
            <w:r>
              <w:rPr>
                <w:rFonts w:ascii="Arial" w:cs="Arial" w:eastAsia="Arial" w:hAnsi="Arial"/>
                <w:sz w:val="16"/>
                <w:szCs w:val="16"/>
                <w:b w:val="1"/>
                <w:bCs w:val="1"/>
                <w:color w:val="FFFFFF"/>
              </w:rPr>
              <w:t>Equity Compensation</w:t>
            </w:r>
          </w:p>
        </w:tc>
        <w:tc>
          <w:tcPr>
            <w:tcW w:w="4360" w:type="dxa"/>
            <w:vAlign w:val="bottom"/>
            <w:shd w:val="clear" w:color="auto" w:fill="0067B3"/>
          </w:tcPr>
          <w:p>
            <w:pPr>
              <w:ind w:left="1420"/>
              <w:spacing w:after="0"/>
              <w:rPr>
                <w:sz w:val="20"/>
                <w:szCs w:val="20"/>
                <w:color w:val="auto"/>
              </w:rPr>
            </w:pPr>
            <w:r>
              <w:rPr>
                <w:rFonts w:ascii="Arial" w:cs="Arial" w:eastAsia="Arial" w:hAnsi="Arial"/>
                <w:sz w:val="16"/>
                <w:szCs w:val="16"/>
                <w:b w:val="1"/>
                <w:bCs w:val="1"/>
                <w:color w:val="FFFFFF"/>
              </w:rPr>
              <w:t>2025 Target Value</w:t>
            </w:r>
          </w:p>
        </w:tc>
        <w:tc>
          <w:tcPr>
            <w:tcW w:w="3520" w:type="dxa"/>
            <w:vAlign w:val="bottom"/>
            <w:shd w:val="clear" w:color="auto" w:fill="0067B3"/>
          </w:tcPr>
          <w:p>
            <w:pPr>
              <w:ind w:left="120"/>
              <w:spacing w:after="0"/>
              <w:rPr>
                <w:sz w:val="20"/>
                <w:szCs w:val="20"/>
                <w:color w:val="auto"/>
              </w:rPr>
            </w:pPr>
            <w:r>
              <w:rPr>
                <w:rFonts w:ascii="Arial" w:cs="Arial" w:eastAsia="Arial" w:hAnsi="Arial"/>
                <w:sz w:val="16"/>
                <w:szCs w:val="16"/>
                <w:b w:val="1"/>
                <w:bCs w:val="1"/>
                <w:color w:val="FFFFFF"/>
              </w:rPr>
              <w:t>Vesting</w:t>
            </w:r>
          </w:p>
        </w:tc>
      </w:tr>
      <w:tr>
        <w:trPr>
          <w:trHeight w:val="224"/>
        </w:trPr>
        <w:tc>
          <w:tcPr>
            <w:tcW w:w="3360" w:type="dxa"/>
            <w:vAlign w:val="bottom"/>
            <w:shd w:val="clear" w:color="auto" w:fill="E2E6F4"/>
          </w:tcPr>
          <w:p>
            <w:pPr>
              <w:ind w:left="20"/>
              <w:spacing w:after="0"/>
              <w:rPr>
                <w:sz w:val="20"/>
                <w:szCs w:val="20"/>
                <w:color w:val="auto"/>
              </w:rPr>
            </w:pPr>
            <w:r>
              <w:rPr>
                <w:rFonts w:ascii="Arial" w:cs="Arial" w:eastAsia="Arial" w:hAnsi="Arial"/>
                <w:sz w:val="18"/>
                <w:szCs w:val="18"/>
                <w:color w:val="auto"/>
              </w:rPr>
              <w:t>Time-Based RSUs</w:t>
            </w:r>
          </w:p>
        </w:tc>
        <w:tc>
          <w:tcPr>
            <w:tcW w:w="4360" w:type="dxa"/>
            <w:vAlign w:val="bottom"/>
            <w:shd w:val="clear" w:color="auto" w:fill="E2E6F4"/>
          </w:tcPr>
          <w:p>
            <w:pPr>
              <w:ind w:left="1420"/>
              <w:spacing w:after="0"/>
              <w:rPr>
                <w:sz w:val="20"/>
                <w:szCs w:val="20"/>
                <w:color w:val="auto"/>
              </w:rPr>
            </w:pPr>
            <w:r>
              <w:rPr>
                <w:rFonts w:ascii="Arial" w:cs="Arial" w:eastAsia="Arial" w:hAnsi="Arial"/>
                <w:sz w:val="18"/>
                <w:szCs w:val="18"/>
                <w:color w:val="auto"/>
              </w:rPr>
              <w:t>$5,500,000 (25% weighting of long-</w:t>
            </w:r>
          </w:p>
        </w:tc>
        <w:tc>
          <w:tcPr>
            <w:tcW w:w="3520" w:type="dxa"/>
            <w:vAlign w:val="bottom"/>
            <w:shd w:val="clear" w:color="auto" w:fill="E2E6F4"/>
          </w:tcPr>
          <w:p>
            <w:pPr>
              <w:ind w:left="120"/>
              <w:spacing w:after="0"/>
              <w:rPr>
                <w:sz w:val="20"/>
                <w:szCs w:val="20"/>
                <w:color w:val="auto"/>
              </w:rPr>
            </w:pPr>
            <w:r>
              <w:rPr>
                <w:rFonts w:ascii="Arial" w:cs="Arial" w:eastAsia="Arial" w:hAnsi="Arial"/>
                <w:sz w:val="18"/>
                <w:szCs w:val="18"/>
                <w:color w:val="auto"/>
              </w:rPr>
              <w:t>Annual installments over a</w:t>
            </w:r>
          </w:p>
        </w:tc>
      </w:tr>
      <w:tr>
        <w:trPr>
          <w:trHeight w:val="242"/>
        </w:trPr>
        <w:tc>
          <w:tcPr>
            <w:tcW w:w="3360" w:type="dxa"/>
            <w:vAlign w:val="bottom"/>
            <w:tcBorders>
              <w:bottom w:val="single" w:sz="8" w:color="E2E6F4"/>
            </w:tcBorders>
            <w:shd w:val="clear" w:color="auto" w:fill="E2E6F4"/>
          </w:tcPr>
          <w:p>
            <w:pPr>
              <w:spacing w:after="0"/>
              <w:rPr>
                <w:sz w:val="21"/>
                <w:szCs w:val="21"/>
                <w:color w:val="auto"/>
              </w:rPr>
            </w:pPr>
          </w:p>
        </w:tc>
        <w:tc>
          <w:tcPr>
            <w:tcW w:w="4360" w:type="dxa"/>
            <w:vAlign w:val="bottom"/>
            <w:tcBorders>
              <w:bottom w:val="single" w:sz="8" w:color="E2E6F4"/>
            </w:tcBorders>
            <w:shd w:val="clear" w:color="auto" w:fill="E2E6F4"/>
          </w:tcPr>
          <w:p>
            <w:pPr>
              <w:ind w:left="1420"/>
              <w:spacing w:after="0"/>
              <w:rPr>
                <w:sz w:val="20"/>
                <w:szCs w:val="20"/>
                <w:color w:val="auto"/>
              </w:rPr>
            </w:pPr>
            <w:r>
              <w:rPr>
                <w:rFonts w:ascii="Arial" w:cs="Arial" w:eastAsia="Arial" w:hAnsi="Arial"/>
                <w:sz w:val="18"/>
                <w:szCs w:val="18"/>
                <w:color w:val="auto"/>
              </w:rPr>
              <w:t>term incentives)</w:t>
            </w:r>
          </w:p>
        </w:tc>
        <w:tc>
          <w:tcPr>
            <w:tcW w:w="3520" w:type="dxa"/>
            <w:vAlign w:val="bottom"/>
            <w:tcBorders>
              <w:bottom w:val="single" w:sz="8" w:color="E2E6F4"/>
            </w:tcBorders>
            <w:shd w:val="clear" w:color="auto" w:fill="E2E6F4"/>
          </w:tcPr>
          <w:p>
            <w:pPr>
              <w:ind w:left="120"/>
              <w:spacing w:after="0"/>
              <w:rPr>
                <w:sz w:val="20"/>
                <w:szCs w:val="20"/>
                <w:color w:val="auto"/>
              </w:rPr>
            </w:pPr>
            <w:r>
              <w:rPr>
                <w:rFonts w:ascii="Arial" w:cs="Arial" w:eastAsia="Arial" w:hAnsi="Arial"/>
                <w:sz w:val="18"/>
                <w:szCs w:val="18"/>
                <w:color w:val="auto"/>
              </w:rPr>
              <w:t>4-year period (25% per year)</w:t>
            </w:r>
          </w:p>
        </w:tc>
      </w:tr>
      <w:tr>
        <w:trPr>
          <w:trHeight w:val="224"/>
        </w:trPr>
        <w:tc>
          <w:tcPr>
            <w:tcW w:w="3360" w:type="dxa"/>
            <w:vAlign w:val="bottom"/>
          </w:tcPr>
          <w:p>
            <w:pPr>
              <w:ind w:left="20"/>
              <w:spacing w:after="0"/>
              <w:rPr>
                <w:sz w:val="20"/>
                <w:szCs w:val="20"/>
                <w:color w:val="auto"/>
              </w:rPr>
            </w:pPr>
            <w:r>
              <w:rPr>
                <w:rFonts w:ascii="Arial" w:cs="Arial" w:eastAsia="Arial" w:hAnsi="Arial"/>
                <w:sz w:val="18"/>
                <w:szCs w:val="18"/>
                <w:color w:val="auto"/>
              </w:rPr>
              <w:t>Financial Metric PRSUs</w:t>
            </w:r>
          </w:p>
        </w:tc>
        <w:tc>
          <w:tcPr>
            <w:tcW w:w="4360" w:type="dxa"/>
            <w:vAlign w:val="bottom"/>
          </w:tcPr>
          <w:p>
            <w:pPr>
              <w:ind w:left="1420"/>
              <w:spacing w:after="0"/>
              <w:rPr>
                <w:sz w:val="20"/>
                <w:szCs w:val="20"/>
                <w:color w:val="auto"/>
              </w:rPr>
            </w:pPr>
            <w:r>
              <w:rPr>
                <w:rFonts w:ascii="Arial" w:cs="Arial" w:eastAsia="Arial" w:hAnsi="Arial"/>
                <w:sz w:val="18"/>
                <w:szCs w:val="18"/>
                <w:color w:val="auto"/>
              </w:rPr>
              <w:t>$8,800,000 (40% weighting of long-</w:t>
            </w:r>
          </w:p>
        </w:tc>
        <w:tc>
          <w:tcPr>
            <w:tcW w:w="3520" w:type="dxa"/>
            <w:vAlign w:val="bottom"/>
          </w:tcPr>
          <w:p>
            <w:pPr>
              <w:ind w:left="120"/>
              <w:spacing w:after="0"/>
              <w:rPr>
                <w:sz w:val="20"/>
                <w:szCs w:val="20"/>
                <w:color w:val="auto"/>
              </w:rPr>
            </w:pPr>
            <w:r>
              <w:rPr>
                <w:rFonts w:ascii="Arial" w:cs="Arial" w:eastAsia="Arial" w:hAnsi="Arial"/>
                <w:sz w:val="18"/>
                <w:szCs w:val="18"/>
                <w:color w:val="auto"/>
              </w:rPr>
              <w:t>Three-year cliff vesting based on</w:t>
            </w:r>
          </w:p>
        </w:tc>
      </w:tr>
      <w:tr>
        <w:trPr>
          <w:trHeight w:val="239"/>
        </w:trPr>
        <w:tc>
          <w:tcPr>
            <w:tcW w:w="3360" w:type="dxa"/>
            <w:vAlign w:val="bottom"/>
          </w:tcPr>
          <w:p>
            <w:pPr>
              <w:spacing w:after="0"/>
              <w:rPr>
                <w:sz w:val="20"/>
                <w:szCs w:val="20"/>
                <w:color w:val="auto"/>
              </w:rPr>
            </w:pPr>
          </w:p>
        </w:tc>
        <w:tc>
          <w:tcPr>
            <w:tcW w:w="4360" w:type="dxa"/>
            <w:vAlign w:val="bottom"/>
          </w:tcPr>
          <w:p>
            <w:pPr>
              <w:ind w:left="1420"/>
              <w:spacing w:after="0"/>
              <w:rPr>
                <w:sz w:val="20"/>
                <w:szCs w:val="20"/>
                <w:color w:val="auto"/>
              </w:rPr>
            </w:pPr>
            <w:r>
              <w:rPr>
                <w:rFonts w:ascii="Arial" w:cs="Arial" w:eastAsia="Arial" w:hAnsi="Arial"/>
                <w:sz w:val="18"/>
                <w:szCs w:val="18"/>
                <w:color w:val="auto"/>
              </w:rPr>
              <w:t>term incentives)</w:t>
            </w:r>
          </w:p>
        </w:tc>
        <w:tc>
          <w:tcPr>
            <w:tcW w:w="3520" w:type="dxa"/>
            <w:vAlign w:val="bottom"/>
          </w:tcPr>
          <w:p>
            <w:pPr>
              <w:ind w:left="120"/>
              <w:spacing w:after="0"/>
              <w:rPr>
                <w:sz w:val="20"/>
                <w:szCs w:val="20"/>
                <w:color w:val="auto"/>
              </w:rPr>
            </w:pPr>
            <w:r>
              <w:rPr>
                <w:rFonts w:ascii="Arial" w:cs="Arial" w:eastAsia="Arial" w:hAnsi="Arial"/>
                <w:sz w:val="18"/>
                <w:szCs w:val="18"/>
                <w:color w:val="auto"/>
              </w:rPr>
              <w:t>financial metrics</w:t>
            </w:r>
          </w:p>
        </w:tc>
      </w:tr>
      <w:tr>
        <w:trPr>
          <w:trHeight w:val="23"/>
        </w:trPr>
        <w:tc>
          <w:tcPr>
            <w:tcW w:w="3360" w:type="dxa"/>
            <w:vAlign w:val="bottom"/>
          </w:tcPr>
          <w:p>
            <w:pPr>
              <w:spacing w:after="0"/>
              <w:rPr>
                <w:sz w:val="2"/>
                <w:szCs w:val="2"/>
                <w:color w:val="auto"/>
              </w:rPr>
            </w:pPr>
          </w:p>
        </w:tc>
        <w:tc>
          <w:tcPr>
            <w:tcW w:w="4360" w:type="dxa"/>
            <w:vAlign w:val="bottom"/>
          </w:tcPr>
          <w:p>
            <w:pPr>
              <w:spacing w:after="0"/>
              <w:rPr>
                <w:sz w:val="2"/>
                <w:szCs w:val="2"/>
                <w:color w:val="auto"/>
              </w:rPr>
            </w:pPr>
          </w:p>
        </w:tc>
        <w:tc>
          <w:tcPr>
            <w:tcW w:w="3520" w:type="dxa"/>
            <w:vAlign w:val="bottom"/>
          </w:tcPr>
          <w:p>
            <w:pPr>
              <w:spacing w:after="0"/>
              <w:rPr>
                <w:sz w:val="2"/>
                <w:szCs w:val="2"/>
                <w:color w:val="auto"/>
              </w:rPr>
            </w:pPr>
          </w:p>
        </w:tc>
      </w:tr>
      <w:tr>
        <w:trPr>
          <w:trHeight w:val="224"/>
        </w:trPr>
        <w:tc>
          <w:tcPr>
            <w:tcW w:w="3360" w:type="dxa"/>
            <w:vAlign w:val="bottom"/>
            <w:shd w:val="clear" w:color="auto" w:fill="E2E6F4"/>
          </w:tcPr>
          <w:p>
            <w:pPr>
              <w:ind w:left="20"/>
              <w:spacing w:after="0"/>
              <w:rPr>
                <w:sz w:val="20"/>
                <w:szCs w:val="20"/>
                <w:color w:val="auto"/>
              </w:rPr>
            </w:pPr>
            <w:r>
              <w:rPr>
                <w:rFonts w:ascii="Arial" w:cs="Arial" w:eastAsia="Arial" w:hAnsi="Arial"/>
                <w:sz w:val="18"/>
                <w:szCs w:val="18"/>
                <w:color w:val="auto"/>
              </w:rPr>
              <w:t>Relative TSR PRSUs</w:t>
            </w:r>
          </w:p>
        </w:tc>
        <w:tc>
          <w:tcPr>
            <w:tcW w:w="4360" w:type="dxa"/>
            <w:vAlign w:val="bottom"/>
            <w:shd w:val="clear" w:color="auto" w:fill="E2E6F4"/>
          </w:tcPr>
          <w:p>
            <w:pPr>
              <w:ind w:left="1420"/>
              <w:spacing w:after="0"/>
              <w:rPr>
                <w:sz w:val="20"/>
                <w:szCs w:val="20"/>
                <w:color w:val="auto"/>
              </w:rPr>
            </w:pPr>
            <w:r>
              <w:rPr>
                <w:rFonts w:ascii="Arial" w:cs="Arial" w:eastAsia="Arial" w:hAnsi="Arial"/>
                <w:sz w:val="18"/>
                <w:szCs w:val="18"/>
                <w:color w:val="auto"/>
              </w:rPr>
              <w:t>$7,700,000 (35% weighting of long-</w:t>
            </w:r>
          </w:p>
        </w:tc>
        <w:tc>
          <w:tcPr>
            <w:tcW w:w="3520" w:type="dxa"/>
            <w:vAlign w:val="bottom"/>
            <w:shd w:val="clear" w:color="auto" w:fill="E2E6F4"/>
          </w:tcPr>
          <w:p>
            <w:pPr>
              <w:ind w:left="120"/>
              <w:spacing w:after="0"/>
              <w:rPr>
                <w:sz w:val="20"/>
                <w:szCs w:val="20"/>
                <w:color w:val="auto"/>
              </w:rPr>
            </w:pPr>
            <w:r>
              <w:rPr>
                <w:rFonts w:ascii="Arial" w:cs="Arial" w:eastAsia="Arial" w:hAnsi="Arial"/>
                <w:sz w:val="18"/>
                <w:szCs w:val="18"/>
                <w:color w:val="auto"/>
              </w:rPr>
              <w:t>Three-year cliff vesting based on relative</w:t>
            </w:r>
          </w:p>
        </w:tc>
      </w:tr>
      <w:tr>
        <w:trPr>
          <w:trHeight w:val="242"/>
        </w:trPr>
        <w:tc>
          <w:tcPr>
            <w:tcW w:w="3360" w:type="dxa"/>
            <w:vAlign w:val="bottom"/>
            <w:tcBorders>
              <w:bottom w:val="single" w:sz="8" w:color="E2E6F4"/>
            </w:tcBorders>
            <w:shd w:val="clear" w:color="auto" w:fill="E2E6F4"/>
          </w:tcPr>
          <w:p>
            <w:pPr>
              <w:spacing w:after="0"/>
              <w:rPr>
                <w:sz w:val="21"/>
                <w:szCs w:val="21"/>
                <w:color w:val="auto"/>
              </w:rPr>
            </w:pPr>
          </w:p>
        </w:tc>
        <w:tc>
          <w:tcPr>
            <w:tcW w:w="4360" w:type="dxa"/>
            <w:vAlign w:val="bottom"/>
            <w:tcBorders>
              <w:bottom w:val="single" w:sz="8" w:color="E2E6F4"/>
            </w:tcBorders>
            <w:shd w:val="clear" w:color="auto" w:fill="E2E6F4"/>
          </w:tcPr>
          <w:p>
            <w:pPr>
              <w:ind w:left="1420"/>
              <w:spacing w:after="0"/>
              <w:rPr>
                <w:sz w:val="20"/>
                <w:szCs w:val="20"/>
                <w:color w:val="auto"/>
              </w:rPr>
            </w:pPr>
            <w:r>
              <w:rPr>
                <w:rFonts w:ascii="Arial" w:cs="Arial" w:eastAsia="Arial" w:hAnsi="Arial"/>
                <w:sz w:val="18"/>
                <w:szCs w:val="18"/>
                <w:color w:val="auto"/>
              </w:rPr>
              <w:t>term incentives)</w:t>
            </w:r>
          </w:p>
        </w:tc>
        <w:tc>
          <w:tcPr>
            <w:tcW w:w="3520" w:type="dxa"/>
            <w:vAlign w:val="bottom"/>
            <w:tcBorders>
              <w:bottom w:val="single" w:sz="8" w:color="E2E6F4"/>
            </w:tcBorders>
            <w:shd w:val="clear" w:color="auto" w:fill="E2E6F4"/>
          </w:tcPr>
          <w:p>
            <w:pPr>
              <w:ind w:left="120"/>
              <w:spacing w:after="0"/>
              <w:rPr>
                <w:sz w:val="20"/>
                <w:szCs w:val="20"/>
                <w:color w:val="auto"/>
              </w:rPr>
            </w:pPr>
            <w:r>
              <w:rPr>
                <w:rFonts w:ascii="Arial" w:cs="Arial" w:eastAsia="Arial" w:hAnsi="Arial"/>
                <w:sz w:val="18"/>
                <w:szCs w:val="18"/>
                <w:color w:val="auto"/>
              </w:rPr>
              <w:t>TSR metrics</w:t>
            </w:r>
          </w:p>
        </w:tc>
      </w:tr>
      <w:tr>
        <w:trPr>
          <w:trHeight w:val="20"/>
        </w:trPr>
        <w:tc>
          <w:tcPr>
            <w:tcW w:w="3360" w:type="dxa"/>
            <w:vAlign w:val="bottom"/>
            <w:shd w:val="clear" w:color="auto" w:fill="0067B3"/>
          </w:tcPr>
          <w:p>
            <w:pPr>
              <w:spacing w:after="0" w:line="20" w:lineRule="exact"/>
              <w:rPr>
                <w:sz w:val="1"/>
                <w:szCs w:val="1"/>
                <w:color w:val="auto"/>
              </w:rPr>
            </w:pPr>
          </w:p>
        </w:tc>
        <w:tc>
          <w:tcPr>
            <w:tcW w:w="4360" w:type="dxa"/>
            <w:vAlign w:val="bottom"/>
            <w:shd w:val="clear" w:color="auto" w:fill="0067B3"/>
          </w:tcPr>
          <w:p>
            <w:pPr>
              <w:spacing w:after="0" w:line="20" w:lineRule="exact"/>
              <w:rPr>
                <w:sz w:val="1"/>
                <w:szCs w:val="1"/>
                <w:color w:val="auto"/>
              </w:rPr>
            </w:pPr>
          </w:p>
        </w:tc>
        <w:tc>
          <w:tcPr>
            <w:tcW w:w="3520" w:type="dxa"/>
            <w:vAlign w:val="bottom"/>
            <w:shd w:val="clear" w:color="auto" w:fill="0067B3"/>
          </w:tcPr>
          <w:p>
            <w:pPr>
              <w:spacing w:after="0" w:line="20" w:lineRule="exact"/>
              <w:rPr>
                <w:sz w:val="1"/>
                <w:szCs w:val="1"/>
                <w:color w:val="auto"/>
              </w:rPr>
            </w:pPr>
          </w:p>
        </w:tc>
      </w:tr>
    </w:tbl>
    <w:p>
      <w:pPr>
        <w:spacing w:after="0" w:line="237" w:lineRule="exact"/>
        <w:rPr>
          <w:sz w:val="20"/>
          <w:szCs w:val="20"/>
          <w:color w:val="auto"/>
        </w:rPr>
      </w:pPr>
    </w:p>
    <w:p>
      <w:pPr>
        <w:spacing w:after="0"/>
        <w:rPr>
          <w:sz w:val="20"/>
          <w:szCs w:val="20"/>
          <w:color w:val="auto"/>
        </w:rPr>
      </w:pPr>
      <w:r>
        <w:rPr>
          <w:rFonts w:ascii="Arial" w:cs="Arial" w:eastAsia="Arial" w:hAnsi="Arial"/>
          <w:sz w:val="23"/>
          <w:szCs w:val="23"/>
          <w:b w:val="1"/>
          <w:bCs w:val="1"/>
          <w:color w:val="auto"/>
        </w:rPr>
        <w:t>Compensation Determination for Other NEOs</w:t>
      </w:r>
    </w:p>
    <w:p>
      <w:pPr>
        <w:spacing w:after="0" w:line="155" w:lineRule="exact"/>
        <w:rPr>
          <w:sz w:val="20"/>
          <w:szCs w:val="20"/>
          <w:color w:val="auto"/>
        </w:rPr>
      </w:pPr>
    </w:p>
    <w:p>
      <w:pPr>
        <w:ind w:right="60"/>
        <w:spacing w:after="0" w:line="245" w:lineRule="auto"/>
        <w:rPr>
          <w:sz w:val="20"/>
          <w:szCs w:val="20"/>
          <w:color w:val="auto"/>
        </w:rPr>
      </w:pPr>
      <w:r>
        <w:rPr>
          <w:rFonts w:ascii="Arial" w:cs="Arial" w:eastAsia="Arial" w:hAnsi="Arial"/>
          <w:sz w:val="18"/>
          <w:szCs w:val="18"/>
          <w:color w:val="auto"/>
        </w:rPr>
        <w:t>In determining fiscal year 2025 compensation for our other NEOs, including base salary levels, annual incentive plan payout targets, and fiscal year 2025 equity grants, the Compensation and Talent Committee considered the executive’s individual responsibilities and other factors including their performance, experience, tenure, and market data and benchmark information from our peer group companies. During fiscal year 2025, the Compensation and Talent Committee determined to increase the base salaries of Messrs. Puccio and Jain by 4% and 8%, respectively, but determined to make no changes to the target variable cash incentive percentage for Messrs. Puccio and Jain or the total target compensation of any of our other NEOs.</w:t>
      </w:r>
    </w:p>
    <w:p>
      <w:pPr>
        <w:spacing w:after="0" w:line="180" w:lineRule="exact"/>
        <w:rPr>
          <w:sz w:val="20"/>
          <w:szCs w:val="20"/>
          <w:color w:val="auto"/>
        </w:rPr>
      </w:pPr>
    </w:p>
    <w:p>
      <w:pPr>
        <w:spacing w:after="0"/>
        <w:rPr>
          <w:sz w:val="20"/>
          <w:szCs w:val="20"/>
          <w:color w:val="auto"/>
        </w:rPr>
      </w:pPr>
      <w:r>
        <w:rPr>
          <w:rFonts w:ascii="Arial" w:cs="Arial" w:eastAsia="Arial" w:hAnsi="Arial"/>
          <w:sz w:val="27"/>
          <w:szCs w:val="27"/>
          <w:b w:val="1"/>
          <w:bCs w:val="1"/>
          <w:color w:val="0067B3"/>
        </w:rPr>
        <w:t>Other Compensation</w:t>
      </w:r>
    </w:p>
    <w:p>
      <w:pPr>
        <w:spacing w:after="0" w:line="158" w:lineRule="exact"/>
        <w:rPr>
          <w:sz w:val="20"/>
          <w:szCs w:val="20"/>
          <w:color w:val="auto"/>
        </w:rPr>
      </w:pPr>
    </w:p>
    <w:p>
      <w:pPr>
        <w:spacing w:after="0"/>
        <w:rPr>
          <w:sz w:val="20"/>
          <w:szCs w:val="20"/>
          <w:color w:val="auto"/>
        </w:rPr>
      </w:pPr>
      <w:r>
        <w:rPr>
          <w:rFonts w:ascii="Arial" w:cs="Arial" w:eastAsia="Arial" w:hAnsi="Arial"/>
          <w:sz w:val="23"/>
          <w:szCs w:val="23"/>
          <w:b w:val="1"/>
          <w:bCs w:val="1"/>
          <w:color w:val="auto"/>
        </w:rPr>
        <w:t>Retirement and Other Employee Benefits</w:t>
      </w:r>
    </w:p>
    <w:p>
      <w:pPr>
        <w:spacing w:after="0" w:line="155" w:lineRule="exact"/>
        <w:rPr>
          <w:sz w:val="20"/>
          <w:szCs w:val="20"/>
          <w:color w:val="auto"/>
        </w:rPr>
      </w:pPr>
    </w:p>
    <w:p>
      <w:pPr>
        <w:ind w:right="120"/>
        <w:spacing w:after="0" w:line="247" w:lineRule="auto"/>
        <w:rPr>
          <w:sz w:val="20"/>
          <w:szCs w:val="20"/>
          <w:color w:val="auto"/>
        </w:rPr>
      </w:pPr>
      <w:r>
        <w:rPr>
          <w:rFonts w:ascii="Arial" w:cs="Arial" w:eastAsia="Arial" w:hAnsi="Arial"/>
          <w:sz w:val="18"/>
          <w:szCs w:val="18"/>
          <w:color w:val="auto"/>
        </w:rPr>
        <w:t>We maintain broad-based benefits for all employees, including medical, dental, and vision insurance, life and disability insurance, retirement plans, and our Amended and Restated 2022 Employee Stock Purchase Plan (ESPP). Executive officers, including our NEOs, are eligible to participate in all of our employee benefit plans on the same basis as our other employees. The retirement and other employee benefit components of our executive compensation programs are designed to attract excellent candidates by providing financial protection and security, and reward our executives for the total commitment we expect from them in service to ADI.</w:t>
      </w:r>
    </w:p>
    <w:p>
      <w:pPr>
        <w:spacing w:after="0" w:line="69" w:lineRule="exact"/>
        <w:rPr>
          <w:sz w:val="20"/>
          <w:szCs w:val="20"/>
          <w:color w:val="auto"/>
        </w:rPr>
      </w:pPr>
    </w:p>
    <w:p>
      <w:pPr>
        <w:ind w:right="60"/>
        <w:spacing w:after="0" w:line="252" w:lineRule="auto"/>
        <w:rPr>
          <w:sz w:val="20"/>
          <w:szCs w:val="20"/>
          <w:color w:val="auto"/>
        </w:rPr>
      </w:pPr>
      <w:r>
        <w:rPr>
          <w:rFonts w:ascii="Arial" w:cs="Arial" w:eastAsia="Arial" w:hAnsi="Arial"/>
          <w:sz w:val="18"/>
          <w:szCs w:val="18"/>
          <w:color w:val="auto"/>
        </w:rPr>
        <w:t>We maintain a Deferred Compensation Plan (DCP), under which our executive officers and directors, along with a select group of senior management and engineering employees, are eligible to defer receipt of some or all of their cash compensation. This plan offers many of the same investment options as our 401(k) plan. Under our DCP, we provide all participants (other than non-employee directors) with company contributions equal to up to 8% of eligible deferred contributions.</w:t>
      </w:r>
    </w:p>
    <w:p>
      <w:pPr>
        <w:spacing w:after="0" w:line="76" w:lineRule="exact"/>
        <w:rPr>
          <w:sz w:val="20"/>
          <w:szCs w:val="20"/>
          <w:color w:val="auto"/>
        </w:rPr>
      </w:pPr>
    </w:p>
    <w:p>
      <w:pPr>
        <w:ind w:right="120"/>
        <w:spacing w:after="0" w:line="246" w:lineRule="auto"/>
        <w:rPr>
          <w:sz w:val="20"/>
          <w:szCs w:val="20"/>
          <w:color w:val="auto"/>
        </w:rPr>
      </w:pPr>
      <w:r>
        <w:rPr>
          <w:rFonts w:ascii="Arial" w:cs="Arial" w:eastAsia="Arial" w:hAnsi="Arial"/>
          <w:sz w:val="18"/>
          <w:szCs w:val="18"/>
          <w:color w:val="auto"/>
        </w:rPr>
        <w:t>In the United States during fiscal year 2025, we contributed to our 401(k) plan on behalf of all eligible employees, including our NEOs, amounts equal to 5% of the employee’s eligible compensation, plus matching contributions up to an additional 3%, subject to Internal Revenue Service (IRS) limits. For those employees who also participated in the DCP described above, any compensation that was deferred under that plan was not considered eligible compensation for purposes of our company contributions under the 401(k) plan. We also provided employees who are eligible to participate in the 401(k) plan but whose compensation is greater than the amount that may be taken into account in any plan year as a result of IRS limits with a taxable cash payment equal to 8% of the employee’s 401(k)-eligible compensation in excess of the IRS limit (TIP Restoration).</w:t>
      </w:r>
    </w:p>
    <w:p>
      <w:pPr>
        <w:sectPr>
          <w:pgSz w:w="11900" w:h="16838" w:orient="portrait"/>
          <w:cols w:equalWidth="0" w:num="1">
            <w:col w:w="11240"/>
          </w:cols>
          <w:pgMar w:left="320" w:top="1254" w:right="339" w:bottom="1440" w:gutter="0" w:footer="0" w:header="0"/>
        </w:sectPr>
      </w:pPr>
    </w:p>
    <w:p>
      <w:pPr>
        <w:spacing w:after="0" w:line="200" w:lineRule="exact"/>
        <w:rPr>
          <w:sz w:val="20"/>
          <w:szCs w:val="20"/>
          <w:color w:val="auto"/>
        </w:rPr>
      </w:pPr>
    </w:p>
    <w:p>
      <w:pPr>
        <w:spacing w:after="0" w:line="241" w:lineRule="exact"/>
        <w:rPr>
          <w:sz w:val="20"/>
          <w:szCs w:val="20"/>
          <w:color w:val="auto"/>
        </w:rPr>
      </w:pPr>
    </w:p>
    <w:p>
      <w:pPr>
        <w:ind w:left="8980"/>
        <w:spacing w:after="0"/>
        <w:tabs>
          <w:tab w:leader="none" w:pos="10980" w:val="left"/>
        </w:tabs>
        <w:rPr>
          <w:sz w:val="20"/>
          <w:szCs w:val="20"/>
          <w:color w:val="auto"/>
        </w:rPr>
      </w:pPr>
      <w:r>
        <w:rPr>
          <w:rFonts w:ascii="Arial" w:cs="Arial" w:eastAsia="Arial" w:hAnsi="Arial"/>
          <w:sz w:val="16"/>
          <w:szCs w:val="16"/>
          <w:color w:val="0067B3"/>
        </w:rPr>
        <w:t>2026 Proxy Statement</w:t>
      </w:r>
      <w:r>
        <w:rPr>
          <w:sz w:val="20"/>
          <w:szCs w:val="20"/>
          <w:color w:val="auto"/>
        </w:rPr>
        <w:tab/>
      </w:r>
      <w:r>
        <w:rPr>
          <w:rFonts w:ascii="Arial" w:cs="Arial" w:eastAsia="Arial" w:hAnsi="Arial"/>
          <w:sz w:val="19"/>
          <w:szCs w:val="19"/>
          <w:b w:val="1"/>
          <w:bCs w:val="1"/>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223520</wp:posOffset>
            </wp:positionV>
            <wp:extent cx="7157720" cy="4254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4" w:right="339" w:bottom="1440" w:gutter="0" w:footer="0" w:header="0"/>
          <w:type w:val="continuous"/>
        </w:sectPr>
      </w:pPr>
    </w:p>
    <w:bookmarkStart w:id="61" w:name="page62"/>
    <w:bookmarkEnd w:id="61"/>
    <w:p>
      <w:pPr>
        <w:spacing w:after="0" w:line="255" w:lineRule="auto"/>
        <w:rPr>
          <w:sz w:val="20"/>
          <w:szCs w:val="20"/>
          <w:color w:val="auto"/>
        </w:rPr>
      </w:pPr>
      <w:r>
        <w:rPr>
          <w:rFonts w:ascii="Arial" w:cs="Arial" w:eastAsia="Arial" w:hAnsi="Arial"/>
          <w:sz w:val="18"/>
          <w:szCs w:val="18"/>
          <w:color w:val="auto"/>
        </w:rPr>
        <w:t>Under our Post-Retirement Equity Vesting Policy (PREV), eligible stock-based awards, including RSUs (including those that vest based on the achievement of performance goals), restricted stock awards, and stock options may continue to vest, subject to the terms of the policy, after an employee’s retirement. Equity awards issued to executive officers, including our NEOs, are eligible for post-employment vesting under the policy. The PREV does not apply to equity awards granted outside ADI’s focal grant cycle, such as off-cycle new-hire, retention, or promotion awards. The PREV is administered by a committee consisting of our Chief Financial Officer, Chief Legal Officer, and Chief People Officer and any retirement under the PREV must be approved by at least two members of the committee, or in the case of any retirement of a member of our executive Leadership Team, must be approved by the Compensation and Talent Committee. Approval to receive retirement vesting benefits under the PREV is entirely discretionary and the PREV does not confer any right to continue vesting in equity awards following retirement to any employee.</w:t>
      </w:r>
    </w:p>
    <w:p>
      <w:pPr>
        <w:spacing w:after="0" w:line="139" w:lineRule="exact"/>
        <w:rPr>
          <w:sz w:val="20"/>
          <w:szCs w:val="20"/>
          <w:color w:val="auto"/>
        </w:rPr>
      </w:pPr>
    </w:p>
    <w:p>
      <w:pPr>
        <w:spacing w:after="0"/>
        <w:rPr>
          <w:sz w:val="20"/>
          <w:szCs w:val="20"/>
          <w:color w:val="auto"/>
        </w:rPr>
      </w:pPr>
      <w:r>
        <w:rPr>
          <w:rFonts w:ascii="Arial" w:cs="Arial" w:eastAsia="Arial" w:hAnsi="Arial"/>
          <w:sz w:val="23"/>
          <w:szCs w:val="23"/>
          <w:b w:val="1"/>
          <w:bCs w:val="1"/>
          <w:color w:val="auto"/>
        </w:rPr>
        <w:t>Limited Perquisites</w:t>
      </w:r>
    </w:p>
    <w:p>
      <w:pPr>
        <w:spacing w:after="0" w:line="141" w:lineRule="exact"/>
        <w:rPr>
          <w:sz w:val="20"/>
          <w:szCs w:val="20"/>
          <w:color w:val="auto"/>
        </w:rPr>
      </w:pPr>
    </w:p>
    <w:p>
      <w:pPr>
        <w:ind w:right="160"/>
        <w:spacing w:after="0" w:line="262" w:lineRule="auto"/>
        <w:rPr>
          <w:sz w:val="20"/>
          <w:szCs w:val="20"/>
          <w:color w:val="auto"/>
        </w:rPr>
      </w:pPr>
      <w:r>
        <w:rPr>
          <w:rFonts w:ascii="Arial" w:cs="Arial" w:eastAsia="Arial" w:hAnsi="Arial"/>
          <w:sz w:val="18"/>
          <w:szCs w:val="18"/>
          <w:color w:val="auto"/>
        </w:rPr>
        <w:t>We do not award extensive perquisites to our executive officers. In fiscal year 2025, we provided cybersecurity protection services, a voluntary health services benefit, and reimbursement for financial and tax planning services of up to $15,000 for our CEO and Chair and up to $10,000 for our other executive officers, including our NEOs. We also provided limited executive security services to Mr. Roche in connection with certain travel during fiscal year 2025. These items are detailed in the Summary Compensation Table.</w:t>
      </w:r>
    </w:p>
    <w:p>
      <w:pPr>
        <w:spacing w:after="0" w:line="68" w:lineRule="exact"/>
        <w:rPr>
          <w:sz w:val="20"/>
          <w:szCs w:val="20"/>
          <w:color w:val="auto"/>
        </w:rPr>
      </w:pPr>
    </w:p>
    <w:p>
      <w:pPr>
        <w:ind w:right="140"/>
        <w:spacing w:after="0" w:line="255" w:lineRule="auto"/>
        <w:rPr>
          <w:sz w:val="20"/>
          <w:szCs w:val="20"/>
          <w:color w:val="auto"/>
        </w:rPr>
      </w:pPr>
      <w:r>
        <w:rPr>
          <w:rFonts w:ascii="Arial" w:cs="Arial" w:eastAsia="Arial" w:hAnsi="Arial"/>
          <w:sz w:val="18"/>
          <w:szCs w:val="18"/>
          <w:color w:val="auto"/>
        </w:rPr>
        <w:t>In addition, we maintain an expatriate program that provides certain benefits to our employees who accept expatriate assignments. Our executive officers are entitled to the same benefits under our expatriate program as our other employees. Under the expatriate program, such benefits include providing gross-ups on taxable foreign assignment assistance and making tax equalization payments on behalf of (or to) expatriate employees who, as a result of their expatriate assignment, incur tax liabilities in excess of what they would have incurred had they not accepted the expatriate assignment. We provide these expatriate assignment benefits in order to offset the additional costs that employees who accept such assignments will incur. During fiscal year 2025 we provided Dr. Nakamura with payments in connection with an expatriate assignment in Japan, which included payments for vehicle and parking lease fees, housing expenses, tax services, tax equalization, tax gross-ups, spousal travel, cost of living allowance, and other miscellaneous expenses he incurred with such assignment, which payments are detailed in the Summary Compensation Table.</w:t>
      </w:r>
    </w:p>
    <w:p>
      <w:pPr>
        <w:spacing w:after="0" w:line="73"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color w:val="auto"/>
        </w:rPr>
        <w:t>On occasion, and with the approval of our CEO and Chair, an executive or director may have his or her family members accompany him or her on the company’s leased airplane when traveling on business. The executive or director may incur taxable income for such travel in accordance with applicable tax rules. We do not gross-up or otherwise compensate the executive or director for any income tax owed by them for any such travel. In accordance with our policies, our CEO and Chair may use our leased aircraft for personal travel and will incur taxable income for such travel in accordance with applicable tax rules.</w:t>
      </w:r>
    </w:p>
    <w:p>
      <w:pPr>
        <w:spacing w:after="0" w:line="169" w:lineRule="exact"/>
        <w:rPr>
          <w:sz w:val="20"/>
          <w:szCs w:val="20"/>
          <w:color w:val="auto"/>
        </w:rPr>
      </w:pPr>
    </w:p>
    <w:p>
      <w:pPr>
        <w:spacing w:after="0"/>
        <w:rPr>
          <w:sz w:val="20"/>
          <w:szCs w:val="20"/>
          <w:color w:val="auto"/>
        </w:rPr>
      </w:pPr>
      <w:r>
        <w:rPr>
          <w:rFonts w:ascii="Arial" w:cs="Arial" w:eastAsia="Arial" w:hAnsi="Arial"/>
          <w:sz w:val="27"/>
          <w:szCs w:val="27"/>
          <w:b w:val="1"/>
          <w:bCs w:val="1"/>
          <w:color w:val="0067B3"/>
        </w:rPr>
        <w:t>Severance, Retention, and Change in Control Benefits</w:t>
      </w:r>
    </w:p>
    <w:p>
      <w:pPr>
        <w:spacing w:after="0" w:line="172" w:lineRule="exact"/>
        <w:rPr>
          <w:sz w:val="20"/>
          <w:szCs w:val="20"/>
          <w:color w:val="auto"/>
        </w:rPr>
      </w:pPr>
    </w:p>
    <w:p>
      <w:pPr>
        <w:spacing w:after="0"/>
        <w:rPr>
          <w:sz w:val="20"/>
          <w:szCs w:val="20"/>
          <w:color w:val="auto"/>
        </w:rPr>
      </w:pPr>
      <w:r>
        <w:rPr>
          <w:rFonts w:ascii="Arial" w:cs="Arial" w:eastAsia="Arial" w:hAnsi="Arial"/>
          <w:sz w:val="23"/>
          <w:szCs w:val="23"/>
          <w:b w:val="1"/>
          <w:bCs w:val="1"/>
          <w:color w:val="auto"/>
        </w:rPr>
        <w:t>Change in Control Benefits</w:t>
      </w:r>
    </w:p>
    <w:p>
      <w:pPr>
        <w:spacing w:after="0" w:line="141" w:lineRule="exact"/>
        <w:rPr>
          <w:sz w:val="20"/>
          <w:szCs w:val="20"/>
          <w:color w:val="auto"/>
        </w:rPr>
      </w:pPr>
    </w:p>
    <w:p>
      <w:pPr>
        <w:ind w:right="160"/>
        <w:spacing w:after="0" w:line="287" w:lineRule="auto"/>
        <w:rPr>
          <w:sz w:val="20"/>
          <w:szCs w:val="20"/>
          <w:color w:val="auto"/>
        </w:rPr>
      </w:pPr>
      <w:r>
        <w:rPr>
          <w:rFonts w:ascii="Arial" w:cs="Arial" w:eastAsia="Arial" w:hAnsi="Arial"/>
          <w:sz w:val="18"/>
          <w:szCs w:val="18"/>
          <w:color w:val="auto"/>
        </w:rPr>
        <w:t>We have entered into change in control retention agreements (ADI Retention Agreement) with Messrs. Roche, Puccio, Cotter, and Jain and Dr. Nakamura and certain other key employees.</w:t>
      </w:r>
    </w:p>
    <w:p>
      <w:pPr>
        <w:spacing w:after="0" w:line="45"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The form of the ADI Retention Agreement provides for severance benefits if the employee’s service with us is terminated within 24 months after a change in control (as defined in the ADI Retention Agreement) that was approved by our Board of Directors. We designed the ADI Retention Agreement to help ensure that our executive team is able to evaluate objectively whether a potential change in control transaction is in the best interests of ADI and our shareholders, despite possible risks to their future employment. We believe that retaining the services of our key executives during a change in control scenario is critical. The ADI Retention Agreement helps ensure the continued services of our executive officers throughout the change in control transaction by giving them incentives to remain with us rather than seeking alternative employment or being recruited to a competitor during a highly uncertain time. The Compensation and Talent Committee reviewed prevalent market practices in determining the severance amounts and the events that trigger payments under the agreements. The Compensation and Talent Committee determined that the amounts and triggering events were appropriate and designed to encourage decision-making that is in the best interests of ADI. In fiscal year 2025, the Compensation and Talent Committee asked Pearl Meyer, its independent compensation consultant, to review our severance, retention, and change in control arrangements. Pearl Meyer advised, and the Compensation and Talent Committee determined, that those arrangements were competitive with existing market practice in the semiconductor industry and that it was appropriate to maintain the program for fiscal year 2025. Change in control retention agreements entered into between ADI and eligible employees since 2009 do not contain excess parachute payment tax gross-up provisions.</w:t>
      </w:r>
    </w:p>
    <w:p>
      <w:pPr>
        <w:spacing w:after="0" w:line="77"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 xml:space="preserve">Under our 2020 Plan and our 2006 Plan, in the event of a change in control, all of our employees who continue to remain employed on the closing of the change in control, including our NEOs, would have the vesting of one-half of the shares of common stock subject to their then outstanding unvested equity awards accelerate and become immediately exercisable and free from forfeiture. The remaining one-half of their unvested equity awards would continue to vest in accordance with the original vesting schedules, and any remaining unvested equity awards would vest if, on or prior to the first anniversary of the change in control, his or her employment is terminated without “cause” or for “good reason” (as defined in the plan). We have provided more detailed information about these benefits, along with estimates of their value under various circumstances, under the caption </w:t>
      </w:r>
      <w:r>
        <w:rPr>
          <w:rFonts w:ascii="Arial" w:cs="Arial" w:eastAsia="Arial" w:hAnsi="Arial"/>
          <w:sz w:val="18"/>
          <w:szCs w:val="18"/>
          <w:i w:val="1"/>
          <w:iCs w:val="1"/>
          <w:color w:val="auto"/>
        </w:rPr>
        <w:t>Potential Payments Upon Change in Control</w:t>
      </w:r>
      <w:r>
        <w:rPr>
          <w:rFonts w:ascii="Arial" w:cs="Arial" w:eastAsia="Arial" w:hAnsi="Arial"/>
          <w:sz w:val="18"/>
          <w:szCs w:val="18"/>
          <w:color w:val="auto"/>
        </w:rPr>
        <w:t xml:space="preserve"> below.</w:t>
      </w:r>
    </w:p>
    <w:p>
      <w:pPr>
        <w:sectPr>
          <w:pgSz w:w="11900" w:h="16838" w:orient="portrait"/>
          <w:cols w:equalWidth="0" w:num="1">
            <w:col w:w="11240"/>
          </w:cols>
          <w:pgMar w:left="320" w:top="1174" w:right="339" w:bottom="1440" w:gutter="0" w:footer="0" w:header="0"/>
        </w:sectPr>
      </w:pPr>
    </w:p>
    <w:p>
      <w:pPr>
        <w:spacing w:after="0" w:line="200" w:lineRule="exact"/>
        <w:rPr>
          <w:sz w:val="20"/>
          <w:szCs w:val="20"/>
          <w:color w:val="auto"/>
        </w:rPr>
      </w:pPr>
    </w:p>
    <w:p>
      <w:pPr>
        <w:spacing w:after="0" w:line="296" w:lineRule="exact"/>
        <w:rPr>
          <w:sz w:val="20"/>
          <w:szCs w:val="20"/>
          <w:color w:val="auto"/>
        </w:rPr>
      </w:pPr>
    </w:p>
    <w:p>
      <w:pPr>
        <w:ind w:left="640" w:hanging="614"/>
        <w:spacing w:after="0"/>
        <w:tabs>
          <w:tab w:leader="none" w:pos="640" w:val="left"/>
        </w:tabs>
        <w:numPr>
          <w:ilvl w:val="0"/>
          <w:numId w:val="102"/>
        </w:numPr>
        <w:rPr>
          <w:rFonts w:ascii="Arial" w:cs="Arial" w:eastAsia="Arial" w:hAnsi="Arial"/>
          <w:sz w:val="20"/>
          <w:szCs w:val="20"/>
          <w:b w:val="1"/>
          <w:bCs w:val="1"/>
          <w:color w:val="auto"/>
        </w:rPr>
      </w:pPr>
      <w:r>
        <w:rPr>
          <w:rFonts w:ascii="Arial" w:cs="Arial" w:eastAsia="Arial" w:hAnsi="Arial"/>
          <w:sz w:val="16"/>
          <w:szCs w:val="16"/>
          <w:color w:val="6D6E71"/>
        </w:rPr>
        <w:t>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194310</wp:posOffset>
            </wp:positionV>
            <wp:extent cx="7157720" cy="4254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4" w:right="339" w:bottom="1440" w:gutter="0" w:footer="0" w:header="0"/>
          <w:type w:val="continuous"/>
        </w:sectPr>
      </w:pPr>
    </w:p>
    <w:bookmarkStart w:id="62" w:name="page63"/>
    <w:bookmarkEnd w:id="62"/>
    <w:p>
      <w:pPr>
        <w:spacing w:after="0"/>
        <w:rPr>
          <w:sz w:val="20"/>
          <w:szCs w:val="20"/>
          <w:color w:val="auto"/>
        </w:rPr>
      </w:pPr>
      <w:r>
        <w:rPr>
          <w:rFonts w:ascii="Arial" w:cs="Arial" w:eastAsia="Arial" w:hAnsi="Arial"/>
          <w:sz w:val="23"/>
          <w:szCs w:val="23"/>
          <w:b w:val="1"/>
          <w:bCs w:val="1"/>
          <w:color w:val="auto"/>
        </w:rPr>
        <w:t>Severance Benefits</w:t>
      </w:r>
    </w:p>
    <w:p>
      <w:pPr>
        <w:spacing w:after="0" w:line="141" w:lineRule="exact"/>
        <w:rPr>
          <w:sz w:val="20"/>
          <w:szCs w:val="20"/>
          <w:color w:val="auto"/>
        </w:rPr>
      </w:pPr>
    </w:p>
    <w:p>
      <w:pPr>
        <w:ind w:right="540"/>
        <w:spacing w:after="0" w:line="287" w:lineRule="auto"/>
        <w:rPr>
          <w:sz w:val="20"/>
          <w:szCs w:val="20"/>
          <w:color w:val="auto"/>
        </w:rPr>
      </w:pPr>
      <w:r>
        <w:rPr>
          <w:rFonts w:ascii="Arial" w:cs="Arial" w:eastAsia="Arial" w:hAnsi="Arial"/>
          <w:sz w:val="18"/>
          <w:szCs w:val="18"/>
          <w:color w:val="auto"/>
        </w:rPr>
        <w:t>When the employment of an executive officer terminates in a situation that does not involve a change in control, the executive officer is entitled to receive the same benefits as any other terminated employee in that geographical location.</w:t>
      </w:r>
    </w:p>
    <w:p>
      <w:pPr>
        <w:spacing w:after="0" w:line="112" w:lineRule="exact"/>
        <w:rPr>
          <w:sz w:val="20"/>
          <w:szCs w:val="20"/>
          <w:color w:val="auto"/>
        </w:rPr>
      </w:pPr>
    </w:p>
    <w:p>
      <w:pPr>
        <w:spacing w:after="0"/>
        <w:rPr>
          <w:sz w:val="20"/>
          <w:szCs w:val="20"/>
          <w:color w:val="auto"/>
        </w:rPr>
      </w:pPr>
      <w:r>
        <w:rPr>
          <w:rFonts w:ascii="Arial" w:cs="Arial" w:eastAsia="Arial" w:hAnsi="Arial"/>
          <w:sz w:val="23"/>
          <w:szCs w:val="23"/>
          <w:b w:val="1"/>
          <w:bCs w:val="1"/>
          <w:color w:val="auto"/>
        </w:rPr>
        <w:t>Compensation and Talent Committee Consultants</w:t>
      </w:r>
    </w:p>
    <w:p>
      <w:pPr>
        <w:spacing w:after="0" w:line="141" w:lineRule="exact"/>
        <w:rPr>
          <w:sz w:val="20"/>
          <w:szCs w:val="20"/>
          <w:color w:val="auto"/>
        </w:rPr>
      </w:pPr>
    </w:p>
    <w:p>
      <w:pPr>
        <w:ind w:right="140"/>
        <w:spacing w:after="0" w:line="257" w:lineRule="auto"/>
        <w:rPr>
          <w:sz w:val="20"/>
          <w:szCs w:val="20"/>
          <w:color w:val="auto"/>
        </w:rPr>
      </w:pPr>
      <w:r>
        <w:rPr>
          <w:rFonts w:ascii="Arial" w:cs="Arial" w:eastAsia="Arial" w:hAnsi="Arial"/>
          <w:sz w:val="18"/>
          <w:szCs w:val="18"/>
          <w:color w:val="auto"/>
        </w:rPr>
        <w:t>The Compensation and Talent Committee has the authority, in its sole discretion, to retain or obtain the advice of any independent legal, accounting, or other advisors it deems necessary or appropriate to carry out its responsibilities. The Compensation and Talent Committee is empowered, without further action by the Board of Directors, to cause ADI to pay the compensation of these advisors as established by the Compensation and Talent Committee. The Compensation and Talent Committee continued to use Pearl Meyer as its independent compensation consultant for fiscal year 2025 because of Pearl Meyer’s experience working with our Compensation and Talent Committee and with compensation committees at other technology companies.</w:t>
      </w:r>
    </w:p>
    <w:p>
      <w:pPr>
        <w:spacing w:after="0" w:line="74"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As part of its annual process, the Compensation and Talent Committee considered the independence factors that are identified in the Nasdaq Rules when selecting and retaining its advisors. Specifically, when our Compensation and Talent Committee appointed Pearl Meyer for fiscal year 2025, it analyzed whether Pearl Meyer’s role raised any conflicts of interest by considering the following factors: (i) Pearl Meyer does not provide any services directly to ADI (although we pay Pearl Meyer on the Compensation and Talent Committee’s behalf), (ii) the percentage of Pearl Meyer’s total revenue resulting from fees paid by us on the Compensation and Talent Committee’s behalf, (iii) Pearl Meyer’s conflict of interest policies and procedures, (iv) any business or personal relationship between Pearl Meyer and an executive officer, or between Pearl Meyer’s individual compensation advisors and an executive officer or any member of our Compensation and Talent Committee, and (v) any ADI stock owned by Pearl Meyer or its individual compensation advisors. After considering these factors, the Compensation and Talent Committee determined that Pearl Meyer’s work did not create any conflicts of interest.</w:t>
      </w:r>
    </w:p>
    <w:p>
      <w:pPr>
        <w:spacing w:after="0" w:line="73"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Pearl Meyer reports directly to the Compensation and Talent Committee and assists the Compensation and Talent Committee in evaluating and designing our executive and director compensation program and policies. In connection with its work for the Compensation and Talent Committee, Pearl Meyer is invited to attend the Compensation and Talent Committee’s meetings and, upon request of the Compensation and Talent Committee, attends executive sessions of the Compensation and Talent Committee. For fiscal year 2025, Pearl Meyer assisted the Compensation and Talent Committee with matters, including:</w:t>
      </w:r>
    </w:p>
    <w:p>
      <w:pPr>
        <w:spacing w:after="0" w:line="71" w:lineRule="exact"/>
        <w:rPr>
          <w:sz w:val="20"/>
          <w:szCs w:val="20"/>
          <w:color w:val="auto"/>
        </w:rPr>
      </w:pPr>
    </w:p>
    <w:p>
      <w:pPr>
        <w:ind w:left="160" w:hanging="152"/>
        <w:spacing w:after="0"/>
        <w:tabs>
          <w:tab w:leader="none" w:pos="160" w:val="left"/>
        </w:tabs>
        <w:numPr>
          <w:ilvl w:val="0"/>
          <w:numId w:val="103"/>
        </w:numPr>
        <w:rPr>
          <w:rFonts w:ascii="Arial" w:cs="Arial" w:eastAsia="Arial" w:hAnsi="Arial"/>
          <w:sz w:val="13"/>
          <w:szCs w:val="13"/>
          <w:color w:val="0067B3"/>
        </w:rPr>
      </w:pPr>
      <w:r>
        <w:rPr>
          <w:rFonts w:ascii="Arial" w:cs="Arial" w:eastAsia="Arial" w:hAnsi="Arial"/>
          <w:sz w:val="18"/>
          <w:szCs w:val="18"/>
          <w:color w:val="auto"/>
        </w:rPr>
        <w:t>Defining a peer group of companies;</w:t>
      </w:r>
    </w:p>
    <w:p>
      <w:pPr>
        <w:spacing w:after="0" w:line="90" w:lineRule="exact"/>
        <w:rPr>
          <w:rFonts w:ascii="Arial" w:cs="Arial" w:eastAsia="Arial" w:hAnsi="Arial"/>
          <w:sz w:val="13"/>
          <w:szCs w:val="13"/>
          <w:color w:val="0067B3"/>
        </w:rPr>
      </w:pPr>
    </w:p>
    <w:p>
      <w:pPr>
        <w:ind w:left="160" w:hanging="152"/>
        <w:spacing w:after="0"/>
        <w:tabs>
          <w:tab w:leader="none" w:pos="160" w:val="left"/>
        </w:tabs>
        <w:numPr>
          <w:ilvl w:val="0"/>
          <w:numId w:val="103"/>
        </w:numPr>
        <w:rPr>
          <w:rFonts w:ascii="Arial" w:cs="Arial" w:eastAsia="Arial" w:hAnsi="Arial"/>
          <w:sz w:val="13"/>
          <w:szCs w:val="13"/>
          <w:color w:val="0067B3"/>
        </w:rPr>
      </w:pPr>
      <w:r>
        <w:rPr>
          <w:rFonts w:ascii="Arial" w:cs="Arial" w:eastAsia="Arial" w:hAnsi="Arial"/>
          <w:sz w:val="18"/>
          <w:szCs w:val="18"/>
          <w:color w:val="auto"/>
        </w:rPr>
        <w:t>Reviewing and validating the appropriateness of executive performance incentive plan goals;</w:t>
      </w:r>
    </w:p>
    <w:p>
      <w:pPr>
        <w:spacing w:after="0" w:line="76" w:lineRule="exact"/>
        <w:rPr>
          <w:rFonts w:ascii="Arial" w:cs="Arial" w:eastAsia="Arial" w:hAnsi="Arial"/>
          <w:sz w:val="13"/>
          <w:szCs w:val="13"/>
          <w:color w:val="0067B3"/>
        </w:rPr>
      </w:pPr>
    </w:p>
    <w:p>
      <w:pPr>
        <w:ind w:left="200" w:right="640" w:hanging="192"/>
        <w:spacing w:after="0" w:line="287" w:lineRule="auto"/>
        <w:tabs>
          <w:tab w:leader="none" w:pos="157" w:val="left"/>
        </w:tabs>
        <w:numPr>
          <w:ilvl w:val="0"/>
          <w:numId w:val="103"/>
        </w:numPr>
        <w:rPr>
          <w:rFonts w:ascii="Arial" w:cs="Arial" w:eastAsia="Arial" w:hAnsi="Arial"/>
          <w:sz w:val="13"/>
          <w:szCs w:val="13"/>
          <w:color w:val="0067B3"/>
        </w:rPr>
      </w:pPr>
      <w:r>
        <w:rPr>
          <w:rFonts w:ascii="Arial" w:cs="Arial" w:eastAsia="Arial" w:hAnsi="Arial"/>
          <w:sz w:val="18"/>
          <w:szCs w:val="18"/>
          <w:color w:val="auto"/>
        </w:rPr>
        <w:t>Providing market data and advice regarding executive and director compensation plan design, design of the executive performance incentive plan, and equity incentive mix and design;</w:t>
      </w:r>
    </w:p>
    <w:p>
      <w:pPr>
        <w:spacing w:after="0" w:line="4" w:lineRule="exact"/>
        <w:rPr>
          <w:rFonts w:ascii="Arial" w:cs="Arial" w:eastAsia="Arial" w:hAnsi="Arial"/>
          <w:sz w:val="13"/>
          <w:szCs w:val="13"/>
          <w:color w:val="0067B3"/>
        </w:rPr>
      </w:pPr>
    </w:p>
    <w:p>
      <w:pPr>
        <w:ind w:left="200" w:right="380" w:hanging="192"/>
        <w:spacing w:after="0" w:line="287" w:lineRule="auto"/>
        <w:tabs>
          <w:tab w:leader="none" w:pos="157" w:val="left"/>
        </w:tabs>
        <w:numPr>
          <w:ilvl w:val="0"/>
          <w:numId w:val="103"/>
        </w:numPr>
        <w:rPr>
          <w:rFonts w:ascii="Arial" w:cs="Arial" w:eastAsia="Arial" w:hAnsi="Arial"/>
          <w:sz w:val="13"/>
          <w:szCs w:val="13"/>
          <w:color w:val="0067B3"/>
        </w:rPr>
      </w:pPr>
      <w:r>
        <w:rPr>
          <w:rFonts w:ascii="Arial" w:cs="Arial" w:eastAsia="Arial" w:hAnsi="Arial"/>
          <w:sz w:val="18"/>
          <w:szCs w:val="18"/>
          <w:color w:val="auto"/>
        </w:rPr>
        <w:t>Conducting a detailed analysis of the competitiveness and appropriateness of ADI’s total executive compensation opportunity and total director compensation opportunity in comparison to our defined peer group;</w:t>
      </w:r>
    </w:p>
    <w:p>
      <w:pPr>
        <w:spacing w:after="0" w:line="17" w:lineRule="exact"/>
        <w:rPr>
          <w:rFonts w:ascii="Arial" w:cs="Arial" w:eastAsia="Arial" w:hAnsi="Arial"/>
          <w:sz w:val="13"/>
          <w:szCs w:val="13"/>
          <w:color w:val="0067B3"/>
        </w:rPr>
      </w:pPr>
    </w:p>
    <w:p>
      <w:pPr>
        <w:ind w:left="160" w:hanging="152"/>
        <w:spacing w:after="0"/>
        <w:tabs>
          <w:tab w:leader="none" w:pos="160" w:val="left"/>
        </w:tabs>
        <w:numPr>
          <w:ilvl w:val="0"/>
          <w:numId w:val="103"/>
        </w:numPr>
        <w:rPr>
          <w:rFonts w:ascii="Arial" w:cs="Arial" w:eastAsia="Arial" w:hAnsi="Arial"/>
          <w:sz w:val="13"/>
          <w:szCs w:val="13"/>
          <w:color w:val="0067B3"/>
        </w:rPr>
      </w:pPr>
      <w:r>
        <w:rPr>
          <w:rFonts w:ascii="Arial" w:cs="Arial" w:eastAsia="Arial" w:hAnsi="Arial"/>
          <w:sz w:val="18"/>
          <w:szCs w:val="18"/>
          <w:color w:val="auto"/>
        </w:rPr>
        <w:t>Conducting a risk assessment of our executive compensation programs; and</w:t>
      </w:r>
    </w:p>
    <w:p>
      <w:pPr>
        <w:spacing w:after="0" w:line="76" w:lineRule="exact"/>
        <w:rPr>
          <w:rFonts w:ascii="Arial" w:cs="Arial" w:eastAsia="Arial" w:hAnsi="Arial"/>
          <w:sz w:val="13"/>
          <w:szCs w:val="13"/>
          <w:color w:val="0067B3"/>
        </w:rPr>
      </w:pPr>
    </w:p>
    <w:p>
      <w:pPr>
        <w:ind w:left="200" w:right="320" w:hanging="192"/>
        <w:spacing w:after="0" w:line="287" w:lineRule="auto"/>
        <w:tabs>
          <w:tab w:leader="none" w:pos="157" w:val="left"/>
        </w:tabs>
        <w:numPr>
          <w:ilvl w:val="0"/>
          <w:numId w:val="103"/>
        </w:numPr>
        <w:rPr>
          <w:rFonts w:ascii="Arial" w:cs="Arial" w:eastAsia="Arial" w:hAnsi="Arial"/>
          <w:sz w:val="13"/>
          <w:szCs w:val="13"/>
          <w:color w:val="0067B3"/>
        </w:rPr>
      </w:pPr>
      <w:r>
        <w:rPr>
          <w:rFonts w:ascii="Arial" w:cs="Arial" w:eastAsia="Arial" w:hAnsi="Arial"/>
          <w:sz w:val="18"/>
          <w:szCs w:val="18"/>
          <w:color w:val="auto"/>
        </w:rPr>
        <w:t>Advising on regulatory changes and their potential impact on our executive compensation programs along with any other aspects of our compensation programs.</w:t>
      </w:r>
    </w:p>
    <w:p>
      <w:pPr>
        <w:spacing w:after="0" w:line="378" w:lineRule="exact"/>
        <w:rPr>
          <w:sz w:val="20"/>
          <w:szCs w:val="20"/>
          <w:color w:val="auto"/>
        </w:rPr>
      </w:pPr>
    </w:p>
    <w:tbl>
      <w:tblPr>
        <w:tblLayout w:type="fixed"/>
        <w:tblInd w:w="0" w:type="dxa"/>
        <w:tblCellMar>
          <w:top w:w="0" w:type="dxa"/>
          <w:left w:w="0" w:type="dxa"/>
          <w:bottom w:w="0" w:type="dxa"/>
          <w:right w:w="0" w:type="dxa"/>
        </w:tblCellMar>
      </w:tblPr>
      <w:tr>
        <w:trPr>
          <w:trHeight w:val="278"/>
        </w:trPr>
        <w:tc>
          <w:tcPr>
            <w:tcW w:w="10800" w:type="dxa"/>
            <w:vAlign w:val="bottom"/>
          </w:tcPr>
          <w:p>
            <w:pPr>
              <w:ind w:left="8980"/>
              <w:spacing w:after="0"/>
              <w:rPr>
                <w:sz w:val="20"/>
                <w:szCs w:val="20"/>
                <w:color w:val="auto"/>
              </w:rPr>
            </w:pPr>
            <w:r>
              <w:rPr>
                <w:rFonts w:ascii="Arial" w:cs="Arial" w:eastAsia="Arial" w:hAnsi="Arial"/>
                <w:sz w:val="16"/>
                <w:szCs w:val="16"/>
                <w:color w:val="0067B3"/>
              </w:rPr>
              <w:t>2026 Proxy Statement</w:t>
            </w:r>
          </w:p>
        </w:tc>
        <w:tc>
          <w:tcPr>
            <w:tcW w:w="440" w:type="dxa"/>
            <w:vAlign w:val="bottom"/>
          </w:tcPr>
          <w:p>
            <w:pPr>
              <w:jc w:val="right"/>
              <w:spacing w:after="0"/>
              <w:rPr>
                <w:sz w:val="20"/>
                <w:szCs w:val="20"/>
                <w:color w:val="auto"/>
              </w:rPr>
            </w:pPr>
            <w:r>
              <w:rPr>
                <w:rFonts w:ascii="Arial" w:cs="Arial" w:eastAsia="Arial" w:hAnsi="Arial"/>
                <w:sz w:val="20"/>
                <w:szCs w:val="20"/>
                <w:b w:val="1"/>
                <w:bCs w:val="1"/>
                <w:color w:val="auto"/>
              </w:rPr>
              <w:t>55</w:t>
            </w:r>
          </w:p>
        </w:tc>
      </w:tr>
      <w:tr>
        <w:trPr>
          <w:trHeight w:val="333"/>
        </w:trPr>
        <w:tc>
          <w:tcPr>
            <w:tcW w:w="1080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40" w:right="339" w:bottom="1440" w:gutter="0" w:footer="0" w:header="0"/>
        </w:sectPr>
      </w:pPr>
    </w:p>
    <w:bookmarkStart w:id="63" w:name="page64"/>
    <w:bookmarkEnd w:id="63"/>
    <w:p>
      <w:pPr>
        <w:spacing w:after="0"/>
        <w:rPr>
          <w:sz w:val="20"/>
          <w:szCs w:val="20"/>
          <w:color w:val="auto"/>
        </w:rPr>
      </w:pPr>
      <w:r>
        <w:rPr>
          <w:rFonts w:ascii="Arial" w:cs="Arial" w:eastAsia="Arial" w:hAnsi="Arial"/>
          <w:sz w:val="27"/>
          <w:szCs w:val="27"/>
          <w:b w:val="1"/>
          <w:bCs w:val="1"/>
          <w:color w:val="0067B3"/>
        </w:rPr>
        <w:t>Risks We Consider in Our Compensation Programs</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color w:val="auto"/>
        </w:rPr>
        <w:t>In fiscal year 2025, our Compensation and Talent Committee reviewed our incentive compensation programs, discussed the concept of risk</w:t>
      </w:r>
    </w:p>
    <w:p>
      <w:pPr>
        <w:spacing w:after="0" w:line="14" w:lineRule="exact"/>
        <w:rPr>
          <w:sz w:val="20"/>
          <w:szCs w:val="20"/>
          <w:color w:val="auto"/>
        </w:rPr>
      </w:pPr>
    </w:p>
    <w:p>
      <w:pPr>
        <w:ind w:right="160"/>
        <w:spacing w:after="0"/>
        <w:rPr>
          <w:sz w:val="20"/>
          <w:szCs w:val="20"/>
          <w:color w:val="auto"/>
        </w:rPr>
      </w:pPr>
      <w:r>
        <w:rPr>
          <w:rFonts w:ascii="Arial" w:cs="Arial" w:eastAsia="Arial" w:hAnsi="Arial"/>
          <w:sz w:val="17"/>
          <w:szCs w:val="17"/>
          <w:color w:val="auto"/>
        </w:rPr>
        <w:t>as it relates to our compensation programs, considered various mitigating factors, and reviewed these items with its independent compensation consultant, Pearl Meyer. In addition, our Compensation and Talent Committee asked Pearl Meyer to conduct an independent</w:t>
      </w:r>
    </w:p>
    <w:p>
      <w:pPr>
        <w:spacing w:after="0" w:line="235" w:lineRule="auto"/>
        <w:rPr>
          <w:sz w:val="20"/>
          <w:szCs w:val="20"/>
          <w:color w:val="auto"/>
        </w:rPr>
      </w:pPr>
      <w:r>
        <w:rPr>
          <w:rFonts w:ascii="Arial" w:cs="Arial" w:eastAsia="Arial" w:hAnsi="Arial"/>
          <w:sz w:val="18"/>
          <w:szCs w:val="18"/>
          <w:color w:val="auto"/>
        </w:rPr>
        <w:t>risk assessment of our executive compensation programs. Based on these reviews and discussions, the Compensation and Talent</w:t>
      </w:r>
    </w:p>
    <w:p>
      <w:pPr>
        <w:ind w:right="140"/>
        <w:spacing w:after="0"/>
        <w:rPr>
          <w:sz w:val="20"/>
          <w:szCs w:val="20"/>
          <w:color w:val="auto"/>
        </w:rPr>
      </w:pPr>
      <w:r>
        <w:rPr>
          <w:rFonts w:ascii="Arial" w:cs="Arial" w:eastAsia="Arial" w:hAnsi="Arial"/>
          <w:sz w:val="17"/>
          <w:szCs w:val="17"/>
          <w:color w:val="auto"/>
        </w:rPr>
        <w:t>Committee does not believe that any risks arising from our employee compensation policies and practices are reasonably likely to have a material adverse effect on ADI. Our Compensation and Talent Committee believes that any such risks are mitigated by the following factors,</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among others: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160655</wp:posOffset>
            </wp:positionV>
            <wp:extent cx="7132320" cy="4646295"/>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7132320" cy="4646295"/>
                    </a:xfrm>
                    <a:prstGeom prst="rect">
                      <a:avLst/>
                    </a:prstGeom>
                    <a:noFill/>
                  </pic:spPr>
                </pic:pic>
              </a:graphicData>
            </a:graphic>
          </wp:anchor>
        </w:drawing>
      </w:r>
    </w:p>
    <w:p>
      <w:pPr>
        <w:sectPr>
          <w:pgSz w:w="11900" w:h="16838" w:orient="portrait"/>
          <w:cols w:equalWidth="0" w:num="1">
            <w:col w:w="11240"/>
          </w:cols>
          <w:pgMar w:left="320" w:top="1271" w:right="339" w:bottom="179" w:gutter="0" w:footer="0" w:header="0"/>
        </w:sectPr>
      </w:pPr>
    </w:p>
    <w:p>
      <w:pPr>
        <w:spacing w:after="0" w:line="356" w:lineRule="exact"/>
        <w:rPr>
          <w:sz w:val="20"/>
          <w:szCs w:val="20"/>
          <w:color w:val="auto"/>
        </w:rPr>
      </w:pPr>
    </w:p>
    <w:p>
      <w:pPr>
        <w:ind w:left="80"/>
        <w:spacing w:after="0"/>
        <w:rPr>
          <w:sz w:val="20"/>
          <w:szCs w:val="20"/>
          <w:color w:val="auto"/>
        </w:rPr>
      </w:pPr>
      <w:r>
        <w:rPr>
          <w:rFonts w:ascii="Arial" w:cs="Arial" w:eastAsia="Arial" w:hAnsi="Arial"/>
          <w:sz w:val="18"/>
          <w:szCs w:val="18"/>
          <w:b w:val="1"/>
          <w:bCs w:val="1"/>
          <w:color w:val="FFFFFF"/>
        </w:rPr>
        <w:t>Pay Mix /</w:t>
      </w:r>
    </w:p>
    <w:p>
      <w:pPr>
        <w:spacing w:after="0" w:line="27" w:lineRule="exact"/>
        <w:rPr>
          <w:sz w:val="20"/>
          <w:szCs w:val="20"/>
          <w:color w:val="auto"/>
        </w:rPr>
      </w:pPr>
    </w:p>
    <w:p>
      <w:pPr>
        <w:ind w:left="80"/>
        <w:spacing w:after="0"/>
        <w:rPr>
          <w:sz w:val="20"/>
          <w:szCs w:val="20"/>
          <w:color w:val="auto"/>
        </w:rPr>
      </w:pPr>
      <w:r>
        <w:rPr>
          <w:rFonts w:ascii="Arial" w:cs="Arial" w:eastAsia="Arial" w:hAnsi="Arial"/>
          <w:sz w:val="18"/>
          <w:szCs w:val="18"/>
          <w:b w:val="1"/>
          <w:bCs w:val="1"/>
          <w:color w:val="FFFFFF"/>
        </w:rPr>
        <w:t>Structure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80"/>
        <w:spacing w:after="0"/>
        <w:rPr>
          <w:sz w:val="20"/>
          <w:szCs w:val="20"/>
          <w:color w:val="auto"/>
        </w:rPr>
      </w:pPr>
      <w:r>
        <w:rPr>
          <w:rFonts w:ascii="Arial" w:cs="Arial" w:eastAsia="Arial" w:hAnsi="Arial"/>
          <w:sz w:val="18"/>
          <w:szCs w:val="18"/>
          <w:b w:val="1"/>
          <w:bCs w:val="1"/>
          <w:color w:val="FFFFFF"/>
        </w:rPr>
        <w:t>Metrics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ind w:left="80" w:right="480"/>
        <w:spacing w:after="0" w:line="328" w:lineRule="auto"/>
        <w:rPr>
          <w:sz w:val="20"/>
          <w:szCs w:val="20"/>
          <w:color w:val="auto"/>
        </w:rPr>
      </w:pPr>
      <w:r>
        <w:rPr>
          <w:rFonts w:ascii="Arial" w:cs="Arial" w:eastAsia="Arial" w:hAnsi="Arial"/>
          <w:sz w:val="17"/>
          <w:szCs w:val="17"/>
          <w:b w:val="1"/>
          <w:bCs w:val="1"/>
          <w:color w:val="FFFFFF"/>
        </w:rPr>
        <w:t>Driving Profitability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left="80"/>
        <w:spacing w:after="0" w:line="328" w:lineRule="auto"/>
        <w:rPr>
          <w:sz w:val="20"/>
          <w:szCs w:val="20"/>
          <w:color w:val="auto"/>
        </w:rPr>
      </w:pPr>
      <w:r>
        <w:rPr>
          <w:rFonts w:ascii="Arial" w:cs="Arial" w:eastAsia="Arial" w:hAnsi="Arial"/>
          <w:sz w:val="17"/>
          <w:szCs w:val="17"/>
          <w:b w:val="1"/>
          <w:bCs w:val="1"/>
          <w:color w:val="FFFFFF"/>
        </w:rPr>
        <w:t>Stock Ownership Guidelines</w:t>
      </w:r>
    </w:p>
    <w:p>
      <w:pPr>
        <w:spacing w:after="0" w:line="20" w:lineRule="exact"/>
        <w:rPr>
          <w:sz w:val="20"/>
          <w:szCs w:val="20"/>
          <w:color w:val="auto"/>
        </w:rPr>
      </w:pPr>
      <w:r>
        <w:rPr>
          <w:sz w:val="20"/>
          <w:szCs w:val="20"/>
          <w:color w:val="auto"/>
        </w:rPr>
        <w:br w:type="column"/>
      </w:r>
    </w:p>
    <w:p>
      <w:pPr>
        <w:spacing w:after="0" w:line="390" w:lineRule="exact"/>
        <w:rPr>
          <w:sz w:val="20"/>
          <w:szCs w:val="20"/>
          <w:color w:val="auto"/>
        </w:rPr>
      </w:pPr>
    </w:p>
    <w:p>
      <w:pPr>
        <w:spacing w:after="0"/>
        <w:rPr>
          <w:sz w:val="20"/>
          <w:szCs w:val="20"/>
          <w:color w:val="auto"/>
        </w:rPr>
      </w:pPr>
      <w:r>
        <w:rPr>
          <w:rFonts w:ascii="Arial" w:cs="Arial" w:eastAsia="Arial" w:hAnsi="Arial"/>
          <w:sz w:val="18"/>
          <w:szCs w:val="18"/>
          <w:color w:val="auto"/>
        </w:rPr>
        <w:t>We structure our pay to consist of both fixed and variable compensation with short- and long-term horizons. We believe</w:t>
      </w:r>
    </w:p>
    <w:p>
      <w:pPr>
        <w:spacing w:after="0" w:line="14" w:lineRule="exact"/>
        <w:rPr>
          <w:sz w:val="20"/>
          <w:szCs w:val="20"/>
          <w:color w:val="auto"/>
        </w:rPr>
      </w:pPr>
    </w:p>
    <w:p>
      <w:pPr>
        <w:ind w:right="20"/>
        <w:spacing w:after="0"/>
        <w:rPr>
          <w:sz w:val="20"/>
          <w:szCs w:val="20"/>
          <w:color w:val="auto"/>
        </w:rPr>
      </w:pPr>
      <w:r>
        <w:rPr>
          <w:rFonts w:ascii="Arial" w:cs="Arial" w:eastAsia="Arial" w:hAnsi="Arial"/>
          <w:sz w:val="17"/>
          <w:szCs w:val="17"/>
          <w:color w:val="auto"/>
        </w:rPr>
        <w:t>that the variable elements of compensation, which represented 95% and 90% of the total target compensation for our CEO and other NEOs, respectively, for fiscal year 2025, are a sufficient percentage of overall compensation to motivate</w:t>
      </w:r>
    </w:p>
    <w:p>
      <w:pPr>
        <w:spacing w:after="0" w:line="235" w:lineRule="auto"/>
        <w:rPr>
          <w:sz w:val="20"/>
          <w:szCs w:val="20"/>
          <w:color w:val="auto"/>
        </w:rPr>
      </w:pPr>
      <w:r>
        <w:rPr>
          <w:rFonts w:ascii="Arial" w:cs="Arial" w:eastAsia="Arial" w:hAnsi="Arial"/>
          <w:sz w:val="18"/>
          <w:szCs w:val="18"/>
          <w:color w:val="auto"/>
        </w:rPr>
        <w:t>executives to produce superior short- and long-term corporate results and to achieve company goals, while the fixed</w:t>
      </w:r>
    </w:p>
    <w:p>
      <w:pPr>
        <w:ind w:right="60"/>
        <w:spacing w:after="0" w:line="237" w:lineRule="auto"/>
        <w:rPr>
          <w:sz w:val="20"/>
          <w:szCs w:val="20"/>
          <w:color w:val="auto"/>
        </w:rPr>
      </w:pPr>
      <w:r>
        <w:rPr>
          <w:rFonts w:ascii="Arial" w:cs="Arial" w:eastAsia="Arial" w:hAnsi="Arial"/>
          <w:sz w:val="18"/>
          <w:szCs w:val="18"/>
          <w:color w:val="auto"/>
        </w:rPr>
        <w:t>element is also sufficiently high that the executives are not encouraged to take unnecessary or excessive risks in doing so.</w:t>
      </w:r>
    </w:p>
    <w:p>
      <w:pPr>
        <w:spacing w:after="0" w:line="356" w:lineRule="exact"/>
        <w:rPr>
          <w:sz w:val="20"/>
          <w:szCs w:val="20"/>
          <w:color w:val="auto"/>
        </w:rPr>
      </w:pPr>
    </w:p>
    <w:p>
      <w:pPr>
        <w:spacing w:after="0"/>
        <w:rPr>
          <w:sz w:val="20"/>
          <w:szCs w:val="20"/>
          <w:color w:val="auto"/>
        </w:rPr>
      </w:pPr>
      <w:r>
        <w:rPr>
          <w:rFonts w:ascii="Arial" w:cs="Arial" w:eastAsia="Arial" w:hAnsi="Arial"/>
          <w:sz w:val="18"/>
          <w:szCs w:val="18"/>
          <w:color w:val="auto"/>
        </w:rPr>
        <w:t>We believe that our focus on both OPBT margin and year-over-year revenue growth through our executive</w:t>
      </w:r>
    </w:p>
    <w:p>
      <w:pPr>
        <w:spacing w:after="0" w:line="14" w:lineRule="exact"/>
        <w:rPr>
          <w:sz w:val="20"/>
          <w:szCs w:val="20"/>
          <w:color w:val="auto"/>
        </w:rPr>
      </w:pPr>
    </w:p>
    <w:p>
      <w:pPr>
        <w:ind w:right="440"/>
        <w:spacing w:after="0"/>
        <w:rPr>
          <w:sz w:val="20"/>
          <w:szCs w:val="20"/>
          <w:color w:val="auto"/>
        </w:rPr>
      </w:pPr>
      <w:r>
        <w:rPr>
          <w:rFonts w:ascii="Arial" w:cs="Arial" w:eastAsia="Arial" w:hAnsi="Arial"/>
          <w:sz w:val="17"/>
          <w:szCs w:val="17"/>
          <w:color w:val="auto"/>
        </w:rPr>
        <w:t>performance incentive plan, and non-GAAP operating profit and stock price performance through our equity compensation program, provides a check on excessive short-term risk taking. That is, even if our executives could</w:t>
      </w:r>
    </w:p>
    <w:p>
      <w:pPr>
        <w:spacing w:after="0" w:line="235" w:lineRule="auto"/>
        <w:rPr>
          <w:sz w:val="20"/>
          <w:szCs w:val="20"/>
          <w:color w:val="auto"/>
        </w:rPr>
      </w:pPr>
      <w:r>
        <w:rPr>
          <w:rFonts w:ascii="Arial" w:cs="Arial" w:eastAsia="Arial" w:hAnsi="Arial"/>
          <w:sz w:val="18"/>
          <w:szCs w:val="18"/>
          <w:color w:val="auto"/>
        </w:rPr>
        <w:t>inappropriately increase OPBT margin or revenue by excessively reducing expenses or adding new revenue sources</w:t>
      </w:r>
    </w:p>
    <w:p>
      <w:pPr>
        <w:ind w:right="40"/>
        <w:spacing w:after="0"/>
        <w:rPr>
          <w:sz w:val="20"/>
          <w:szCs w:val="20"/>
          <w:color w:val="auto"/>
        </w:rPr>
      </w:pPr>
      <w:r>
        <w:rPr>
          <w:rFonts w:ascii="Arial" w:cs="Arial" w:eastAsia="Arial" w:hAnsi="Arial"/>
          <w:sz w:val="17"/>
          <w:szCs w:val="17"/>
          <w:color w:val="auto"/>
        </w:rPr>
        <w:t>that are inconsistent with our business model, this could ultimately harm our stock price and the value of their equity awards. Conversely, if our executives were to add revenue sources at low margins in order to generate a higher growth</w:t>
      </w:r>
    </w:p>
    <w:p>
      <w:pPr>
        <w:spacing w:after="0" w:line="235" w:lineRule="auto"/>
        <w:rPr>
          <w:sz w:val="20"/>
          <w:szCs w:val="20"/>
          <w:color w:val="auto"/>
        </w:rPr>
      </w:pPr>
      <w:r>
        <w:rPr>
          <w:rFonts w:ascii="Arial" w:cs="Arial" w:eastAsia="Arial" w:hAnsi="Arial"/>
          <w:sz w:val="18"/>
          <w:szCs w:val="18"/>
          <w:color w:val="auto"/>
        </w:rPr>
        <w:t>multiple and increased stock prices, it could decrease OPBT margin and the value of their variable cash incentive</w:t>
      </w:r>
    </w:p>
    <w:p>
      <w:pPr>
        <w:ind w:right="80"/>
        <w:spacing w:after="0"/>
        <w:rPr>
          <w:sz w:val="20"/>
          <w:szCs w:val="20"/>
          <w:color w:val="auto"/>
        </w:rPr>
      </w:pPr>
      <w:r>
        <w:rPr>
          <w:rFonts w:ascii="Arial" w:cs="Arial" w:eastAsia="Arial" w:hAnsi="Arial"/>
          <w:sz w:val="17"/>
          <w:szCs w:val="17"/>
          <w:color w:val="auto"/>
        </w:rPr>
        <w:t>payments. Our OPBT margin and year-over-year revenue growth targets are applicable to our executives and employees alike, which we believe encourages consistent behavior across the organization, and reflects goals that are</w:t>
      </w:r>
    </w:p>
    <w:p>
      <w:pPr>
        <w:spacing w:after="0" w:line="235" w:lineRule="auto"/>
        <w:rPr>
          <w:sz w:val="20"/>
          <w:szCs w:val="20"/>
          <w:color w:val="auto"/>
        </w:rPr>
      </w:pPr>
      <w:r>
        <w:rPr>
          <w:rFonts w:ascii="Arial" w:cs="Arial" w:eastAsia="Arial" w:hAnsi="Arial"/>
          <w:sz w:val="18"/>
          <w:szCs w:val="18"/>
          <w:color w:val="auto"/>
        </w:rPr>
        <w:t>challenging, but not so high that they require performance outside of what the Compensation and Talent Committee</w:t>
      </w:r>
    </w:p>
    <w:p>
      <w:pPr>
        <w:ind w:right="460"/>
        <w:spacing w:after="0" w:line="237" w:lineRule="auto"/>
        <w:rPr>
          <w:sz w:val="20"/>
          <w:szCs w:val="20"/>
          <w:color w:val="auto"/>
        </w:rPr>
      </w:pPr>
      <w:r>
        <w:rPr>
          <w:rFonts w:ascii="Arial" w:cs="Arial" w:eastAsia="Arial" w:hAnsi="Arial"/>
          <w:sz w:val="18"/>
          <w:szCs w:val="18"/>
          <w:color w:val="auto"/>
        </w:rPr>
        <w:t>believes is reasonable for us or could motivate our executives and employees to take actions in which we assume unreasonable levels of risk.</w:t>
      </w:r>
    </w:p>
    <w:p>
      <w:pPr>
        <w:spacing w:after="0" w:line="356" w:lineRule="exact"/>
        <w:rPr>
          <w:sz w:val="20"/>
          <w:szCs w:val="20"/>
          <w:color w:val="auto"/>
        </w:rPr>
      </w:pPr>
    </w:p>
    <w:p>
      <w:pPr>
        <w:spacing w:after="0"/>
        <w:rPr>
          <w:sz w:val="20"/>
          <w:szCs w:val="20"/>
          <w:color w:val="auto"/>
        </w:rPr>
      </w:pPr>
      <w:r>
        <w:rPr>
          <w:rFonts w:ascii="Arial" w:cs="Arial" w:eastAsia="Arial" w:hAnsi="Arial"/>
          <w:sz w:val="18"/>
          <w:szCs w:val="18"/>
          <w:color w:val="auto"/>
        </w:rPr>
        <w:t>We cap our variable cash incentive payout factors. Even if we dramatically exceed our OPBT margin or year-over-year</w:t>
      </w:r>
    </w:p>
    <w:p>
      <w:pPr>
        <w:spacing w:after="0" w:line="14" w:lineRule="exact"/>
        <w:rPr>
          <w:sz w:val="20"/>
          <w:szCs w:val="20"/>
          <w:color w:val="auto"/>
        </w:rPr>
      </w:pPr>
    </w:p>
    <w:p>
      <w:pPr>
        <w:ind w:right="180"/>
        <w:spacing w:after="0"/>
        <w:rPr>
          <w:sz w:val="20"/>
          <w:szCs w:val="20"/>
          <w:color w:val="auto"/>
        </w:rPr>
      </w:pPr>
      <w:r>
        <w:rPr>
          <w:rFonts w:ascii="Arial" w:cs="Arial" w:eastAsia="Arial" w:hAnsi="Arial"/>
          <w:sz w:val="17"/>
          <w:szCs w:val="17"/>
          <w:color w:val="auto"/>
        </w:rPr>
        <w:t>revenue growth targets, variable cash incentive payments are limited. In fiscal year 2025, the variable cash incentive payment factor cap under our executive performance incentive plan was 2.5x target. Conversely, we also have a floor</w:t>
      </w:r>
    </w:p>
    <w:p>
      <w:pPr>
        <w:spacing w:after="0" w:line="235" w:lineRule="auto"/>
        <w:rPr>
          <w:sz w:val="20"/>
          <w:szCs w:val="20"/>
          <w:color w:val="auto"/>
        </w:rPr>
      </w:pPr>
      <w:r>
        <w:rPr>
          <w:rFonts w:ascii="Arial" w:cs="Arial" w:eastAsia="Arial" w:hAnsi="Arial"/>
          <w:sz w:val="18"/>
          <w:szCs w:val="18"/>
          <w:color w:val="auto"/>
        </w:rPr>
        <w:t>on the OPBT margin target so that profitability at or below a certain level will result in no variable cash incentive</w:t>
      </w:r>
    </w:p>
    <w:p>
      <w:pPr>
        <w:ind w:right="640"/>
        <w:spacing w:after="0" w:line="237" w:lineRule="auto"/>
        <w:rPr>
          <w:sz w:val="20"/>
          <w:szCs w:val="20"/>
          <w:color w:val="auto"/>
        </w:rPr>
      </w:pPr>
      <w:r>
        <w:rPr>
          <w:rFonts w:ascii="Arial" w:cs="Arial" w:eastAsia="Arial" w:hAnsi="Arial"/>
          <w:sz w:val="18"/>
          <w:szCs w:val="18"/>
          <w:color w:val="auto"/>
        </w:rPr>
        <w:t>payments for that performance period, regardless of revenue growth levels. We believe this avoids incentivizing management to drive revenue levels without regard to profitability.</w:t>
      </w:r>
    </w:p>
    <w:p>
      <w:pPr>
        <w:spacing w:after="0" w:line="356" w:lineRule="exact"/>
        <w:rPr>
          <w:sz w:val="20"/>
          <w:szCs w:val="20"/>
          <w:color w:val="auto"/>
        </w:rPr>
      </w:pPr>
    </w:p>
    <w:p>
      <w:pPr>
        <w:ind w:right="160"/>
        <w:spacing w:after="0" w:line="271" w:lineRule="auto"/>
        <w:rPr>
          <w:sz w:val="20"/>
          <w:szCs w:val="20"/>
          <w:color w:val="auto"/>
        </w:rPr>
      </w:pPr>
      <w:r>
        <w:rPr>
          <w:rFonts w:ascii="Arial" w:cs="Arial" w:eastAsia="Arial" w:hAnsi="Arial"/>
          <w:sz w:val="18"/>
          <w:szCs w:val="18"/>
          <w:color w:val="auto"/>
        </w:rPr>
        <w:t>Our stock ownership guidelines provide an incentive for management to consider ADI’s long-term interests because a portion of their personal investment portfolio consists of ADI stock.</w:t>
      </w:r>
    </w:p>
    <w:p>
      <w:pPr>
        <w:spacing w:after="0" w:line="212" w:lineRule="exact"/>
        <w:rPr>
          <w:sz w:val="20"/>
          <w:szCs w:val="20"/>
          <w:color w:val="auto"/>
        </w:rPr>
      </w:pPr>
    </w:p>
    <w:p>
      <w:pPr>
        <w:sectPr>
          <w:pgSz w:w="11900" w:h="16838" w:orient="portrait"/>
          <w:cols w:equalWidth="0" w:num="2">
            <w:col w:w="1540" w:space="200"/>
            <w:col w:w="9500"/>
          </w:cols>
          <w:pgMar w:left="320" w:top="1271" w:right="339" w:bottom="179"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spacing w:after="0"/>
        <w:rPr>
          <w:sz w:val="20"/>
          <w:szCs w:val="20"/>
          <w:color w:val="auto"/>
        </w:rPr>
      </w:pPr>
      <w:r>
        <w:rPr>
          <w:rFonts w:ascii="Arial" w:cs="Arial" w:eastAsia="Arial" w:hAnsi="Arial"/>
          <w:sz w:val="32"/>
          <w:szCs w:val="32"/>
          <w:b w:val="1"/>
          <w:bCs w:val="1"/>
          <w:color w:val="auto"/>
        </w:rPr>
        <w:t>Additional Compensation Policies</w:t>
      </w:r>
    </w:p>
    <w:p>
      <w:pPr>
        <w:spacing w:after="0" w:line="213" w:lineRule="exact"/>
        <w:rPr>
          <w:sz w:val="20"/>
          <w:szCs w:val="20"/>
          <w:color w:val="auto"/>
        </w:rPr>
      </w:pPr>
    </w:p>
    <w:p>
      <w:pPr>
        <w:spacing w:after="0"/>
        <w:rPr>
          <w:sz w:val="20"/>
          <w:szCs w:val="20"/>
          <w:color w:val="auto"/>
        </w:rPr>
      </w:pPr>
      <w:r>
        <w:rPr>
          <w:rFonts w:ascii="Arial" w:cs="Arial" w:eastAsia="Arial" w:hAnsi="Arial"/>
          <w:sz w:val="27"/>
          <w:szCs w:val="27"/>
          <w:b w:val="1"/>
          <w:bCs w:val="1"/>
          <w:color w:val="0067B3"/>
        </w:rPr>
        <w:t>Executive Stock Ownership Guidelines</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color w:val="auto"/>
        </w:rPr>
        <w:t>Under our guidelines, the target stock ownership levels are:</w:t>
      </w: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720" w:type="dxa"/>
            <w:vAlign w:val="bottom"/>
            <w:gridSpan w:val="2"/>
            <w:shd w:val="clear" w:color="auto" w:fill="0067B3"/>
          </w:tcPr>
          <w:p>
            <w:pPr>
              <w:ind w:left="20"/>
              <w:spacing w:after="0"/>
              <w:rPr>
                <w:sz w:val="20"/>
                <w:szCs w:val="20"/>
                <w:color w:val="auto"/>
              </w:rPr>
            </w:pPr>
            <w:r>
              <w:rPr>
                <w:rFonts w:ascii="Arial" w:cs="Arial" w:eastAsia="Arial" w:hAnsi="Arial"/>
                <w:sz w:val="16"/>
                <w:szCs w:val="16"/>
                <w:b w:val="1"/>
                <w:bCs w:val="1"/>
                <w:color w:val="FFFFFF"/>
              </w:rPr>
              <w:t>Position</w:t>
            </w:r>
          </w:p>
        </w:tc>
        <w:tc>
          <w:tcPr>
            <w:tcW w:w="6520" w:type="dxa"/>
            <w:vAlign w:val="bottom"/>
            <w:gridSpan w:val="2"/>
            <w:shd w:val="clear" w:color="auto" w:fill="0067B3"/>
          </w:tcPr>
          <w:p>
            <w:pPr>
              <w:ind w:left="280"/>
              <w:spacing w:after="0"/>
              <w:rPr>
                <w:sz w:val="20"/>
                <w:szCs w:val="20"/>
                <w:color w:val="auto"/>
              </w:rPr>
            </w:pPr>
            <w:r>
              <w:rPr>
                <w:rFonts w:ascii="Arial" w:cs="Arial" w:eastAsia="Arial" w:hAnsi="Arial"/>
                <w:sz w:val="16"/>
                <w:szCs w:val="16"/>
                <w:b w:val="1"/>
                <w:bCs w:val="1"/>
                <w:color w:val="FFFFFF"/>
              </w:rPr>
              <w:t>Multiple</w:t>
            </w:r>
          </w:p>
        </w:tc>
      </w:tr>
      <w:tr>
        <w:trPr>
          <w:trHeight w:val="250"/>
        </w:trPr>
        <w:tc>
          <w:tcPr>
            <w:tcW w:w="4720" w:type="dxa"/>
            <w:vAlign w:val="bottom"/>
            <w:tcBorders>
              <w:bottom w:val="single" w:sz="8" w:color="E2E6F4"/>
            </w:tcBorders>
            <w:gridSpan w:val="2"/>
            <w:shd w:val="clear" w:color="auto" w:fill="E2E6F4"/>
          </w:tcPr>
          <w:p>
            <w:pPr>
              <w:ind w:left="20"/>
              <w:spacing w:after="0"/>
              <w:rPr>
                <w:sz w:val="20"/>
                <w:szCs w:val="20"/>
                <w:color w:val="auto"/>
              </w:rPr>
            </w:pPr>
            <w:r>
              <w:rPr>
                <w:rFonts w:ascii="Arial" w:cs="Arial" w:eastAsia="Arial" w:hAnsi="Arial"/>
                <w:sz w:val="18"/>
                <w:szCs w:val="18"/>
                <w:color w:val="auto"/>
              </w:rPr>
              <w:t>CEO</w:t>
            </w:r>
          </w:p>
        </w:tc>
        <w:tc>
          <w:tcPr>
            <w:tcW w:w="6520" w:type="dxa"/>
            <w:vAlign w:val="bottom"/>
            <w:tcBorders>
              <w:bottom w:val="single" w:sz="8" w:color="E2E6F4"/>
            </w:tcBorders>
            <w:gridSpan w:val="2"/>
            <w:shd w:val="clear" w:color="auto" w:fill="E2E6F4"/>
          </w:tcPr>
          <w:p>
            <w:pPr>
              <w:ind w:left="280"/>
              <w:spacing w:after="0"/>
              <w:rPr>
                <w:sz w:val="20"/>
                <w:szCs w:val="20"/>
                <w:color w:val="auto"/>
              </w:rPr>
            </w:pPr>
            <w:r>
              <w:rPr>
                <w:rFonts w:ascii="Arial" w:cs="Arial" w:eastAsia="Arial" w:hAnsi="Arial"/>
                <w:sz w:val="18"/>
                <w:szCs w:val="18"/>
                <w:color w:val="auto"/>
              </w:rPr>
              <w:t>5 times annual base salary</w:t>
            </w:r>
          </w:p>
        </w:tc>
      </w:tr>
      <w:tr>
        <w:trPr>
          <w:trHeight w:val="247"/>
        </w:trPr>
        <w:tc>
          <w:tcPr>
            <w:tcW w:w="4720" w:type="dxa"/>
            <w:vAlign w:val="bottom"/>
            <w:gridSpan w:val="2"/>
          </w:tcPr>
          <w:p>
            <w:pPr>
              <w:ind w:left="20"/>
              <w:spacing w:after="0"/>
              <w:rPr>
                <w:sz w:val="20"/>
                <w:szCs w:val="20"/>
                <w:color w:val="auto"/>
              </w:rPr>
            </w:pPr>
            <w:r>
              <w:rPr>
                <w:rFonts w:ascii="Arial" w:cs="Arial" w:eastAsia="Arial" w:hAnsi="Arial"/>
                <w:sz w:val="18"/>
                <w:szCs w:val="18"/>
                <w:color w:val="auto"/>
              </w:rPr>
              <w:t>Other members of the Leadership Team</w:t>
            </w:r>
          </w:p>
        </w:tc>
        <w:tc>
          <w:tcPr>
            <w:tcW w:w="6520" w:type="dxa"/>
            <w:vAlign w:val="bottom"/>
            <w:gridSpan w:val="2"/>
          </w:tcPr>
          <w:p>
            <w:pPr>
              <w:ind w:left="280"/>
              <w:spacing w:after="0"/>
              <w:rPr>
                <w:sz w:val="20"/>
                <w:szCs w:val="20"/>
                <w:color w:val="auto"/>
              </w:rPr>
            </w:pPr>
            <w:r>
              <w:rPr>
                <w:rFonts w:ascii="Arial" w:cs="Arial" w:eastAsia="Arial" w:hAnsi="Arial"/>
                <w:sz w:val="18"/>
                <w:szCs w:val="18"/>
                <w:color w:val="auto"/>
              </w:rPr>
              <w:t>3 times annual base salary</w:t>
            </w:r>
          </w:p>
        </w:tc>
      </w:tr>
      <w:tr>
        <w:trPr>
          <w:trHeight w:val="23"/>
        </w:trPr>
        <w:tc>
          <w:tcPr>
            <w:tcW w:w="4720" w:type="dxa"/>
            <w:vAlign w:val="bottom"/>
            <w:tcBorders>
              <w:bottom w:val="single" w:sz="8" w:color="0067B3"/>
            </w:tcBorders>
            <w:gridSpan w:val="2"/>
          </w:tcPr>
          <w:p>
            <w:pPr>
              <w:spacing w:after="0"/>
              <w:rPr>
                <w:sz w:val="2"/>
                <w:szCs w:val="2"/>
                <w:color w:val="auto"/>
              </w:rPr>
            </w:pPr>
          </w:p>
        </w:tc>
        <w:tc>
          <w:tcPr>
            <w:tcW w:w="6520" w:type="dxa"/>
            <w:vAlign w:val="bottom"/>
            <w:tcBorders>
              <w:bottom w:val="single" w:sz="8" w:color="0067B3"/>
            </w:tcBorders>
            <w:gridSpan w:val="2"/>
          </w:tcPr>
          <w:p>
            <w:pPr>
              <w:spacing w:after="0"/>
              <w:rPr>
                <w:sz w:val="2"/>
                <w:szCs w:val="2"/>
                <w:color w:val="auto"/>
              </w:rPr>
            </w:pPr>
          </w:p>
        </w:tc>
      </w:tr>
      <w:tr>
        <w:trPr>
          <w:trHeight w:val="317"/>
        </w:trPr>
        <w:tc>
          <w:tcPr>
            <w:tcW w:w="4720" w:type="dxa"/>
            <w:vAlign w:val="bottom"/>
            <w:gridSpan w:val="2"/>
          </w:tcPr>
          <w:p>
            <w:pPr>
              <w:spacing w:after="0"/>
              <w:rPr>
                <w:sz w:val="24"/>
                <w:szCs w:val="24"/>
                <w:color w:val="auto"/>
              </w:rPr>
            </w:pPr>
          </w:p>
        </w:tc>
        <w:tc>
          <w:tcPr>
            <w:tcW w:w="6520" w:type="dxa"/>
            <w:vAlign w:val="bottom"/>
            <w:gridSpan w:val="2"/>
          </w:tcPr>
          <w:p>
            <w:pPr>
              <w:spacing w:after="0"/>
              <w:rPr>
                <w:sz w:val="24"/>
                <w:szCs w:val="24"/>
                <w:color w:val="auto"/>
              </w:rPr>
            </w:pPr>
          </w:p>
        </w:tc>
      </w:tr>
      <w:tr>
        <w:trPr>
          <w:trHeight w:val="243"/>
        </w:trPr>
        <w:tc>
          <w:tcPr>
            <w:tcW w:w="4720" w:type="dxa"/>
            <w:vAlign w:val="bottom"/>
            <w:gridSpan w:val="2"/>
            <w:shd w:val="clear" w:color="auto" w:fill="0067B3"/>
          </w:tcPr>
          <w:p>
            <w:pPr>
              <w:ind w:left="20"/>
              <w:spacing w:after="0"/>
              <w:rPr>
                <w:sz w:val="20"/>
                <w:szCs w:val="20"/>
                <w:color w:val="auto"/>
              </w:rPr>
            </w:pPr>
            <w:r>
              <w:rPr>
                <w:rFonts w:ascii="Arial" w:cs="Arial" w:eastAsia="Arial" w:hAnsi="Arial"/>
                <w:sz w:val="16"/>
                <w:szCs w:val="16"/>
                <w:b w:val="1"/>
                <w:bCs w:val="1"/>
                <w:color w:val="FFFFFF"/>
              </w:rPr>
              <w:t>What Counts as Ownership</w:t>
            </w:r>
          </w:p>
        </w:tc>
        <w:tc>
          <w:tcPr>
            <w:tcW w:w="6520" w:type="dxa"/>
            <w:vAlign w:val="bottom"/>
            <w:gridSpan w:val="2"/>
            <w:shd w:val="clear" w:color="auto" w:fill="0067B3"/>
          </w:tcPr>
          <w:p>
            <w:pPr>
              <w:ind w:left="280"/>
              <w:spacing w:after="0"/>
              <w:rPr>
                <w:sz w:val="20"/>
                <w:szCs w:val="20"/>
                <w:color w:val="auto"/>
              </w:rPr>
            </w:pPr>
            <w:r>
              <w:rPr>
                <w:rFonts w:ascii="Arial" w:cs="Arial" w:eastAsia="Arial" w:hAnsi="Arial"/>
                <w:sz w:val="16"/>
                <w:szCs w:val="16"/>
                <w:b w:val="1"/>
                <w:bCs w:val="1"/>
                <w:color w:val="FFFFFF"/>
              </w:rPr>
              <w:t>What Does Not Count as Ownership</w:t>
            </w:r>
          </w:p>
        </w:tc>
      </w:tr>
      <w:tr>
        <w:trPr>
          <w:trHeight w:val="250"/>
        </w:trPr>
        <w:tc>
          <w:tcPr>
            <w:tcW w:w="140" w:type="dxa"/>
            <w:vAlign w:val="bottom"/>
            <w:tcBorders>
              <w:bottom w:val="single" w:sz="8" w:color="E2E6F4"/>
            </w:tcBorders>
            <w:shd w:val="clear" w:color="auto" w:fill="E2E6F4"/>
          </w:tcPr>
          <w:p>
            <w:pPr>
              <w:ind w:left="20"/>
              <w:spacing w:after="0"/>
              <w:rPr>
                <w:sz w:val="20"/>
                <w:szCs w:val="20"/>
                <w:color w:val="auto"/>
              </w:rPr>
            </w:pPr>
            <w:r>
              <w:rPr>
                <w:rFonts w:ascii="Arial" w:cs="Arial" w:eastAsia="Arial" w:hAnsi="Arial"/>
                <w:sz w:val="13"/>
                <w:szCs w:val="13"/>
                <w:color w:val="0067B3"/>
              </w:rPr>
              <w:t>u</w:t>
            </w:r>
          </w:p>
        </w:tc>
        <w:tc>
          <w:tcPr>
            <w:tcW w:w="4580" w:type="dxa"/>
            <w:vAlign w:val="bottom"/>
            <w:tcBorders>
              <w:bottom w:val="single" w:sz="8" w:color="E2E6F4"/>
            </w:tcBorders>
            <w:shd w:val="clear" w:color="auto" w:fill="E2E6F4"/>
          </w:tcPr>
          <w:p>
            <w:pPr>
              <w:ind w:left="40"/>
              <w:spacing w:after="0"/>
              <w:rPr>
                <w:sz w:val="20"/>
                <w:szCs w:val="20"/>
                <w:color w:val="auto"/>
              </w:rPr>
            </w:pPr>
            <w:r>
              <w:rPr>
                <w:rFonts w:ascii="Arial" w:cs="Arial" w:eastAsia="Arial" w:hAnsi="Arial"/>
                <w:sz w:val="18"/>
                <w:szCs w:val="18"/>
                <w:color w:val="auto"/>
              </w:rPr>
              <w:t>Time-based RSUs (whether or not vested)</w:t>
            </w:r>
          </w:p>
        </w:tc>
        <w:tc>
          <w:tcPr>
            <w:tcW w:w="380" w:type="dxa"/>
            <w:vAlign w:val="bottom"/>
            <w:tcBorders>
              <w:bottom w:val="single" w:sz="8" w:color="E2E6F4"/>
            </w:tcBorders>
            <w:shd w:val="clear" w:color="auto" w:fill="E2E6F4"/>
          </w:tcPr>
          <w:p>
            <w:pPr>
              <w:ind w:left="280"/>
              <w:spacing w:after="0"/>
              <w:rPr>
                <w:sz w:val="20"/>
                <w:szCs w:val="20"/>
                <w:color w:val="auto"/>
              </w:rPr>
            </w:pPr>
            <w:r>
              <w:rPr>
                <w:rFonts w:ascii="Arial" w:cs="Arial" w:eastAsia="Arial" w:hAnsi="Arial"/>
                <w:sz w:val="13"/>
                <w:szCs w:val="13"/>
                <w:color w:val="0067B3"/>
              </w:rPr>
              <w:t>u</w:t>
            </w:r>
          </w:p>
        </w:tc>
        <w:tc>
          <w:tcPr>
            <w:tcW w:w="6140" w:type="dxa"/>
            <w:vAlign w:val="bottom"/>
            <w:tcBorders>
              <w:bottom w:val="single" w:sz="8" w:color="E2E6F4"/>
            </w:tcBorders>
            <w:shd w:val="clear" w:color="auto" w:fill="E2E6F4"/>
          </w:tcPr>
          <w:p>
            <w:pPr>
              <w:ind w:left="40"/>
              <w:spacing w:after="0"/>
              <w:rPr>
                <w:sz w:val="20"/>
                <w:szCs w:val="20"/>
                <w:color w:val="auto"/>
              </w:rPr>
            </w:pPr>
            <w:r>
              <w:rPr>
                <w:rFonts w:ascii="Arial" w:cs="Arial" w:eastAsia="Arial" w:hAnsi="Arial"/>
                <w:sz w:val="18"/>
                <w:szCs w:val="18"/>
                <w:color w:val="auto"/>
              </w:rPr>
              <w:t>Shares subject to unexercised options, whether or not vested</w:t>
            </w:r>
          </w:p>
        </w:tc>
      </w:tr>
      <w:tr>
        <w:trPr>
          <w:trHeight w:val="305"/>
        </w:trPr>
        <w:tc>
          <w:tcPr>
            <w:tcW w:w="140" w:type="dxa"/>
            <w:vAlign w:val="bottom"/>
          </w:tcPr>
          <w:p>
            <w:pPr>
              <w:ind w:left="20"/>
              <w:spacing w:after="0"/>
              <w:rPr>
                <w:sz w:val="20"/>
                <w:szCs w:val="20"/>
                <w:color w:val="auto"/>
              </w:rPr>
            </w:pPr>
            <w:r>
              <w:rPr>
                <w:rFonts w:ascii="Arial" w:cs="Arial" w:eastAsia="Arial" w:hAnsi="Arial"/>
                <w:sz w:val="13"/>
                <w:szCs w:val="13"/>
                <w:color w:val="0067B3"/>
              </w:rPr>
              <w:t>u</w:t>
            </w:r>
          </w:p>
        </w:tc>
        <w:tc>
          <w:tcPr>
            <w:tcW w:w="4580" w:type="dxa"/>
            <w:vAlign w:val="bottom"/>
          </w:tcPr>
          <w:p>
            <w:pPr>
              <w:ind w:left="40"/>
              <w:spacing w:after="0"/>
              <w:rPr>
                <w:sz w:val="20"/>
                <w:szCs w:val="20"/>
                <w:color w:val="auto"/>
              </w:rPr>
            </w:pPr>
            <w:r>
              <w:rPr>
                <w:rFonts w:ascii="Arial" w:cs="Arial" w:eastAsia="Arial" w:hAnsi="Arial"/>
                <w:sz w:val="18"/>
                <w:szCs w:val="18"/>
                <w:color w:val="auto"/>
              </w:rPr>
              <w:t>Unvested PRSUs the performance of which has been</w:t>
            </w:r>
          </w:p>
        </w:tc>
        <w:tc>
          <w:tcPr>
            <w:tcW w:w="380" w:type="dxa"/>
            <w:vAlign w:val="bottom"/>
          </w:tcPr>
          <w:p>
            <w:pPr>
              <w:ind w:left="280"/>
              <w:spacing w:after="0"/>
              <w:rPr>
                <w:sz w:val="20"/>
                <w:szCs w:val="20"/>
                <w:color w:val="auto"/>
              </w:rPr>
            </w:pPr>
            <w:r>
              <w:rPr>
                <w:rFonts w:ascii="Arial" w:cs="Arial" w:eastAsia="Arial" w:hAnsi="Arial"/>
                <w:sz w:val="13"/>
                <w:szCs w:val="13"/>
                <w:color w:val="0067B3"/>
              </w:rPr>
              <w:t>u</w:t>
            </w:r>
          </w:p>
        </w:tc>
        <w:tc>
          <w:tcPr>
            <w:tcW w:w="6140" w:type="dxa"/>
            <w:vAlign w:val="bottom"/>
          </w:tcPr>
          <w:p>
            <w:pPr>
              <w:ind w:left="40"/>
              <w:spacing w:after="0"/>
              <w:rPr>
                <w:sz w:val="20"/>
                <w:szCs w:val="20"/>
                <w:color w:val="auto"/>
              </w:rPr>
            </w:pPr>
            <w:r>
              <w:rPr>
                <w:rFonts w:ascii="Arial" w:cs="Arial" w:eastAsia="Arial" w:hAnsi="Arial"/>
                <w:sz w:val="18"/>
                <w:szCs w:val="18"/>
                <w:color w:val="auto"/>
              </w:rPr>
              <w:t>Unvested PRSUs the performance of which has not yet been certified by the</w:t>
            </w:r>
          </w:p>
        </w:tc>
      </w:tr>
      <w:tr>
        <w:trPr>
          <w:trHeight w:val="239"/>
        </w:trPr>
        <w:tc>
          <w:tcPr>
            <w:tcW w:w="140" w:type="dxa"/>
            <w:vAlign w:val="bottom"/>
          </w:tcPr>
          <w:p>
            <w:pPr>
              <w:spacing w:after="0"/>
              <w:rPr>
                <w:sz w:val="20"/>
                <w:szCs w:val="20"/>
                <w:color w:val="auto"/>
              </w:rPr>
            </w:pPr>
          </w:p>
        </w:tc>
        <w:tc>
          <w:tcPr>
            <w:tcW w:w="4580" w:type="dxa"/>
            <w:vAlign w:val="bottom"/>
          </w:tcPr>
          <w:p>
            <w:pPr>
              <w:ind w:left="80"/>
              <w:spacing w:after="0"/>
              <w:rPr>
                <w:sz w:val="20"/>
                <w:szCs w:val="20"/>
                <w:color w:val="auto"/>
              </w:rPr>
            </w:pPr>
            <w:r>
              <w:rPr>
                <w:rFonts w:ascii="Arial" w:cs="Arial" w:eastAsia="Arial" w:hAnsi="Arial"/>
                <w:sz w:val="18"/>
                <w:szCs w:val="18"/>
                <w:color w:val="auto"/>
              </w:rPr>
              <w:t>certified by the Compensation and Talent Committee</w:t>
            </w:r>
          </w:p>
        </w:tc>
        <w:tc>
          <w:tcPr>
            <w:tcW w:w="380" w:type="dxa"/>
            <w:vAlign w:val="bottom"/>
          </w:tcPr>
          <w:p>
            <w:pPr>
              <w:spacing w:after="0"/>
              <w:rPr>
                <w:sz w:val="20"/>
                <w:szCs w:val="20"/>
                <w:color w:val="auto"/>
              </w:rPr>
            </w:pPr>
          </w:p>
        </w:tc>
        <w:tc>
          <w:tcPr>
            <w:tcW w:w="6140" w:type="dxa"/>
            <w:vAlign w:val="bottom"/>
          </w:tcPr>
          <w:p>
            <w:pPr>
              <w:ind w:left="80"/>
              <w:spacing w:after="0"/>
              <w:rPr>
                <w:sz w:val="20"/>
                <w:szCs w:val="20"/>
                <w:color w:val="auto"/>
              </w:rPr>
            </w:pPr>
            <w:r>
              <w:rPr>
                <w:rFonts w:ascii="Arial" w:cs="Arial" w:eastAsia="Arial" w:hAnsi="Arial"/>
                <w:sz w:val="18"/>
                <w:szCs w:val="18"/>
                <w:color w:val="auto"/>
              </w:rPr>
              <w:t>Compensation and Talent Committee</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57150</wp:posOffset>
            </wp:positionV>
            <wp:extent cx="7132320" cy="291465"/>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7132320" cy="291465"/>
                    </a:xfrm>
                    <a:prstGeom prst="rect">
                      <a:avLst/>
                    </a:prstGeom>
                    <a:noFill/>
                  </pic:spPr>
                </pic:pic>
              </a:graphicData>
            </a:graphic>
          </wp:anchor>
        </w:drawing>
      </w:r>
    </w:p>
    <w:p>
      <w:pPr>
        <w:spacing w:after="0" w:line="200" w:lineRule="exact"/>
        <w:rPr>
          <w:sz w:val="20"/>
          <w:szCs w:val="20"/>
          <w:color w:val="auto"/>
        </w:rPr>
      </w:pPr>
    </w:p>
    <w:p>
      <w:pPr>
        <w:ind w:left="180" w:hanging="154"/>
        <w:spacing w:after="0"/>
        <w:tabs>
          <w:tab w:leader="none" w:pos="180" w:val="left"/>
        </w:tabs>
        <w:numPr>
          <w:ilvl w:val="0"/>
          <w:numId w:val="104"/>
        </w:numPr>
        <w:rPr>
          <w:rFonts w:ascii="Arial" w:cs="Arial" w:eastAsia="Arial" w:hAnsi="Arial"/>
          <w:sz w:val="13"/>
          <w:szCs w:val="13"/>
          <w:color w:val="0067B3"/>
        </w:rPr>
      </w:pPr>
      <w:r>
        <w:rPr>
          <w:rFonts w:ascii="Arial" w:cs="Arial" w:eastAsia="Arial" w:hAnsi="Arial"/>
          <w:sz w:val="18"/>
          <w:szCs w:val="18"/>
          <w:color w:val="auto"/>
        </w:rPr>
        <w:t>Restricted stock (whether or not vested)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132320" cy="8890"/>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271" w:right="339" w:bottom="179"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ind w:left="640" w:hanging="614"/>
        <w:spacing w:after="0"/>
        <w:tabs>
          <w:tab w:leader="none" w:pos="640" w:val="left"/>
        </w:tabs>
        <w:numPr>
          <w:ilvl w:val="0"/>
          <w:numId w:val="105"/>
        </w:numPr>
        <w:rPr>
          <w:rFonts w:ascii="Arial" w:cs="Arial" w:eastAsia="Arial" w:hAnsi="Arial"/>
          <w:sz w:val="20"/>
          <w:szCs w:val="20"/>
          <w:b w:val="1"/>
          <w:bCs w:val="1"/>
          <w:color w:val="auto"/>
        </w:rPr>
      </w:pPr>
      <w:r>
        <w:rPr>
          <w:rFonts w:ascii="Arial" w:cs="Arial" w:eastAsia="Arial" w:hAnsi="Arial"/>
          <w:sz w:val="16"/>
          <w:szCs w:val="16"/>
          <w:color w:val="6D6E71"/>
        </w:rPr>
        <w:t>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186055</wp:posOffset>
            </wp:positionV>
            <wp:extent cx="7157720" cy="42545"/>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71" w:right="339" w:bottom="179" w:gutter="0" w:footer="0" w:header="0"/>
          <w:type w:val="continuous"/>
        </w:sectPr>
      </w:pPr>
    </w:p>
    <w:bookmarkStart w:id="64" w:name="page65"/>
    <w:bookmarkEnd w:id="64"/>
    <w:p>
      <w:pPr>
        <w:ind w:right="100"/>
        <w:spacing w:after="0" w:line="301" w:lineRule="auto"/>
        <w:rPr>
          <w:sz w:val="20"/>
          <w:szCs w:val="20"/>
          <w:color w:val="auto"/>
        </w:rPr>
      </w:pPr>
      <w:r>
        <w:rPr>
          <w:rFonts w:ascii="Arial" w:cs="Arial" w:eastAsia="Arial" w:hAnsi="Arial"/>
          <w:sz w:val="17"/>
          <w:szCs w:val="17"/>
          <w:color w:val="auto"/>
        </w:rPr>
        <w:t>The CEO has four years from the date of his or her appointment as CEO to achieve his or her targeted level. Members of the Leadership Team other than the CEO have five years from the date he or she becomes part of the Leadership Team to achieve his or her targeted level.</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All members of our Leadership Team as of November 1, 2025 were in compliance with our stock ownership guidelines.</w:t>
      </w:r>
    </w:p>
    <w:p>
      <w:pPr>
        <w:spacing w:after="0" w:line="134" w:lineRule="exact"/>
        <w:rPr>
          <w:sz w:val="20"/>
          <w:szCs w:val="20"/>
          <w:color w:val="auto"/>
        </w:rPr>
      </w:pPr>
    </w:p>
    <w:p>
      <w:pPr>
        <w:spacing w:after="0"/>
        <w:rPr>
          <w:sz w:val="20"/>
          <w:szCs w:val="20"/>
          <w:color w:val="auto"/>
        </w:rPr>
      </w:pPr>
      <w:r>
        <w:rPr>
          <w:rFonts w:ascii="Arial" w:cs="Arial" w:eastAsia="Arial" w:hAnsi="Arial"/>
          <w:sz w:val="27"/>
          <w:szCs w:val="27"/>
          <w:b w:val="1"/>
          <w:bCs w:val="1"/>
          <w:color w:val="0067B3"/>
        </w:rPr>
        <w:t>Compensation Recovery</w:t>
      </w:r>
    </w:p>
    <w:p>
      <w:pPr>
        <w:spacing w:after="0" w:line="132" w:lineRule="exact"/>
        <w:rPr>
          <w:sz w:val="20"/>
          <w:szCs w:val="20"/>
          <w:color w:val="auto"/>
        </w:rPr>
      </w:pPr>
    </w:p>
    <w:p>
      <w:pPr>
        <w:ind w:right="40"/>
        <w:spacing w:after="0" w:line="251" w:lineRule="auto"/>
        <w:rPr>
          <w:sz w:val="20"/>
          <w:szCs w:val="20"/>
          <w:color w:val="auto"/>
        </w:rPr>
      </w:pPr>
      <w:r>
        <w:rPr>
          <w:rFonts w:ascii="Arial" w:cs="Arial" w:eastAsia="Arial" w:hAnsi="Arial"/>
          <w:sz w:val="17"/>
          <w:szCs w:val="17"/>
          <w:color w:val="auto"/>
        </w:rPr>
        <w:t>Under the Sarbanes-Oxley Act, in the event of misconduct that results in an accounting restatement, our CEO and Chief Financial Officer are required to reimburse us for any bonus or other incentive-based or equity-based compensation they received and any profits realized from</w:t>
      </w:r>
    </w:p>
    <w:p>
      <w:pPr>
        <w:spacing w:after="0" w:line="235" w:lineRule="auto"/>
        <w:rPr>
          <w:sz w:val="20"/>
          <w:szCs w:val="20"/>
          <w:color w:val="auto"/>
        </w:rPr>
      </w:pPr>
      <w:r>
        <w:rPr>
          <w:rFonts w:ascii="Arial" w:cs="Arial" w:eastAsia="Arial" w:hAnsi="Arial"/>
          <w:sz w:val="18"/>
          <w:szCs w:val="18"/>
          <w:color w:val="auto"/>
        </w:rPr>
        <w:t>the sale of our common stock during the twelve months following the first public issuance or filing of the financial statements that require</w:t>
      </w:r>
    </w:p>
    <w:p>
      <w:pPr>
        <w:ind w:right="20"/>
        <w:spacing w:after="0" w:line="226" w:lineRule="auto"/>
        <w:rPr>
          <w:sz w:val="20"/>
          <w:szCs w:val="20"/>
          <w:color w:val="auto"/>
        </w:rPr>
      </w:pPr>
      <w:r>
        <w:rPr>
          <w:rFonts w:ascii="Arial" w:cs="Arial" w:eastAsia="Arial" w:hAnsi="Arial"/>
          <w:sz w:val="18"/>
          <w:szCs w:val="18"/>
          <w:color w:val="auto"/>
        </w:rPr>
        <w:t>restatement. In addition, the Compensation and Talent Committee adopted a compensation recovery policy in accordance with Rule 10D-1 of the Exchange Act and the Nasdaq Rules. The policy provides that in the event of an accounting restatement due to the material</w:t>
      </w:r>
    </w:p>
    <w:p>
      <w:pPr>
        <w:spacing w:after="0" w:line="236" w:lineRule="auto"/>
        <w:rPr>
          <w:sz w:val="20"/>
          <w:szCs w:val="20"/>
          <w:color w:val="auto"/>
        </w:rPr>
      </w:pPr>
      <w:r>
        <w:rPr>
          <w:rFonts w:ascii="Arial" w:cs="Arial" w:eastAsia="Arial" w:hAnsi="Arial"/>
          <w:sz w:val="18"/>
          <w:szCs w:val="18"/>
          <w:color w:val="auto"/>
        </w:rPr>
        <w:t>noncompliance of ADI with any financial reporting requirement under the U.S. federal securities laws, the company will attempt to recover</w:t>
      </w:r>
    </w:p>
    <w:p>
      <w:pPr>
        <w:spacing w:after="0" w:line="1" w:lineRule="exact"/>
        <w:rPr>
          <w:sz w:val="20"/>
          <w:szCs w:val="20"/>
          <w:color w:val="auto"/>
        </w:rPr>
      </w:pPr>
    </w:p>
    <w:p>
      <w:pPr>
        <w:ind w:right="80"/>
        <w:spacing w:after="0"/>
        <w:rPr>
          <w:sz w:val="20"/>
          <w:szCs w:val="20"/>
          <w:color w:val="auto"/>
        </w:rPr>
      </w:pPr>
      <w:r>
        <w:rPr>
          <w:rFonts w:ascii="Arial" w:cs="Arial" w:eastAsia="Arial" w:hAnsi="Arial"/>
          <w:sz w:val="17"/>
          <w:szCs w:val="17"/>
          <w:color w:val="auto"/>
        </w:rPr>
        <w:t>from our CEO and other officers (as defined in Rule 16a-1(f) under the Exchange Act), the excess of the amount of incentive-based compensation received by such officer during the three completed fiscal years immediately preceding the required restatement date over the</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amount of incentive-based compensation that otherwise would have been received had it been determined based on the restated amounts.</w:t>
      </w:r>
    </w:p>
    <w:p>
      <w:pPr>
        <w:spacing w:after="0" w:line="116" w:lineRule="exact"/>
        <w:rPr>
          <w:sz w:val="20"/>
          <w:szCs w:val="20"/>
          <w:color w:val="auto"/>
        </w:rPr>
      </w:pPr>
    </w:p>
    <w:p>
      <w:pPr>
        <w:spacing w:after="0"/>
        <w:rPr>
          <w:sz w:val="20"/>
          <w:szCs w:val="20"/>
          <w:color w:val="auto"/>
        </w:rPr>
      </w:pPr>
      <w:r>
        <w:rPr>
          <w:rFonts w:ascii="Arial" w:cs="Arial" w:eastAsia="Arial" w:hAnsi="Arial"/>
          <w:sz w:val="27"/>
          <w:szCs w:val="27"/>
          <w:b w:val="1"/>
          <w:bCs w:val="1"/>
          <w:color w:val="0067B3"/>
        </w:rPr>
        <w:t>Insider Trading Policies and Procedures</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color w:val="auto"/>
        </w:rPr>
        <w:t>We maintain an Insider Trading Policy that governs the purchase, sale, and other transactions in our securities by our directors, officers, and</w:t>
      </w:r>
    </w:p>
    <w:p>
      <w:pPr>
        <w:spacing w:after="0" w:line="14" w:lineRule="exact"/>
        <w:rPr>
          <w:sz w:val="20"/>
          <w:szCs w:val="20"/>
          <w:color w:val="auto"/>
        </w:rPr>
      </w:pPr>
    </w:p>
    <w:p>
      <w:pPr>
        <w:spacing w:after="0" w:line="226" w:lineRule="auto"/>
        <w:rPr>
          <w:sz w:val="20"/>
          <w:szCs w:val="20"/>
          <w:color w:val="auto"/>
        </w:rPr>
      </w:pPr>
      <w:r>
        <w:rPr>
          <w:rFonts w:ascii="Arial" w:cs="Arial" w:eastAsia="Arial" w:hAnsi="Arial"/>
          <w:sz w:val="18"/>
          <w:szCs w:val="18"/>
          <w:color w:val="auto"/>
        </w:rPr>
        <w:t>employees that is reasonably designed to promote compliance with insider trading laws, rules, and regulations. This policy prohibits trading in ADI’s securities when any of these individuals (or their family members or entities that they control) are in possession of material non-public</w:t>
      </w:r>
    </w:p>
    <w:p>
      <w:pPr>
        <w:spacing w:after="0" w:line="236" w:lineRule="auto"/>
        <w:rPr>
          <w:sz w:val="20"/>
          <w:szCs w:val="20"/>
          <w:color w:val="auto"/>
        </w:rPr>
      </w:pPr>
      <w:r>
        <w:rPr>
          <w:rFonts w:ascii="Arial" w:cs="Arial" w:eastAsia="Arial" w:hAnsi="Arial"/>
          <w:sz w:val="18"/>
          <w:szCs w:val="18"/>
          <w:color w:val="auto"/>
        </w:rPr>
        <w:t>information. The policy also provides for “black-out periods” during which certain individuals are prohibited from transacting in ADI securities,</w:t>
      </w:r>
    </w:p>
    <w:p>
      <w:pPr>
        <w:spacing w:after="0" w:line="1" w:lineRule="exact"/>
        <w:rPr>
          <w:sz w:val="20"/>
          <w:szCs w:val="20"/>
          <w:color w:val="auto"/>
        </w:rPr>
      </w:pPr>
    </w:p>
    <w:p>
      <w:pPr>
        <w:ind w:right="560"/>
        <w:spacing w:after="0" w:line="226" w:lineRule="auto"/>
        <w:rPr>
          <w:sz w:val="20"/>
          <w:szCs w:val="20"/>
          <w:color w:val="auto"/>
        </w:rPr>
      </w:pPr>
      <w:r>
        <w:rPr>
          <w:rFonts w:ascii="Arial" w:cs="Arial" w:eastAsia="Arial" w:hAnsi="Arial"/>
          <w:sz w:val="18"/>
          <w:szCs w:val="18"/>
          <w:color w:val="auto"/>
        </w:rPr>
        <w:t>as well as pre-clearance procedures for certain individuals, including all executive officers and directors, before engaging in certain transactions. The policy also prohibits certain hedging and pledging transactions that may lead to inadvertent violations of the policy or</w:t>
      </w:r>
    </w:p>
    <w:p>
      <w:pPr>
        <w:spacing w:after="0" w:line="2" w:lineRule="exact"/>
        <w:rPr>
          <w:sz w:val="20"/>
          <w:szCs w:val="20"/>
          <w:color w:val="auto"/>
        </w:rPr>
      </w:pPr>
    </w:p>
    <w:p>
      <w:pPr>
        <w:ind w:right="60"/>
        <w:spacing w:after="0" w:line="226" w:lineRule="auto"/>
        <w:rPr>
          <w:sz w:val="20"/>
          <w:szCs w:val="20"/>
          <w:color w:val="auto"/>
        </w:rPr>
      </w:pPr>
      <w:r>
        <w:rPr>
          <w:rFonts w:ascii="Arial" w:cs="Arial" w:eastAsia="Arial" w:hAnsi="Arial"/>
          <w:sz w:val="18"/>
          <w:szCs w:val="18"/>
          <w:color w:val="auto"/>
        </w:rPr>
        <w:t xml:space="preserve">otherwise create the appearance of impropriety or violations, as described below under </w:t>
      </w:r>
      <w:r>
        <w:rPr>
          <w:rFonts w:ascii="Arial" w:cs="Arial" w:eastAsia="Arial" w:hAnsi="Arial"/>
          <w:sz w:val="18"/>
          <w:szCs w:val="18"/>
          <w:i w:val="1"/>
          <w:iCs w:val="1"/>
          <w:color w:val="auto"/>
        </w:rPr>
        <w:t>No Hedging or Pledging Policy</w:t>
      </w:r>
      <w:r>
        <w:rPr>
          <w:rFonts w:ascii="Arial" w:cs="Arial" w:eastAsia="Arial" w:hAnsi="Arial"/>
          <w:sz w:val="18"/>
          <w:szCs w:val="18"/>
          <w:color w:val="auto"/>
        </w:rPr>
        <w:t>. In addition to the policies and procedures applicable to our directors, officers, and employees, the policy provides that ADI will only transact in our securities in</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accordance with applicable U.S. federal securities laws, including those relating to insider trading.</w:t>
      </w:r>
    </w:p>
    <w:p>
      <w:pPr>
        <w:spacing w:after="0" w:line="116" w:lineRule="exact"/>
        <w:rPr>
          <w:sz w:val="20"/>
          <w:szCs w:val="20"/>
          <w:color w:val="auto"/>
        </w:rPr>
      </w:pPr>
    </w:p>
    <w:p>
      <w:pPr>
        <w:spacing w:after="0"/>
        <w:rPr>
          <w:sz w:val="20"/>
          <w:szCs w:val="20"/>
          <w:color w:val="auto"/>
        </w:rPr>
      </w:pPr>
      <w:r>
        <w:rPr>
          <w:rFonts w:ascii="Arial" w:cs="Arial" w:eastAsia="Arial" w:hAnsi="Arial"/>
          <w:sz w:val="27"/>
          <w:szCs w:val="27"/>
          <w:b w:val="1"/>
          <w:bCs w:val="1"/>
          <w:color w:val="0067B3"/>
        </w:rPr>
        <w:t>No Hedging or Pledging Policy</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color w:val="auto"/>
        </w:rPr>
        <w:t>Certain transactions in ADI securities such as (i) short sales, including short sales “against the box”, (ii) buying or selling puts, calls, or other</w:t>
      </w:r>
    </w:p>
    <w:p>
      <w:pPr>
        <w:spacing w:after="0" w:line="14" w:lineRule="exact"/>
        <w:rPr>
          <w:sz w:val="20"/>
          <w:szCs w:val="20"/>
          <w:color w:val="auto"/>
        </w:rPr>
      </w:pPr>
    </w:p>
    <w:p>
      <w:pPr>
        <w:ind w:right="120"/>
        <w:spacing w:after="0" w:line="226" w:lineRule="auto"/>
        <w:rPr>
          <w:sz w:val="20"/>
          <w:szCs w:val="20"/>
          <w:color w:val="auto"/>
        </w:rPr>
      </w:pPr>
      <w:r>
        <w:rPr>
          <w:rFonts w:ascii="Arial" w:cs="Arial" w:eastAsia="Arial" w:hAnsi="Arial"/>
          <w:sz w:val="18"/>
          <w:szCs w:val="18"/>
          <w:color w:val="auto"/>
        </w:rPr>
        <w:t>derivative securities, (iii) purchasing financial instruments (including prepaid variable forward contracts, equity swaps, collars, and exchange funds) or other transactions that hedge or offset, or are designed to hedge or offset, any decrease in the market value of ADI’s securities, or</w:t>
      </w:r>
    </w:p>
    <w:p>
      <w:pPr>
        <w:spacing w:after="0" w:line="2" w:lineRule="exact"/>
        <w:rPr>
          <w:sz w:val="20"/>
          <w:szCs w:val="20"/>
          <w:color w:val="auto"/>
        </w:rPr>
      </w:pPr>
    </w:p>
    <w:p>
      <w:pPr>
        <w:ind w:right="20" w:firstLine="8"/>
        <w:spacing w:after="0" w:line="236" w:lineRule="auto"/>
        <w:tabs>
          <w:tab w:leader="none" w:pos="30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purchasing securities on margin, borrowing against ADI securities held in a margin account, or pledging ADI securities as collateral for a loan, create a heightened compliance risk or could create the appearance of misalignment between ADI’s directors and employees and ADI’s shareholders. As a result, our insider trading policy prohibits such transactions without the approval of the Board of Directors.</w:t>
      </w:r>
    </w:p>
    <w:p>
      <w:pPr>
        <w:spacing w:after="0" w:line="117" w:lineRule="exact"/>
        <w:rPr>
          <w:sz w:val="20"/>
          <w:szCs w:val="20"/>
          <w:color w:val="auto"/>
        </w:rPr>
      </w:pPr>
    </w:p>
    <w:p>
      <w:pPr>
        <w:spacing w:after="0"/>
        <w:rPr>
          <w:sz w:val="20"/>
          <w:szCs w:val="20"/>
          <w:color w:val="auto"/>
        </w:rPr>
      </w:pPr>
      <w:r>
        <w:rPr>
          <w:rFonts w:ascii="Arial" w:cs="Arial" w:eastAsia="Arial" w:hAnsi="Arial"/>
          <w:sz w:val="27"/>
          <w:szCs w:val="27"/>
          <w:b w:val="1"/>
          <w:bCs w:val="1"/>
          <w:color w:val="0067B3"/>
        </w:rPr>
        <w:t>Equity Award Grant Date Policy</w:t>
      </w:r>
    </w:p>
    <w:p>
      <w:pPr>
        <w:spacing w:after="0" w:line="119" w:lineRule="exact"/>
        <w:rPr>
          <w:sz w:val="20"/>
          <w:szCs w:val="20"/>
          <w:color w:val="auto"/>
        </w:rPr>
      </w:pPr>
    </w:p>
    <w:p>
      <w:pPr>
        <w:ind w:right="40"/>
        <w:spacing w:after="0" w:line="245" w:lineRule="auto"/>
        <w:rPr>
          <w:sz w:val="20"/>
          <w:szCs w:val="20"/>
          <w:color w:val="auto"/>
        </w:rPr>
      </w:pPr>
      <w:r>
        <w:rPr>
          <w:rFonts w:ascii="Arial" w:cs="Arial" w:eastAsia="Arial" w:hAnsi="Arial"/>
          <w:sz w:val="18"/>
          <w:szCs w:val="18"/>
          <w:color w:val="auto"/>
        </w:rPr>
        <w:t>Our Compensation and Talent Committee has adopted a policy that prohibits timing or selecting grant dates of any stock options or stock-based awards in coordination with the release of material non-public information, which includes specific policies regarding the grant dates of</w:t>
      </w:r>
    </w:p>
    <w:p>
      <w:pPr>
        <w:ind w:right="400"/>
        <w:spacing w:after="0" w:line="237" w:lineRule="auto"/>
        <w:rPr>
          <w:sz w:val="20"/>
          <w:szCs w:val="20"/>
          <w:color w:val="auto"/>
        </w:rPr>
      </w:pPr>
      <w:r>
        <w:rPr>
          <w:rFonts w:ascii="Arial" w:cs="Arial" w:eastAsia="Arial" w:hAnsi="Arial"/>
          <w:sz w:val="18"/>
          <w:szCs w:val="18"/>
          <w:color w:val="auto"/>
        </w:rPr>
        <w:t>equity awards for our executive officers and employees shown below. In each case, the exercise price of any stock options granted must equal the closing price of our common stock on the grant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132320" cy="2091690"/>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7132320" cy="2091690"/>
                    </a:xfrm>
                    <a:prstGeom prst="rect">
                      <a:avLst/>
                    </a:prstGeom>
                    <a:noFill/>
                  </pic:spPr>
                </pic:pic>
              </a:graphicData>
            </a:graphic>
          </wp:anchor>
        </w:drawing>
      </w:r>
    </w:p>
    <w:p>
      <w:pPr>
        <w:sectPr>
          <w:pgSz w:w="11900" w:h="16838" w:orient="portrait"/>
          <w:cols w:equalWidth="0" w:num="1">
            <w:col w:w="11240"/>
          </w:cols>
          <w:pgMar w:left="320" w:top="1160" w:right="339" w:bottom="1440" w:gutter="0" w:footer="0" w:header="0"/>
        </w:sectPr>
      </w:pPr>
    </w:p>
    <w:p>
      <w:pPr>
        <w:spacing w:after="0" w:line="343"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FFFFFF"/>
        </w:rPr>
        <w:t>New-Hire Grants:</w:t>
      </w:r>
    </w:p>
    <w:p>
      <w:pPr>
        <w:spacing w:after="0" w:line="200" w:lineRule="exact"/>
        <w:rPr>
          <w:sz w:val="20"/>
          <w:szCs w:val="20"/>
          <w:color w:val="auto"/>
        </w:rPr>
      </w:pPr>
    </w:p>
    <w:p>
      <w:pPr>
        <w:spacing w:after="0" w:line="349"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FFFFFF"/>
        </w:rPr>
        <w:t>Annual Grants:</w:t>
      </w:r>
    </w:p>
    <w:p>
      <w:pPr>
        <w:spacing w:after="0" w:line="171"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FFFFFF"/>
        </w:rPr>
        <w:t>Other Grants:</w:t>
      </w:r>
    </w:p>
    <w:p>
      <w:pPr>
        <w:spacing w:after="0" w:line="200" w:lineRule="exact"/>
        <w:rPr>
          <w:sz w:val="20"/>
          <w:szCs w:val="20"/>
          <w:color w:val="auto"/>
        </w:rPr>
      </w:pPr>
    </w:p>
    <w:p>
      <w:pPr>
        <w:spacing w:after="0" w:line="349" w:lineRule="exact"/>
        <w:rPr>
          <w:sz w:val="20"/>
          <w:szCs w:val="20"/>
          <w:color w:val="auto"/>
        </w:rPr>
      </w:pPr>
    </w:p>
    <w:p>
      <w:pPr>
        <w:ind w:left="160" w:right="320"/>
        <w:spacing w:after="0" w:line="328" w:lineRule="auto"/>
        <w:rPr>
          <w:sz w:val="20"/>
          <w:szCs w:val="20"/>
          <w:color w:val="auto"/>
        </w:rPr>
      </w:pPr>
      <w:r>
        <w:rPr>
          <w:rFonts w:ascii="Arial" w:cs="Arial" w:eastAsia="Arial" w:hAnsi="Arial"/>
          <w:sz w:val="17"/>
          <w:szCs w:val="17"/>
          <w:b w:val="1"/>
          <w:bCs w:val="1"/>
          <w:color w:val="FFFFFF"/>
        </w:rPr>
        <w:t>Foreign Registrations:</w:t>
      </w:r>
    </w:p>
    <w:p>
      <w:pPr>
        <w:spacing w:after="0" w:line="222" w:lineRule="exact"/>
        <w:rPr>
          <w:sz w:val="20"/>
          <w:szCs w:val="20"/>
          <w:color w:val="auto"/>
        </w:rPr>
      </w:pPr>
    </w:p>
    <w:p>
      <w:pPr>
        <w:ind w:left="160"/>
        <w:spacing w:after="0"/>
        <w:rPr>
          <w:sz w:val="20"/>
          <w:szCs w:val="20"/>
          <w:color w:val="auto"/>
        </w:rPr>
      </w:pPr>
      <w:r>
        <w:rPr>
          <w:rFonts w:ascii="Arial" w:cs="Arial" w:eastAsia="Arial" w:hAnsi="Arial"/>
          <w:sz w:val="17"/>
          <w:szCs w:val="17"/>
          <w:b w:val="1"/>
          <w:bCs w:val="1"/>
          <w:color w:val="FFFFFF"/>
        </w:rPr>
        <w:t>Blackout Periods:</w:t>
      </w:r>
    </w:p>
    <w:p>
      <w:pPr>
        <w:spacing w:after="0" w:line="20" w:lineRule="exact"/>
        <w:rPr>
          <w:sz w:val="20"/>
          <w:szCs w:val="20"/>
          <w:color w:val="auto"/>
        </w:rPr>
      </w:pPr>
      <w:r>
        <w:rPr>
          <w:sz w:val="20"/>
          <w:szCs w:val="20"/>
          <w:color w:val="auto"/>
        </w:rPr>
        <w:br w:type="column"/>
      </w:r>
    </w:p>
    <w:p>
      <w:pPr>
        <w:spacing w:after="0" w:line="309" w:lineRule="exact"/>
        <w:rPr>
          <w:sz w:val="20"/>
          <w:szCs w:val="20"/>
          <w:color w:val="auto"/>
        </w:rPr>
      </w:pPr>
    </w:p>
    <w:p>
      <w:pPr>
        <w:spacing w:after="0"/>
        <w:rPr>
          <w:sz w:val="20"/>
          <w:szCs w:val="20"/>
          <w:color w:val="auto"/>
        </w:rPr>
      </w:pPr>
      <w:r>
        <w:rPr>
          <w:rFonts w:ascii="Arial" w:cs="Arial" w:eastAsia="Arial" w:hAnsi="Arial"/>
          <w:sz w:val="18"/>
          <w:szCs w:val="18"/>
          <w:color w:val="auto"/>
        </w:rPr>
        <w:t>The grant date of all awards to newly hired executive officers and employees is the 15th day of the month after</w:t>
      </w:r>
    </w:p>
    <w:p>
      <w:pPr>
        <w:spacing w:after="0" w:line="14" w:lineRule="exact"/>
        <w:rPr>
          <w:sz w:val="20"/>
          <w:szCs w:val="20"/>
          <w:color w:val="auto"/>
        </w:rPr>
      </w:pPr>
    </w:p>
    <w:p>
      <w:pPr>
        <w:ind w:right="480"/>
        <w:spacing w:after="0" w:line="237" w:lineRule="auto"/>
        <w:rPr>
          <w:sz w:val="20"/>
          <w:szCs w:val="20"/>
          <w:color w:val="auto"/>
        </w:rPr>
      </w:pPr>
      <w:r>
        <w:rPr>
          <w:rFonts w:ascii="Arial" w:cs="Arial" w:eastAsia="Arial" w:hAnsi="Arial"/>
          <w:sz w:val="18"/>
          <w:szCs w:val="18"/>
          <w:color w:val="auto"/>
        </w:rPr>
        <w:t>the date on which the individual commences employment with us (or the next succeeding business day that Nasdaq is open).</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color w:val="auto"/>
        </w:rPr>
        <w:t>For annual awards made during fiscal year 2025, the grant date was April 8, 2025.</w:t>
      </w:r>
    </w:p>
    <w:p>
      <w:pPr>
        <w:spacing w:after="0" w:line="158" w:lineRule="exact"/>
        <w:rPr>
          <w:sz w:val="20"/>
          <w:szCs w:val="20"/>
          <w:color w:val="auto"/>
        </w:rPr>
      </w:pPr>
    </w:p>
    <w:p>
      <w:pPr>
        <w:spacing w:after="0"/>
        <w:rPr>
          <w:sz w:val="20"/>
          <w:szCs w:val="20"/>
          <w:color w:val="auto"/>
        </w:rPr>
      </w:pPr>
      <w:r>
        <w:rPr>
          <w:rFonts w:ascii="Arial" w:cs="Arial" w:eastAsia="Arial" w:hAnsi="Arial"/>
          <w:sz w:val="17"/>
          <w:szCs w:val="17"/>
          <w:color w:val="auto"/>
        </w:rPr>
        <w:t>All other awards granted to executive officers and employees throughout the year (off-cycle awards) have a grant</w:t>
      </w:r>
    </w:p>
    <w:p>
      <w:pPr>
        <w:spacing w:after="0" w:line="25" w:lineRule="exact"/>
        <w:rPr>
          <w:sz w:val="20"/>
          <w:szCs w:val="20"/>
          <w:color w:val="auto"/>
        </w:rPr>
      </w:pPr>
    </w:p>
    <w:p>
      <w:pPr>
        <w:ind w:right="60"/>
        <w:spacing w:after="0" w:line="237" w:lineRule="auto"/>
        <w:rPr>
          <w:sz w:val="20"/>
          <w:szCs w:val="20"/>
          <w:color w:val="auto"/>
        </w:rPr>
      </w:pPr>
      <w:r>
        <w:rPr>
          <w:rFonts w:ascii="Arial" w:cs="Arial" w:eastAsia="Arial" w:hAnsi="Arial"/>
          <w:sz w:val="18"/>
          <w:szCs w:val="18"/>
          <w:color w:val="auto"/>
        </w:rPr>
        <w:t>date of the 15th day of the month (or the next succeeding business day that Nasdaq is open) provided the award is approved on or prior to such grant date.</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color w:val="auto"/>
        </w:rPr>
        <w:t>Any awards requiring registration or approval in a foreign jurisdiction will have a grant date of the 15th day of the</w:t>
      </w:r>
    </w:p>
    <w:p>
      <w:pPr>
        <w:spacing w:after="0" w:line="14" w:lineRule="exact"/>
        <w:rPr>
          <w:sz w:val="20"/>
          <w:szCs w:val="20"/>
          <w:color w:val="auto"/>
        </w:rPr>
      </w:pPr>
    </w:p>
    <w:p>
      <w:pPr>
        <w:ind w:right="140"/>
        <w:spacing w:after="0" w:line="237" w:lineRule="auto"/>
        <w:rPr>
          <w:sz w:val="20"/>
          <w:szCs w:val="20"/>
          <w:color w:val="auto"/>
        </w:rPr>
      </w:pPr>
      <w:r>
        <w:rPr>
          <w:rFonts w:ascii="Arial" w:cs="Arial" w:eastAsia="Arial" w:hAnsi="Arial"/>
          <w:sz w:val="18"/>
          <w:szCs w:val="18"/>
          <w:color w:val="auto"/>
        </w:rPr>
        <w:t>month (or the next succeeding business day that Nasdaq is open) following the effective date of that registration or approval.</w:t>
      </w:r>
    </w:p>
    <w:p>
      <w:pPr>
        <w:spacing w:after="0" w:line="127" w:lineRule="exact"/>
        <w:rPr>
          <w:sz w:val="20"/>
          <w:szCs w:val="20"/>
          <w:color w:val="auto"/>
        </w:rPr>
      </w:pPr>
    </w:p>
    <w:p>
      <w:pPr>
        <w:ind w:right="120"/>
        <w:spacing w:after="0" w:line="271" w:lineRule="auto"/>
        <w:rPr>
          <w:sz w:val="20"/>
          <w:szCs w:val="20"/>
          <w:color w:val="auto"/>
        </w:rPr>
      </w:pPr>
      <w:r>
        <w:rPr>
          <w:rFonts w:ascii="Arial" w:cs="Arial" w:eastAsia="Arial" w:hAnsi="Arial"/>
          <w:sz w:val="18"/>
          <w:szCs w:val="18"/>
          <w:color w:val="auto"/>
        </w:rPr>
        <w:t>Our Compensation and Talent Committee does not approve off-cycle awards to our executive officers during the quarterly blackout periods under our Insider Trading Policy.</w:t>
      </w:r>
    </w:p>
    <w:p>
      <w:pPr>
        <w:spacing w:after="0" w:line="200" w:lineRule="exact"/>
        <w:rPr>
          <w:sz w:val="20"/>
          <w:szCs w:val="20"/>
          <w:color w:val="auto"/>
        </w:rPr>
      </w:pPr>
    </w:p>
    <w:p>
      <w:pPr>
        <w:sectPr>
          <w:pgSz w:w="11900" w:h="16838" w:orient="portrait"/>
          <w:cols w:equalWidth="0" w:num="2">
            <w:col w:w="1680" w:space="540"/>
            <w:col w:w="9020"/>
          </w:cols>
          <w:pgMar w:left="320" w:top="1160" w:right="339" w:bottom="1440" w:gutter="0" w:footer="0" w:header="0"/>
          <w:type w:val="continuous"/>
        </w:sectPr>
      </w:pPr>
    </w:p>
    <w:p>
      <w:pPr>
        <w:spacing w:after="0" w:line="75" w:lineRule="exact"/>
        <w:rPr>
          <w:sz w:val="20"/>
          <w:szCs w:val="20"/>
          <w:color w:val="auto"/>
        </w:rPr>
      </w:pPr>
    </w:p>
    <w:p>
      <w:pPr>
        <w:ind w:right="1120"/>
        <w:spacing w:after="0" w:line="287" w:lineRule="auto"/>
        <w:rPr>
          <w:sz w:val="20"/>
          <w:szCs w:val="20"/>
          <w:color w:val="auto"/>
        </w:rPr>
      </w:pPr>
      <w:r>
        <w:rPr>
          <w:rFonts w:ascii="Arial" w:cs="Arial" w:eastAsia="Arial" w:hAnsi="Arial"/>
          <w:sz w:val="18"/>
          <w:szCs w:val="18"/>
          <w:color w:val="auto"/>
        </w:rPr>
        <w:t xml:space="preserve">We describe the Equity Award Grant Date Policy for our non-employee directors above under </w:t>
      </w:r>
      <w:r>
        <w:rPr>
          <w:rFonts w:ascii="Arial" w:cs="Arial" w:eastAsia="Arial" w:hAnsi="Arial"/>
          <w:sz w:val="18"/>
          <w:szCs w:val="18"/>
          <w:i w:val="1"/>
          <w:iCs w:val="1"/>
          <w:color w:val="auto"/>
        </w:rPr>
        <w:t>Corporate Governance—Director</w:t>
      </w:r>
      <w:r>
        <w:rPr>
          <w:rFonts w:ascii="Arial" w:cs="Arial" w:eastAsia="Arial" w:hAnsi="Arial"/>
          <w:sz w:val="18"/>
          <w:szCs w:val="18"/>
          <w:color w:val="auto"/>
        </w:rPr>
        <w:t xml:space="preserve"> </w:t>
      </w:r>
      <w:r>
        <w:rPr>
          <w:rFonts w:ascii="Arial" w:cs="Arial" w:eastAsia="Arial" w:hAnsi="Arial"/>
          <w:sz w:val="18"/>
          <w:szCs w:val="18"/>
          <w:i w:val="1"/>
          <w:iCs w:val="1"/>
          <w:color w:val="auto"/>
        </w:rPr>
        <w:t>Compensation</w:t>
      </w:r>
      <w:r>
        <w:rPr>
          <w:rFonts w:ascii="Arial" w:cs="Arial" w:eastAsia="Arial" w:hAnsi="Arial"/>
          <w:sz w:val="18"/>
          <w:szCs w:val="18"/>
          <w:color w:val="auto"/>
        </w:rPr>
        <w:t>.</w:t>
      </w:r>
    </w:p>
    <w:p>
      <w:pPr>
        <w:sectPr>
          <w:pgSz w:w="11900" w:h="16838" w:orient="portrait"/>
          <w:cols w:equalWidth="0" w:num="1">
            <w:col w:w="11240"/>
          </w:cols>
          <w:pgMar w:left="320" w:top="1160" w:right="339" w:bottom="1440" w:gutter="0" w:footer="0" w:header="0"/>
          <w:type w:val="continuous"/>
        </w:sectPr>
      </w:pPr>
    </w:p>
    <w:p>
      <w:pPr>
        <w:spacing w:after="0" w:line="200" w:lineRule="exact"/>
        <w:rPr>
          <w:sz w:val="20"/>
          <w:szCs w:val="20"/>
          <w:color w:val="auto"/>
        </w:rPr>
      </w:pPr>
    </w:p>
    <w:p>
      <w:pPr>
        <w:spacing w:after="0" w:line="205" w:lineRule="exact"/>
        <w:rPr>
          <w:sz w:val="20"/>
          <w:szCs w:val="20"/>
          <w:color w:val="auto"/>
        </w:rPr>
      </w:pPr>
    </w:p>
    <w:p>
      <w:pPr>
        <w:ind w:left="8980"/>
        <w:spacing w:after="0"/>
        <w:tabs>
          <w:tab w:leader="none" w:pos="10980" w:val="left"/>
        </w:tabs>
        <w:rPr>
          <w:sz w:val="20"/>
          <w:szCs w:val="20"/>
          <w:color w:val="auto"/>
        </w:rPr>
      </w:pPr>
      <w:r>
        <w:rPr>
          <w:rFonts w:ascii="Arial" w:cs="Arial" w:eastAsia="Arial" w:hAnsi="Arial"/>
          <w:sz w:val="16"/>
          <w:szCs w:val="16"/>
          <w:color w:val="0067B3"/>
        </w:rPr>
        <w:t>2026 Proxy Statement</w:t>
      </w:r>
      <w:r>
        <w:rPr>
          <w:sz w:val="20"/>
          <w:szCs w:val="20"/>
          <w:color w:val="auto"/>
        </w:rPr>
        <w:tab/>
      </w:r>
      <w:r>
        <w:rPr>
          <w:rFonts w:ascii="Arial" w:cs="Arial" w:eastAsia="Arial" w:hAnsi="Arial"/>
          <w:sz w:val="19"/>
          <w:szCs w:val="19"/>
          <w:b w:val="1"/>
          <w:bCs w:val="1"/>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232410</wp:posOffset>
            </wp:positionV>
            <wp:extent cx="7157720" cy="42545"/>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60" w:right="339" w:bottom="1440" w:gutter="0" w:footer="0" w:header="0"/>
          <w:type w:val="continuous"/>
        </w:sectPr>
      </w:pPr>
    </w:p>
    <w:bookmarkStart w:id="65" w:name="page66"/>
    <w:bookmarkEnd w:id="65"/>
    <w:p>
      <w:pPr>
        <w:spacing w:after="0"/>
        <w:rPr>
          <w:sz w:val="20"/>
          <w:szCs w:val="20"/>
          <w:color w:val="auto"/>
        </w:rPr>
      </w:pPr>
      <w:r>
        <w:rPr>
          <w:rFonts w:ascii="Arial" w:cs="Arial" w:eastAsia="Arial" w:hAnsi="Arial"/>
          <w:sz w:val="32"/>
          <w:szCs w:val="32"/>
          <w:b w:val="1"/>
          <w:bCs w:val="1"/>
          <w:color w:val="auto"/>
        </w:rPr>
        <w:t>Tax and Accounting Considerations</w:t>
      </w:r>
    </w:p>
    <w:p>
      <w:pPr>
        <w:spacing w:after="0" w:line="156"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We are generally entitled to a U.S. federal income tax deduction with respect to compensation income paid to our service providers, subject to Section 162(m) of the Internal Revenue Code of 1986, as amended, which disallows a federal income tax deduction with respect to compensation paid in excess of $1 million in any one year to certain of our current and former executive officers. The Compensation and Talent Committee uses its judgment to authorize compensation payments that may be subject to the limitation on tax deductibility when the Compensation and Talent Committee believes such payments are appropriate and in the best interest of ADI and our shareholders.</w:t>
      </w:r>
    </w:p>
    <w:p>
      <w:pPr>
        <w:spacing w:after="0" w:line="71"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Mr. Roche has a change in control retention agreement that contains tax gross up provisions regarding excess parachute payments made in connection with transactions subject to Section 280G of the Internal Revenue Code. Since 2009, any new executive compensation arrangements for new executives do not contain tax gross up provisions for excess parachute payments.</w:t>
      </w:r>
    </w:p>
    <w:p>
      <w:pPr>
        <w:spacing w:after="0" w:line="63" w:lineRule="exact"/>
        <w:rPr>
          <w:sz w:val="20"/>
          <w:szCs w:val="20"/>
          <w:color w:val="auto"/>
        </w:rPr>
      </w:pPr>
    </w:p>
    <w:p>
      <w:pPr>
        <w:ind w:right="420"/>
        <w:spacing w:after="0" w:line="262" w:lineRule="auto"/>
        <w:rPr>
          <w:sz w:val="20"/>
          <w:szCs w:val="20"/>
          <w:color w:val="auto"/>
        </w:rPr>
      </w:pPr>
      <w:r>
        <w:rPr>
          <w:rFonts w:ascii="Arial" w:cs="Arial" w:eastAsia="Arial" w:hAnsi="Arial"/>
          <w:sz w:val="18"/>
          <w:szCs w:val="18"/>
          <w:color w:val="auto"/>
        </w:rPr>
        <w:t>We expense in our financial statements the compensation that we pay to our executive officers, as required by U.S. generally accepted accounting principles. As one of many factors, the Compensation and Talent Committee considers the financial statement impact in determining the amount of, and allocation among the elements of, compensation. We account for stock-based compensation under our equity incentive plans in accordance with U.S. generally accepted accounting principles.</w:t>
      </w:r>
    </w:p>
    <w:p>
      <w:pPr>
        <w:spacing w:after="0" w:line="251" w:lineRule="exact"/>
        <w:rPr>
          <w:sz w:val="20"/>
          <w:szCs w:val="20"/>
          <w:color w:val="auto"/>
        </w:rPr>
      </w:pPr>
    </w:p>
    <w:p>
      <w:pPr>
        <w:spacing w:after="0"/>
        <w:rPr>
          <w:sz w:val="20"/>
          <w:szCs w:val="20"/>
          <w:color w:val="auto"/>
        </w:rPr>
      </w:pPr>
      <w:r>
        <w:rPr>
          <w:rFonts w:ascii="Arial" w:cs="Arial" w:eastAsia="Arial" w:hAnsi="Arial"/>
          <w:sz w:val="41"/>
          <w:szCs w:val="41"/>
          <w:b w:val="1"/>
          <w:bCs w:val="1"/>
          <w:color w:val="0067B3"/>
        </w:rPr>
        <w:t>Compensation and Talent Committee Report</w:t>
      </w:r>
    </w:p>
    <w:p>
      <w:pPr>
        <w:spacing w:after="0" w:line="169" w:lineRule="exact"/>
        <w:rPr>
          <w:sz w:val="20"/>
          <w:szCs w:val="20"/>
          <w:color w:val="auto"/>
        </w:rPr>
      </w:pPr>
    </w:p>
    <w:p>
      <w:pPr>
        <w:ind w:right="100"/>
        <w:spacing w:after="0" w:line="268" w:lineRule="auto"/>
        <w:rPr>
          <w:sz w:val="20"/>
          <w:szCs w:val="20"/>
          <w:color w:val="auto"/>
        </w:rPr>
      </w:pPr>
      <w:r>
        <w:rPr>
          <w:rFonts w:ascii="Arial" w:cs="Arial" w:eastAsia="Arial" w:hAnsi="Arial"/>
          <w:sz w:val="18"/>
          <w:szCs w:val="18"/>
          <w:color w:val="auto"/>
        </w:rPr>
        <w:t xml:space="preserve">The Compensation and Talent Committee has reviewed and discussed the </w:t>
      </w:r>
      <w:r>
        <w:rPr>
          <w:rFonts w:ascii="Arial" w:cs="Arial" w:eastAsia="Arial" w:hAnsi="Arial"/>
          <w:sz w:val="18"/>
          <w:szCs w:val="18"/>
          <w:i w:val="1"/>
          <w:iCs w:val="1"/>
          <w:color w:val="auto"/>
        </w:rPr>
        <w:t>Compensation Discussion and Analysis</w:t>
      </w:r>
      <w:r>
        <w:rPr>
          <w:rFonts w:ascii="Arial" w:cs="Arial" w:eastAsia="Arial" w:hAnsi="Arial"/>
          <w:sz w:val="18"/>
          <w:szCs w:val="18"/>
          <w:color w:val="auto"/>
        </w:rPr>
        <w:t xml:space="preserve"> required by Item 402(b) of Regulation S-K with our management. Based on this review and discussion, the Compensation and Talent Committee recommended to our Board of Directors that the </w:t>
      </w:r>
      <w:r>
        <w:rPr>
          <w:rFonts w:ascii="Arial" w:cs="Arial" w:eastAsia="Arial" w:hAnsi="Arial"/>
          <w:sz w:val="18"/>
          <w:szCs w:val="18"/>
          <w:i w:val="1"/>
          <w:iCs w:val="1"/>
          <w:color w:val="auto"/>
        </w:rPr>
        <w:t>Compensation Discussion and Analysis</w:t>
      </w:r>
      <w:r>
        <w:rPr>
          <w:rFonts w:ascii="Arial" w:cs="Arial" w:eastAsia="Arial" w:hAnsi="Arial"/>
          <w:sz w:val="18"/>
          <w:szCs w:val="18"/>
          <w:color w:val="auto"/>
        </w:rPr>
        <w:t xml:space="preserve"> be included in this Proxy Statement.</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and Talent Committee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0067B3"/>
        </w:rPr>
        <w:t>André Andonian, Chair</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0067B3"/>
        </w:rPr>
        <w:t>Edward H. Frank</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0067B3"/>
        </w:rPr>
        <w:t>Andrea F. Wainer</w:t>
      </w:r>
    </w:p>
    <w:p>
      <w:pPr>
        <w:spacing w:after="0" w:line="282" w:lineRule="exact"/>
        <w:rPr>
          <w:sz w:val="20"/>
          <w:szCs w:val="20"/>
          <w:color w:val="auto"/>
        </w:rPr>
      </w:pPr>
    </w:p>
    <w:p>
      <w:pPr>
        <w:ind w:right="940"/>
        <w:spacing w:after="0" w:line="276" w:lineRule="auto"/>
        <w:rPr>
          <w:sz w:val="20"/>
          <w:szCs w:val="20"/>
          <w:color w:val="auto"/>
        </w:rPr>
      </w:pPr>
      <w:r>
        <w:rPr>
          <w:rFonts w:ascii="Arial" w:cs="Arial" w:eastAsia="Arial" w:hAnsi="Arial"/>
          <w:sz w:val="41"/>
          <w:szCs w:val="41"/>
          <w:b w:val="1"/>
          <w:bCs w:val="1"/>
          <w:color w:val="0067B3"/>
        </w:rPr>
        <w:t>Compensation and Talent Committee Interlocks and Insider Participation</w:t>
      </w:r>
    </w:p>
    <w:p>
      <w:pPr>
        <w:spacing w:after="0" w:line="2" w:lineRule="exact"/>
        <w:rPr>
          <w:sz w:val="20"/>
          <w:szCs w:val="20"/>
          <w:color w:val="auto"/>
        </w:rPr>
      </w:pPr>
    </w:p>
    <w:p>
      <w:pPr>
        <w:ind w:right="20"/>
        <w:spacing w:after="0" w:line="262" w:lineRule="auto"/>
        <w:rPr>
          <w:sz w:val="20"/>
          <w:szCs w:val="20"/>
          <w:color w:val="auto"/>
        </w:rPr>
      </w:pPr>
      <w:r>
        <w:rPr>
          <w:rFonts w:ascii="Arial" w:cs="Arial" w:eastAsia="Arial" w:hAnsi="Arial"/>
          <w:sz w:val="18"/>
          <w:szCs w:val="18"/>
          <w:color w:val="auto"/>
        </w:rPr>
        <w:t>During fiscal year 2025, Mr. Andonian, Drs. Frank and Glimcher, and Ms. Wainer served as members of our Compensation and Talent Committee. No member of our Compensation and Talent Committee was at any time during fiscal year 2025, or formerly, an officer or employee of ADI or any subsidiary of ADI. No member of our Compensation and Talent Committee had any relationship with us during fiscal year 2025 requiring disclosure under Item 404 of Regulation S-K under the Exchange Act.</w:t>
      </w:r>
    </w:p>
    <w:p>
      <w:pPr>
        <w:spacing w:after="0" w:line="68" w:lineRule="exact"/>
        <w:rPr>
          <w:sz w:val="20"/>
          <w:szCs w:val="20"/>
          <w:color w:val="auto"/>
        </w:rPr>
      </w:pPr>
    </w:p>
    <w:p>
      <w:pPr>
        <w:ind w:right="240"/>
        <w:spacing w:after="0" w:line="268" w:lineRule="auto"/>
        <w:rPr>
          <w:sz w:val="20"/>
          <w:szCs w:val="20"/>
          <w:color w:val="auto"/>
        </w:rPr>
      </w:pPr>
      <w:r>
        <w:rPr>
          <w:rFonts w:ascii="Arial" w:cs="Arial" w:eastAsia="Arial" w:hAnsi="Arial"/>
          <w:sz w:val="18"/>
          <w:szCs w:val="18"/>
          <w:color w:val="auto"/>
        </w:rPr>
        <w:t>During fiscal year 2025, none of our executive officers served as a member of the board of directors or compensation committee (or other committee serving an equivalent function) of any entity that had one or more executive officers serving as a member of our Board of Directors or Compensation and Talent Committee.</w:t>
      </w:r>
    </w:p>
    <w:p>
      <w:pPr>
        <w:spacing w:after="0" w:line="200" w:lineRule="exact"/>
        <w:rPr>
          <w:sz w:val="20"/>
          <w:szCs w:val="20"/>
          <w:color w:val="auto"/>
        </w:rPr>
      </w:pPr>
    </w:p>
    <w:p>
      <w:pPr>
        <w:spacing w:after="0" w:line="284" w:lineRule="exact"/>
        <w:rPr>
          <w:sz w:val="20"/>
          <w:szCs w:val="20"/>
          <w:color w:val="auto"/>
        </w:rPr>
      </w:pPr>
    </w:p>
    <w:p>
      <w:pPr>
        <w:ind w:left="640" w:hanging="614"/>
        <w:spacing w:after="0"/>
        <w:tabs>
          <w:tab w:leader="none" w:pos="640" w:val="left"/>
        </w:tabs>
        <w:numPr>
          <w:ilvl w:val="0"/>
          <w:numId w:val="107"/>
        </w:numPr>
        <w:rPr>
          <w:rFonts w:ascii="Arial" w:cs="Arial" w:eastAsia="Arial" w:hAnsi="Arial"/>
          <w:sz w:val="20"/>
          <w:szCs w:val="20"/>
          <w:b w:val="1"/>
          <w:bCs w:val="1"/>
          <w:color w:val="auto"/>
        </w:rPr>
      </w:pPr>
      <w:r>
        <w:rPr>
          <w:rFonts w:ascii="Arial" w:cs="Arial" w:eastAsia="Arial" w:hAnsi="Arial"/>
          <w:sz w:val="16"/>
          <w:szCs w:val="16"/>
          <w:color w:val="6D6E71"/>
        </w:rPr>
        <w:t>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186055</wp:posOffset>
            </wp:positionV>
            <wp:extent cx="7157720" cy="42545"/>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311" w:right="419" w:bottom="1440" w:gutter="0" w:footer="0" w:header="0"/>
        </w:sectPr>
      </w:pPr>
    </w:p>
    <w:bookmarkStart w:id="66" w:name="page67"/>
    <w:bookmarkEnd w:id="66"/>
    <w:p>
      <w:pPr>
        <w:spacing w:after="0"/>
        <w:rPr>
          <w:sz w:val="20"/>
          <w:szCs w:val="20"/>
          <w:color w:val="auto"/>
        </w:rPr>
      </w:pPr>
      <w:r>
        <w:rPr>
          <w:rFonts w:ascii="Arial" w:cs="Arial" w:eastAsia="Arial" w:hAnsi="Arial"/>
          <w:sz w:val="41"/>
          <w:szCs w:val="41"/>
          <w:b w:val="1"/>
          <w:bCs w:val="1"/>
          <w:color w:val="0067B3"/>
        </w:rPr>
        <w:t>Compensation Tables</w:t>
      </w:r>
    </w:p>
    <w:p>
      <w:pPr>
        <w:spacing w:after="0" w:line="266" w:lineRule="exact"/>
        <w:rPr>
          <w:sz w:val="20"/>
          <w:szCs w:val="20"/>
          <w:color w:val="auto"/>
        </w:rPr>
      </w:pPr>
    </w:p>
    <w:p>
      <w:pPr>
        <w:spacing w:after="0"/>
        <w:rPr>
          <w:sz w:val="20"/>
          <w:szCs w:val="20"/>
          <w:color w:val="auto"/>
        </w:rPr>
      </w:pPr>
      <w:r>
        <w:rPr>
          <w:rFonts w:ascii="Arial" w:cs="Arial" w:eastAsia="Arial" w:hAnsi="Arial"/>
          <w:sz w:val="32"/>
          <w:szCs w:val="32"/>
          <w:b w:val="1"/>
          <w:bCs w:val="1"/>
          <w:color w:val="auto"/>
        </w:rPr>
        <w:t>Summary Compensation Table</w:t>
      </w:r>
    </w:p>
    <w:p>
      <w:pPr>
        <w:spacing w:after="0" w:line="156" w:lineRule="exact"/>
        <w:rPr>
          <w:sz w:val="20"/>
          <w:szCs w:val="20"/>
          <w:color w:val="auto"/>
        </w:rPr>
      </w:pPr>
    </w:p>
    <w:p>
      <w:pPr>
        <w:ind w:right="100"/>
        <w:spacing w:after="0" w:line="268" w:lineRule="auto"/>
        <w:rPr>
          <w:sz w:val="20"/>
          <w:szCs w:val="20"/>
          <w:color w:val="auto"/>
        </w:rPr>
      </w:pPr>
      <w:r>
        <w:rPr>
          <w:rFonts w:ascii="Arial" w:cs="Arial" w:eastAsia="Arial" w:hAnsi="Arial"/>
          <w:sz w:val="18"/>
          <w:szCs w:val="18"/>
          <w:color w:val="auto"/>
        </w:rPr>
        <w:t>The following table contains certain information about the compensation that our NEOs earned in fiscal year 2025, fiscal year 2024, and fiscal year 2023. The sum and/or computation of individual numerical amounts disclosed in the following table and related footnotes may not equal the total due to rounding.</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3120" w:type="dxa"/>
            <w:vAlign w:val="bottom"/>
            <w:shd w:val="clear" w:color="auto" w:fill="0067B3"/>
          </w:tcPr>
          <w:p>
            <w:pPr>
              <w:spacing w:after="0"/>
              <w:rPr>
                <w:sz w:val="18"/>
                <w:szCs w:val="18"/>
                <w:color w:val="auto"/>
              </w:rPr>
            </w:pPr>
          </w:p>
        </w:tc>
        <w:tc>
          <w:tcPr>
            <w:tcW w:w="660" w:type="dxa"/>
            <w:vAlign w:val="bottom"/>
            <w:shd w:val="clear" w:color="auto" w:fill="0067B3"/>
          </w:tcPr>
          <w:p>
            <w:pPr>
              <w:spacing w:after="0"/>
              <w:rPr>
                <w:sz w:val="18"/>
                <w:szCs w:val="18"/>
                <w:color w:val="auto"/>
              </w:rPr>
            </w:pPr>
          </w:p>
        </w:tc>
        <w:tc>
          <w:tcPr>
            <w:tcW w:w="320" w:type="dxa"/>
            <w:vAlign w:val="bottom"/>
            <w:shd w:val="clear" w:color="auto" w:fill="0067B3"/>
          </w:tcPr>
          <w:p>
            <w:pPr>
              <w:spacing w:after="0"/>
              <w:rPr>
                <w:sz w:val="18"/>
                <w:szCs w:val="18"/>
                <w:color w:val="auto"/>
              </w:rPr>
            </w:pPr>
          </w:p>
        </w:tc>
        <w:tc>
          <w:tcPr>
            <w:tcW w:w="980" w:type="dxa"/>
            <w:vAlign w:val="bottom"/>
            <w:shd w:val="clear" w:color="auto" w:fill="0067B3"/>
          </w:tcPr>
          <w:p>
            <w:pPr>
              <w:spacing w:after="0"/>
              <w:rPr>
                <w:sz w:val="18"/>
                <w:szCs w:val="18"/>
                <w:color w:val="auto"/>
              </w:rPr>
            </w:pPr>
          </w:p>
        </w:tc>
        <w:tc>
          <w:tcPr>
            <w:tcW w:w="220" w:type="dxa"/>
            <w:vAlign w:val="bottom"/>
            <w:shd w:val="clear" w:color="auto" w:fill="0067B3"/>
          </w:tcPr>
          <w:p>
            <w:pPr>
              <w:spacing w:after="0"/>
              <w:rPr>
                <w:sz w:val="18"/>
                <w:szCs w:val="18"/>
                <w:color w:val="auto"/>
              </w:rPr>
            </w:pPr>
          </w:p>
        </w:tc>
        <w:tc>
          <w:tcPr>
            <w:tcW w:w="840" w:type="dxa"/>
            <w:vAlign w:val="bottom"/>
            <w:shd w:val="clear" w:color="auto" w:fill="0067B3"/>
          </w:tcPr>
          <w:p>
            <w:pPr>
              <w:spacing w:after="0"/>
              <w:rPr>
                <w:sz w:val="18"/>
                <w:szCs w:val="18"/>
                <w:color w:val="auto"/>
              </w:rPr>
            </w:pPr>
          </w:p>
        </w:tc>
        <w:tc>
          <w:tcPr>
            <w:tcW w:w="220" w:type="dxa"/>
            <w:vAlign w:val="bottom"/>
            <w:shd w:val="clear" w:color="auto" w:fill="0067B3"/>
          </w:tcPr>
          <w:p>
            <w:pPr>
              <w:spacing w:after="0"/>
              <w:rPr>
                <w:sz w:val="18"/>
                <w:szCs w:val="18"/>
                <w:color w:val="auto"/>
              </w:rPr>
            </w:pPr>
          </w:p>
        </w:tc>
        <w:tc>
          <w:tcPr>
            <w:tcW w:w="1040" w:type="dxa"/>
            <w:vAlign w:val="bottom"/>
            <w:shd w:val="clear" w:color="auto" w:fill="0067B3"/>
          </w:tcPr>
          <w:p>
            <w:pPr>
              <w:spacing w:after="0"/>
              <w:rPr>
                <w:sz w:val="18"/>
                <w:szCs w:val="18"/>
                <w:color w:val="auto"/>
              </w:rPr>
            </w:pPr>
          </w:p>
        </w:tc>
        <w:tc>
          <w:tcPr>
            <w:tcW w:w="340" w:type="dxa"/>
            <w:vAlign w:val="bottom"/>
            <w:shd w:val="clear" w:color="auto" w:fill="0067B3"/>
          </w:tcPr>
          <w:p>
            <w:pPr>
              <w:spacing w:after="0"/>
              <w:rPr>
                <w:sz w:val="18"/>
                <w:szCs w:val="18"/>
                <w:color w:val="auto"/>
              </w:rPr>
            </w:pPr>
          </w:p>
        </w:tc>
        <w:tc>
          <w:tcPr>
            <w:tcW w:w="960" w:type="dxa"/>
            <w:vAlign w:val="bottom"/>
            <w:shd w:val="clear" w:color="auto" w:fill="0067B3"/>
          </w:tcPr>
          <w:p>
            <w:pPr>
              <w:jc w:val="right"/>
              <w:ind w:right="12"/>
              <w:spacing w:after="0"/>
              <w:rPr>
                <w:sz w:val="20"/>
                <w:szCs w:val="20"/>
                <w:color w:val="auto"/>
              </w:rPr>
            </w:pPr>
            <w:r>
              <w:rPr>
                <w:rFonts w:ascii="Arial" w:cs="Arial" w:eastAsia="Arial" w:hAnsi="Arial"/>
                <w:sz w:val="16"/>
                <w:szCs w:val="16"/>
                <w:b w:val="1"/>
                <w:bCs w:val="1"/>
                <w:color w:val="FFFFFF"/>
                <w:w w:val="98"/>
              </w:rPr>
              <w:t>Non-Equity</w:t>
            </w:r>
          </w:p>
        </w:tc>
        <w:tc>
          <w:tcPr>
            <w:tcW w:w="480" w:type="dxa"/>
            <w:vAlign w:val="bottom"/>
            <w:shd w:val="clear" w:color="auto" w:fill="0067B3"/>
          </w:tcPr>
          <w:p>
            <w:pPr>
              <w:spacing w:after="0"/>
              <w:rPr>
                <w:sz w:val="18"/>
                <w:szCs w:val="18"/>
                <w:color w:val="auto"/>
              </w:rPr>
            </w:pPr>
          </w:p>
        </w:tc>
        <w:tc>
          <w:tcPr>
            <w:tcW w:w="840" w:type="dxa"/>
            <w:vAlign w:val="bottom"/>
            <w:shd w:val="clear" w:color="auto" w:fill="0067B3"/>
          </w:tcPr>
          <w:p>
            <w:pPr>
              <w:spacing w:after="0"/>
              <w:rPr>
                <w:sz w:val="18"/>
                <w:szCs w:val="18"/>
                <w:color w:val="auto"/>
              </w:rPr>
            </w:pPr>
          </w:p>
        </w:tc>
        <w:tc>
          <w:tcPr>
            <w:tcW w:w="240" w:type="dxa"/>
            <w:vAlign w:val="bottom"/>
            <w:shd w:val="clear" w:color="auto" w:fill="0067B3"/>
          </w:tcPr>
          <w:p>
            <w:pPr>
              <w:spacing w:after="0"/>
              <w:rPr>
                <w:sz w:val="18"/>
                <w:szCs w:val="18"/>
                <w:color w:val="auto"/>
              </w:rPr>
            </w:pPr>
          </w:p>
        </w:tc>
        <w:tc>
          <w:tcPr>
            <w:tcW w:w="980" w:type="dxa"/>
            <w:vAlign w:val="bottom"/>
            <w:shd w:val="clear" w:color="auto" w:fill="0067B3"/>
          </w:tcPr>
          <w:p>
            <w:pPr>
              <w:spacing w:after="0"/>
              <w:rPr>
                <w:sz w:val="18"/>
                <w:szCs w:val="18"/>
                <w:color w:val="auto"/>
              </w:rPr>
            </w:pPr>
          </w:p>
        </w:tc>
      </w:tr>
      <w:tr>
        <w:trPr>
          <w:trHeight w:val="189"/>
        </w:trPr>
        <w:tc>
          <w:tcPr>
            <w:tcW w:w="3120" w:type="dxa"/>
            <w:vAlign w:val="bottom"/>
            <w:shd w:val="clear" w:color="auto" w:fill="0067B3"/>
          </w:tcPr>
          <w:p>
            <w:pPr>
              <w:spacing w:after="0"/>
              <w:rPr>
                <w:sz w:val="16"/>
                <w:szCs w:val="16"/>
                <w:color w:val="auto"/>
              </w:rPr>
            </w:pPr>
          </w:p>
        </w:tc>
        <w:tc>
          <w:tcPr>
            <w:tcW w:w="660" w:type="dxa"/>
            <w:vAlign w:val="bottom"/>
            <w:shd w:val="clear" w:color="auto" w:fill="0067B3"/>
          </w:tcPr>
          <w:p>
            <w:pPr>
              <w:spacing w:after="0"/>
              <w:rPr>
                <w:sz w:val="16"/>
                <w:szCs w:val="16"/>
                <w:color w:val="auto"/>
              </w:rPr>
            </w:pPr>
          </w:p>
        </w:tc>
        <w:tc>
          <w:tcPr>
            <w:tcW w:w="320" w:type="dxa"/>
            <w:vAlign w:val="bottom"/>
            <w:shd w:val="clear" w:color="auto" w:fill="0067B3"/>
          </w:tcPr>
          <w:p>
            <w:pPr>
              <w:spacing w:after="0"/>
              <w:rPr>
                <w:sz w:val="16"/>
                <w:szCs w:val="16"/>
                <w:color w:val="auto"/>
              </w:rPr>
            </w:pPr>
          </w:p>
        </w:tc>
        <w:tc>
          <w:tcPr>
            <w:tcW w:w="980" w:type="dxa"/>
            <w:vAlign w:val="bottom"/>
            <w:shd w:val="clear" w:color="auto" w:fill="0067B3"/>
          </w:tcPr>
          <w:p>
            <w:pPr>
              <w:spacing w:after="0"/>
              <w:rPr>
                <w:sz w:val="16"/>
                <w:szCs w:val="16"/>
                <w:color w:val="auto"/>
              </w:rPr>
            </w:pPr>
          </w:p>
        </w:tc>
        <w:tc>
          <w:tcPr>
            <w:tcW w:w="220" w:type="dxa"/>
            <w:vAlign w:val="bottom"/>
            <w:shd w:val="clear" w:color="auto" w:fill="0067B3"/>
          </w:tcPr>
          <w:p>
            <w:pPr>
              <w:spacing w:after="0"/>
              <w:rPr>
                <w:sz w:val="16"/>
                <w:szCs w:val="16"/>
                <w:color w:val="auto"/>
              </w:rPr>
            </w:pPr>
          </w:p>
        </w:tc>
        <w:tc>
          <w:tcPr>
            <w:tcW w:w="840" w:type="dxa"/>
            <w:vAlign w:val="bottom"/>
            <w:shd w:val="clear" w:color="auto" w:fill="0067B3"/>
          </w:tcPr>
          <w:p>
            <w:pPr>
              <w:spacing w:after="0"/>
              <w:rPr>
                <w:sz w:val="16"/>
                <w:szCs w:val="16"/>
                <w:color w:val="auto"/>
              </w:rPr>
            </w:pPr>
          </w:p>
        </w:tc>
        <w:tc>
          <w:tcPr>
            <w:tcW w:w="220" w:type="dxa"/>
            <w:vAlign w:val="bottom"/>
            <w:shd w:val="clear" w:color="auto" w:fill="0067B3"/>
          </w:tcPr>
          <w:p>
            <w:pPr>
              <w:spacing w:after="0"/>
              <w:rPr>
                <w:sz w:val="16"/>
                <w:szCs w:val="16"/>
                <w:color w:val="auto"/>
              </w:rPr>
            </w:pPr>
          </w:p>
        </w:tc>
        <w:tc>
          <w:tcPr>
            <w:tcW w:w="1040" w:type="dxa"/>
            <w:vAlign w:val="bottom"/>
            <w:shd w:val="clear" w:color="auto" w:fill="0067B3"/>
          </w:tcPr>
          <w:p>
            <w:pPr>
              <w:jc w:val="right"/>
              <w:spacing w:after="0"/>
              <w:rPr>
                <w:sz w:val="20"/>
                <w:szCs w:val="20"/>
                <w:color w:val="auto"/>
              </w:rPr>
            </w:pPr>
            <w:r>
              <w:rPr>
                <w:rFonts w:ascii="Arial" w:cs="Arial" w:eastAsia="Arial" w:hAnsi="Arial"/>
                <w:sz w:val="16"/>
                <w:szCs w:val="16"/>
                <w:b w:val="1"/>
                <w:bCs w:val="1"/>
                <w:color w:val="FFFFFF"/>
              </w:rPr>
              <w:t>Stock</w:t>
            </w:r>
          </w:p>
        </w:tc>
        <w:tc>
          <w:tcPr>
            <w:tcW w:w="1300" w:type="dxa"/>
            <w:vAlign w:val="bottom"/>
            <w:gridSpan w:val="2"/>
            <w:shd w:val="clear" w:color="auto" w:fill="0067B3"/>
          </w:tcPr>
          <w:p>
            <w:pPr>
              <w:jc w:val="right"/>
              <w:ind w:right="12"/>
              <w:spacing w:after="0"/>
              <w:rPr>
                <w:sz w:val="20"/>
                <w:szCs w:val="20"/>
                <w:color w:val="auto"/>
              </w:rPr>
            </w:pPr>
            <w:r>
              <w:rPr>
                <w:rFonts w:ascii="Arial" w:cs="Arial" w:eastAsia="Arial" w:hAnsi="Arial"/>
                <w:sz w:val="16"/>
                <w:szCs w:val="16"/>
                <w:b w:val="1"/>
                <w:bCs w:val="1"/>
                <w:color w:val="FFFFFF"/>
              </w:rPr>
              <w:t>Incentive Plan</w:t>
            </w:r>
          </w:p>
        </w:tc>
        <w:tc>
          <w:tcPr>
            <w:tcW w:w="480" w:type="dxa"/>
            <w:vAlign w:val="bottom"/>
            <w:shd w:val="clear" w:color="auto" w:fill="0067B3"/>
          </w:tcPr>
          <w:p>
            <w:pPr>
              <w:spacing w:after="0"/>
              <w:rPr>
                <w:sz w:val="16"/>
                <w:szCs w:val="16"/>
                <w:color w:val="auto"/>
              </w:rPr>
            </w:pPr>
          </w:p>
        </w:tc>
        <w:tc>
          <w:tcPr>
            <w:tcW w:w="840" w:type="dxa"/>
            <w:vAlign w:val="bottom"/>
            <w:shd w:val="clear" w:color="auto" w:fill="0067B3"/>
          </w:tcPr>
          <w:p>
            <w:pPr>
              <w:jc w:val="right"/>
              <w:ind w:right="14"/>
              <w:spacing w:after="0"/>
              <w:rPr>
                <w:sz w:val="20"/>
                <w:szCs w:val="20"/>
                <w:color w:val="auto"/>
              </w:rPr>
            </w:pPr>
            <w:r>
              <w:rPr>
                <w:rFonts w:ascii="Arial" w:cs="Arial" w:eastAsia="Arial" w:hAnsi="Arial"/>
                <w:sz w:val="16"/>
                <w:szCs w:val="16"/>
                <w:b w:val="1"/>
                <w:bCs w:val="1"/>
                <w:color w:val="FFFFFF"/>
              </w:rPr>
              <w:t>All Other</w:t>
            </w:r>
          </w:p>
        </w:tc>
        <w:tc>
          <w:tcPr>
            <w:tcW w:w="240" w:type="dxa"/>
            <w:vAlign w:val="bottom"/>
            <w:shd w:val="clear" w:color="auto" w:fill="0067B3"/>
          </w:tcPr>
          <w:p>
            <w:pPr>
              <w:spacing w:after="0"/>
              <w:rPr>
                <w:sz w:val="16"/>
                <w:szCs w:val="16"/>
                <w:color w:val="auto"/>
              </w:rPr>
            </w:pPr>
          </w:p>
        </w:tc>
        <w:tc>
          <w:tcPr>
            <w:tcW w:w="980" w:type="dxa"/>
            <w:vAlign w:val="bottom"/>
            <w:shd w:val="clear" w:color="auto" w:fill="0067B3"/>
          </w:tcPr>
          <w:p>
            <w:pPr>
              <w:spacing w:after="0"/>
              <w:rPr>
                <w:sz w:val="16"/>
                <w:szCs w:val="16"/>
                <w:color w:val="auto"/>
              </w:rPr>
            </w:pPr>
          </w:p>
        </w:tc>
      </w:tr>
      <w:tr>
        <w:trPr>
          <w:trHeight w:val="189"/>
        </w:trPr>
        <w:tc>
          <w:tcPr>
            <w:tcW w:w="3120" w:type="dxa"/>
            <w:vAlign w:val="bottom"/>
            <w:shd w:val="clear" w:color="auto" w:fill="0067B3"/>
          </w:tcPr>
          <w:p>
            <w:pPr>
              <w:ind w:left="20"/>
              <w:spacing w:after="0"/>
              <w:rPr>
                <w:sz w:val="20"/>
                <w:szCs w:val="20"/>
                <w:color w:val="auto"/>
              </w:rPr>
            </w:pPr>
            <w:r>
              <w:rPr>
                <w:rFonts w:ascii="Arial" w:cs="Arial" w:eastAsia="Arial" w:hAnsi="Arial"/>
                <w:sz w:val="16"/>
                <w:szCs w:val="16"/>
                <w:b w:val="1"/>
                <w:bCs w:val="1"/>
                <w:color w:val="FFFFFF"/>
              </w:rPr>
              <w:t>Name and</w:t>
            </w:r>
          </w:p>
        </w:tc>
        <w:tc>
          <w:tcPr>
            <w:tcW w:w="660" w:type="dxa"/>
            <w:vAlign w:val="bottom"/>
            <w:shd w:val="clear" w:color="auto" w:fill="0067B3"/>
          </w:tcPr>
          <w:p>
            <w:pPr>
              <w:jc w:val="center"/>
              <w:spacing w:after="0"/>
              <w:rPr>
                <w:sz w:val="20"/>
                <w:szCs w:val="20"/>
                <w:color w:val="auto"/>
              </w:rPr>
            </w:pPr>
            <w:r>
              <w:rPr>
                <w:rFonts w:ascii="Arial" w:cs="Arial" w:eastAsia="Arial" w:hAnsi="Arial"/>
                <w:sz w:val="16"/>
                <w:szCs w:val="16"/>
                <w:b w:val="1"/>
                <w:bCs w:val="1"/>
                <w:color w:val="FFFFFF"/>
              </w:rPr>
              <w:t>Fiscal</w:t>
            </w:r>
          </w:p>
        </w:tc>
        <w:tc>
          <w:tcPr>
            <w:tcW w:w="320" w:type="dxa"/>
            <w:vAlign w:val="bottom"/>
            <w:shd w:val="clear" w:color="auto" w:fill="0067B3"/>
          </w:tcPr>
          <w:p>
            <w:pPr>
              <w:spacing w:after="0"/>
              <w:rPr>
                <w:sz w:val="16"/>
                <w:szCs w:val="16"/>
                <w:color w:val="auto"/>
              </w:rPr>
            </w:pPr>
          </w:p>
        </w:tc>
        <w:tc>
          <w:tcPr>
            <w:tcW w:w="980" w:type="dxa"/>
            <w:vAlign w:val="bottom"/>
            <w:shd w:val="clear" w:color="auto" w:fill="0067B3"/>
          </w:tcPr>
          <w:p>
            <w:pPr>
              <w:jc w:val="right"/>
              <w:ind w:right="32"/>
              <w:spacing w:after="0"/>
              <w:rPr>
                <w:sz w:val="20"/>
                <w:szCs w:val="20"/>
                <w:color w:val="auto"/>
              </w:rPr>
            </w:pPr>
            <w:r>
              <w:rPr>
                <w:rFonts w:ascii="Arial" w:cs="Arial" w:eastAsia="Arial" w:hAnsi="Arial"/>
                <w:sz w:val="16"/>
                <w:szCs w:val="16"/>
                <w:b w:val="1"/>
                <w:bCs w:val="1"/>
                <w:color w:val="FFFFFF"/>
              </w:rPr>
              <w:t>Salary</w:t>
            </w:r>
          </w:p>
        </w:tc>
        <w:tc>
          <w:tcPr>
            <w:tcW w:w="220" w:type="dxa"/>
            <w:vAlign w:val="bottom"/>
            <w:shd w:val="clear" w:color="auto" w:fill="0067B3"/>
          </w:tcPr>
          <w:p>
            <w:pPr>
              <w:spacing w:after="0"/>
              <w:rPr>
                <w:sz w:val="16"/>
                <w:szCs w:val="16"/>
                <w:color w:val="auto"/>
              </w:rPr>
            </w:pPr>
          </w:p>
        </w:tc>
        <w:tc>
          <w:tcPr>
            <w:tcW w:w="840" w:type="dxa"/>
            <w:vAlign w:val="bottom"/>
            <w:shd w:val="clear" w:color="auto" w:fill="0067B3"/>
          </w:tcPr>
          <w:p>
            <w:pPr>
              <w:jc w:val="right"/>
              <w:ind w:right="32"/>
              <w:spacing w:after="0"/>
              <w:rPr>
                <w:sz w:val="20"/>
                <w:szCs w:val="20"/>
                <w:color w:val="auto"/>
              </w:rPr>
            </w:pPr>
            <w:r>
              <w:rPr>
                <w:rFonts w:ascii="Arial" w:cs="Arial" w:eastAsia="Arial" w:hAnsi="Arial"/>
                <w:sz w:val="16"/>
                <w:szCs w:val="16"/>
                <w:b w:val="1"/>
                <w:bCs w:val="1"/>
                <w:color w:val="FFFFFF"/>
              </w:rPr>
              <w:t>Bonus</w:t>
            </w:r>
          </w:p>
        </w:tc>
        <w:tc>
          <w:tcPr>
            <w:tcW w:w="220" w:type="dxa"/>
            <w:vAlign w:val="bottom"/>
            <w:shd w:val="clear" w:color="auto" w:fill="0067B3"/>
          </w:tcPr>
          <w:p>
            <w:pPr>
              <w:spacing w:after="0"/>
              <w:rPr>
                <w:sz w:val="16"/>
                <w:szCs w:val="16"/>
                <w:color w:val="auto"/>
              </w:rPr>
            </w:pPr>
          </w:p>
        </w:tc>
        <w:tc>
          <w:tcPr>
            <w:tcW w:w="1040" w:type="dxa"/>
            <w:vAlign w:val="bottom"/>
            <w:shd w:val="clear" w:color="auto" w:fill="0067B3"/>
          </w:tcPr>
          <w:p>
            <w:pPr>
              <w:jc w:val="right"/>
              <w:spacing w:after="0"/>
              <w:rPr>
                <w:sz w:val="20"/>
                <w:szCs w:val="20"/>
                <w:color w:val="auto"/>
              </w:rPr>
            </w:pPr>
            <w:r>
              <w:rPr>
                <w:rFonts w:ascii="Arial" w:cs="Arial" w:eastAsia="Arial" w:hAnsi="Arial"/>
                <w:sz w:val="16"/>
                <w:szCs w:val="16"/>
                <w:b w:val="1"/>
                <w:bCs w:val="1"/>
                <w:color w:val="FFFFFF"/>
              </w:rPr>
              <w:t>Awards</w:t>
            </w:r>
          </w:p>
        </w:tc>
        <w:tc>
          <w:tcPr>
            <w:tcW w:w="1300" w:type="dxa"/>
            <w:vAlign w:val="bottom"/>
            <w:gridSpan w:val="2"/>
            <w:shd w:val="clear" w:color="auto" w:fill="0067B3"/>
          </w:tcPr>
          <w:p>
            <w:pPr>
              <w:jc w:val="right"/>
              <w:ind w:right="12"/>
              <w:spacing w:after="0"/>
              <w:rPr>
                <w:sz w:val="20"/>
                <w:szCs w:val="20"/>
                <w:color w:val="auto"/>
              </w:rPr>
            </w:pPr>
            <w:r>
              <w:rPr>
                <w:rFonts w:ascii="Arial" w:cs="Arial" w:eastAsia="Arial" w:hAnsi="Arial"/>
                <w:sz w:val="16"/>
                <w:szCs w:val="16"/>
                <w:b w:val="1"/>
                <w:bCs w:val="1"/>
                <w:color w:val="FFFFFF"/>
              </w:rPr>
              <w:t>Compensation</w:t>
            </w:r>
          </w:p>
        </w:tc>
        <w:tc>
          <w:tcPr>
            <w:tcW w:w="1320" w:type="dxa"/>
            <w:vAlign w:val="bottom"/>
            <w:gridSpan w:val="2"/>
            <w:shd w:val="clear" w:color="auto" w:fill="0067B3"/>
          </w:tcPr>
          <w:p>
            <w:pPr>
              <w:jc w:val="right"/>
              <w:ind w:right="14"/>
              <w:spacing w:after="0"/>
              <w:rPr>
                <w:sz w:val="20"/>
                <w:szCs w:val="20"/>
                <w:color w:val="auto"/>
              </w:rPr>
            </w:pPr>
            <w:r>
              <w:rPr>
                <w:rFonts w:ascii="Arial" w:cs="Arial" w:eastAsia="Arial" w:hAnsi="Arial"/>
                <w:sz w:val="16"/>
                <w:szCs w:val="16"/>
                <w:b w:val="1"/>
                <w:bCs w:val="1"/>
                <w:color w:val="FFFFFF"/>
              </w:rPr>
              <w:t>Compensation</w:t>
            </w:r>
          </w:p>
        </w:tc>
        <w:tc>
          <w:tcPr>
            <w:tcW w:w="240" w:type="dxa"/>
            <w:vAlign w:val="bottom"/>
            <w:shd w:val="clear" w:color="auto" w:fill="0067B3"/>
          </w:tcPr>
          <w:p>
            <w:pPr>
              <w:spacing w:after="0"/>
              <w:rPr>
                <w:sz w:val="16"/>
                <w:szCs w:val="16"/>
                <w:color w:val="auto"/>
              </w:rPr>
            </w:pPr>
          </w:p>
        </w:tc>
        <w:tc>
          <w:tcPr>
            <w:tcW w:w="980" w:type="dxa"/>
            <w:vAlign w:val="bottom"/>
            <w:shd w:val="clear" w:color="auto" w:fill="0067B3"/>
          </w:tcPr>
          <w:p>
            <w:pPr>
              <w:jc w:val="right"/>
              <w:spacing w:after="0"/>
              <w:rPr>
                <w:sz w:val="20"/>
                <w:szCs w:val="20"/>
                <w:color w:val="auto"/>
              </w:rPr>
            </w:pPr>
            <w:r>
              <w:rPr>
                <w:rFonts w:ascii="Arial" w:cs="Arial" w:eastAsia="Arial" w:hAnsi="Arial"/>
                <w:sz w:val="16"/>
                <w:szCs w:val="16"/>
                <w:b w:val="1"/>
                <w:bCs w:val="1"/>
                <w:color w:val="FFFFFF"/>
              </w:rPr>
              <w:t>Total</w:t>
            </w:r>
          </w:p>
        </w:tc>
      </w:tr>
      <w:tr>
        <w:trPr>
          <w:trHeight w:val="244"/>
        </w:trPr>
        <w:tc>
          <w:tcPr>
            <w:tcW w:w="3120" w:type="dxa"/>
            <w:vAlign w:val="bottom"/>
            <w:shd w:val="clear" w:color="auto" w:fill="0067B3"/>
          </w:tcPr>
          <w:p>
            <w:pPr>
              <w:ind w:left="20"/>
              <w:spacing w:after="0"/>
              <w:rPr>
                <w:sz w:val="20"/>
                <w:szCs w:val="20"/>
                <w:color w:val="auto"/>
              </w:rPr>
            </w:pPr>
            <w:r>
              <w:rPr>
                <w:rFonts w:ascii="Arial" w:cs="Arial" w:eastAsia="Arial" w:hAnsi="Arial"/>
                <w:sz w:val="16"/>
                <w:szCs w:val="16"/>
                <w:b w:val="1"/>
                <w:bCs w:val="1"/>
                <w:color w:val="FFFFFF"/>
              </w:rPr>
              <w:t>Principal Position</w:t>
            </w:r>
          </w:p>
        </w:tc>
        <w:tc>
          <w:tcPr>
            <w:tcW w:w="660" w:type="dxa"/>
            <w:vAlign w:val="bottom"/>
            <w:shd w:val="clear" w:color="auto" w:fill="0067B3"/>
          </w:tcPr>
          <w:p>
            <w:pPr>
              <w:jc w:val="center"/>
              <w:spacing w:after="0"/>
              <w:rPr>
                <w:sz w:val="20"/>
                <w:szCs w:val="20"/>
                <w:color w:val="auto"/>
              </w:rPr>
            </w:pPr>
            <w:r>
              <w:rPr>
                <w:rFonts w:ascii="Arial" w:cs="Arial" w:eastAsia="Arial" w:hAnsi="Arial"/>
                <w:sz w:val="16"/>
                <w:szCs w:val="16"/>
                <w:b w:val="1"/>
                <w:bCs w:val="1"/>
                <w:color w:val="FFFFFF"/>
                <w:w w:val="97"/>
              </w:rPr>
              <w:t>Year</w:t>
            </w:r>
          </w:p>
        </w:tc>
        <w:tc>
          <w:tcPr>
            <w:tcW w:w="320" w:type="dxa"/>
            <w:vAlign w:val="bottom"/>
            <w:shd w:val="clear" w:color="auto" w:fill="0067B3"/>
          </w:tcPr>
          <w:p>
            <w:pPr>
              <w:spacing w:after="0"/>
              <w:rPr>
                <w:sz w:val="21"/>
                <w:szCs w:val="21"/>
                <w:color w:val="auto"/>
              </w:rPr>
            </w:pPr>
          </w:p>
        </w:tc>
        <w:tc>
          <w:tcPr>
            <w:tcW w:w="980" w:type="dxa"/>
            <w:vAlign w:val="bottom"/>
            <w:shd w:val="clear" w:color="auto" w:fill="0067B3"/>
          </w:tcPr>
          <w:p>
            <w:pPr>
              <w:jc w:val="right"/>
              <w:ind w:right="32"/>
              <w:spacing w:after="0"/>
              <w:rPr>
                <w:sz w:val="20"/>
                <w:szCs w:val="20"/>
                <w:color w:val="auto"/>
              </w:rPr>
            </w:pPr>
            <w:r>
              <w:rPr>
                <w:rFonts w:ascii="Arial" w:cs="Arial" w:eastAsia="Arial" w:hAnsi="Arial"/>
                <w:sz w:val="16"/>
                <w:szCs w:val="16"/>
                <w:b w:val="1"/>
                <w:bCs w:val="1"/>
                <w:color w:val="FFFFFF"/>
              </w:rPr>
              <w:t>($)</w:t>
            </w:r>
            <w:r>
              <w:rPr>
                <w:rFonts w:ascii="Arial" w:cs="Arial" w:eastAsia="Arial" w:hAnsi="Arial"/>
                <w:sz w:val="21"/>
                <w:szCs w:val="21"/>
                <w:b w:val="1"/>
                <w:bCs w:val="1"/>
                <w:color w:val="FFFFFF"/>
                <w:vertAlign w:val="superscript"/>
              </w:rPr>
              <w:t>(1)</w:t>
            </w:r>
          </w:p>
        </w:tc>
        <w:tc>
          <w:tcPr>
            <w:tcW w:w="220" w:type="dxa"/>
            <w:vAlign w:val="bottom"/>
            <w:shd w:val="clear" w:color="auto" w:fill="0067B3"/>
          </w:tcPr>
          <w:p>
            <w:pPr>
              <w:spacing w:after="0"/>
              <w:rPr>
                <w:sz w:val="21"/>
                <w:szCs w:val="21"/>
                <w:color w:val="auto"/>
              </w:rPr>
            </w:pPr>
          </w:p>
        </w:tc>
        <w:tc>
          <w:tcPr>
            <w:tcW w:w="840" w:type="dxa"/>
            <w:vAlign w:val="bottom"/>
            <w:shd w:val="clear" w:color="auto" w:fill="0067B3"/>
          </w:tcPr>
          <w:p>
            <w:pPr>
              <w:jc w:val="right"/>
              <w:ind w:right="32"/>
              <w:spacing w:after="0"/>
              <w:rPr>
                <w:sz w:val="20"/>
                <w:szCs w:val="20"/>
                <w:color w:val="auto"/>
              </w:rPr>
            </w:pPr>
            <w:r>
              <w:rPr>
                <w:rFonts w:ascii="Arial" w:cs="Arial" w:eastAsia="Arial" w:hAnsi="Arial"/>
                <w:sz w:val="16"/>
                <w:szCs w:val="16"/>
                <w:b w:val="1"/>
                <w:bCs w:val="1"/>
                <w:color w:val="FFFFFF"/>
              </w:rPr>
              <w:t>($)</w:t>
            </w:r>
          </w:p>
        </w:tc>
        <w:tc>
          <w:tcPr>
            <w:tcW w:w="220" w:type="dxa"/>
            <w:vAlign w:val="bottom"/>
            <w:shd w:val="clear" w:color="auto" w:fill="0067B3"/>
          </w:tcPr>
          <w:p>
            <w:pPr>
              <w:spacing w:after="0"/>
              <w:rPr>
                <w:sz w:val="21"/>
                <w:szCs w:val="21"/>
                <w:color w:val="auto"/>
              </w:rPr>
            </w:pPr>
          </w:p>
        </w:tc>
        <w:tc>
          <w:tcPr>
            <w:tcW w:w="1040" w:type="dxa"/>
            <w:vAlign w:val="bottom"/>
            <w:shd w:val="clear" w:color="auto" w:fill="0067B3"/>
          </w:tcPr>
          <w:p>
            <w:pPr>
              <w:jc w:val="right"/>
              <w:spacing w:after="0" w:line="243" w:lineRule="exact"/>
              <w:rPr>
                <w:sz w:val="20"/>
                <w:szCs w:val="20"/>
                <w:color w:val="auto"/>
              </w:rPr>
            </w:pPr>
            <w:r>
              <w:rPr>
                <w:rFonts w:ascii="Arial" w:cs="Arial" w:eastAsia="Arial" w:hAnsi="Arial"/>
                <w:sz w:val="28"/>
                <w:szCs w:val="28"/>
                <w:b w:val="1"/>
                <w:bCs w:val="1"/>
                <w:color w:val="FFFFFF"/>
                <w:vertAlign w:val="subscript"/>
              </w:rPr>
              <w:t>($)</w:t>
            </w:r>
            <w:r>
              <w:rPr>
                <w:rFonts w:ascii="Arial" w:cs="Arial" w:eastAsia="Arial" w:hAnsi="Arial"/>
                <w:sz w:val="10"/>
                <w:szCs w:val="10"/>
                <w:b w:val="1"/>
                <w:bCs w:val="1"/>
                <w:color w:val="FFFFFF"/>
              </w:rPr>
              <w:t>(2)</w:t>
            </w:r>
          </w:p>
        </w:tc>
        <w:tc>
          <w:tcPr>
            <w:tcW w:w="340" w:type="dxa"/>
            <w:vAlign w:val="bottom"/>
            <w:shd w:val="clear" w:color="auto" w:fill="0067B3"/>
          </w:tcPr>
          <w:p>
            <w:pPr>
              <w:spacing w:after="0"/>
              <w:rPr>
                <w:sz w:val="21"/>
                <w:szCs w:val="21"/>
                <w:color w:val="auto"/>
              </w:rPr>
            </w:pPr>
          </w:p>
        </w:tc>
        <w:tc>
          <w:tcPr>
            <w:tcW w:w="960" w:type="dxa"/>
            <w:vAlign w:val="bottom"/>
            <w:shd w:val="clear" w:color="auto" w:fill="0067B3"/>
          </w:tcPr>
          <w:p>
            <w:pPr>
              <w:jc w:val="right"/>
              <w:ind w:right="12"/>
              <w:spacing w:after="0"/>
              <w:rPr>
                <w:sz w:val="20"/>
                <w:szCs w:val="20"/>
                <w:color w:val="auto"/>
              </w:rPr>
            </w:pPr>
            <w:r>
              <w:rPr>
                <w:rFonts w:ascii="Arial" w:cs="Arial" w:eastAsia="Arial" w:hAnsi="Arial"/>
                <w:sz w:val="16"/>
                <w:szCs w:val="16"/>
                <w:b w:val="1"/>
                <w:bCs w:val="1"/>
                <w:color w:val="FFFFFF"/>
              </w:rPr>
              <w:t>($)</w:t>
            </w:r>
            <w:r>
              <w:rPr>
                <w:rFonts w:ascii="Arial" w:cs="Arial" w:eastAsia="Arial" w:hAnsi="Arial"/>
                <w:sz w:val="21"/>
                <w:szCs w:val="21"/>
                <w:b w:val="1"/>
                <w:bCs w:val="1"/>
                <w:color w:val="FFFFFF"/>
                <w:vertAlign w:val="superscript"/>
              </w:rPr>
              <w:t>(3)</w:t>
            </w:r>
          </w:p>
        </w:tc>
        <w:tc>
          <w:tcPr>
            <w:tcW w:w="480" w:type="dxa"/>
            <w:vAlign w:val="bottom"/>
            <w:shd w:val="clear" w:color="auto" w:fill="0067B3"/>
          </w:tcPr>
          <w:p>
            <w:pPr>
              <w:spacing w:after="0"/>
              <w:rPr>
                <w:sz w:val="21"/>
                <w:szCs w:val="21"/>
                <w:color w:val="auto"/>
              </w:rPr>
            </w:pPr>
          </w:p>
        </w:tc>
        <w:tc>
          <w:tcPr>
            <w:tcW w:w="840" w:type="dxa"/>
            <w:vAlign w:val="bottom"/>
            <w:shd w:val="clear" w:color="auto" w:fill="0067B3"/>
          </w:tcPr>
          <w:p>
            <w:pPr>
              <w:jc w:val="right"/>
              <w:ind w:right="14"/>
              <w:spacing w:after="0" w:line="243" w:lineRule="exact"/>
              <w:rPr>
                <w:sz w:val="20"/>
                <w:szCs w:val="20"/>
                <w:color w:val="auto"/>
              </w:rPr>
            </w:pPr>
            <w:r>
              <w:rPr>
                <w:rFonts w:ascii="Arial" w:cs="Arial" w:eastAsia="Arial" w:hAnsi="Arial"/>
                <w:sz w:val="28"/>
                <w:szCs w:val="28"/>
                <w:b w:val="1"/>
                <w:bCs w:val="1"/>
                <w:color w:val="FFFFFF"/>
                <w:vertAlign w:val="subscript"/>
              </w:rPr>
              <w:t>($)</w:t>
            </w:r>
            <w:r>
              <w:rPr>
                <w:rFonts w:ascii="Arial" w:cs="Arial" w:eastAsia="Arial" w:hAnsi="Arial"/>
                <w:sz w:val="10"/>
                <w:szCs w:val="10"/>
                <w:b w:val="1"/>
                <w:bCs w:val="1"/>
                <w:color w:val="FFFFFF"/>
              </w:rPr>
              <w:t>(4)</w:t>
            </w:r>
          </w:p>
        </w:tc>
        <w:tc>
          <w:tcPr>
            <w:tcW w:w="240" w:type="dxa"/>
            <w:vAlign w:val="bottom"/>
            <w:shd w:val="clear" w:color="auto" w:fill="0067B3"/>
          </w:tcPr>
          <w:p>
            <w:pPr>
              <w:spacing w:after="0"/>
              <w:rPr>
                <w:sz w:val="21"/>
                <w:szCs w:val="21"/>
                <w:color w:val="auto"/>
              </w:rPr>
            </w:pPr>
          </w:p>
        </w:tc>
        <w:tc>
          <w:tcPr>
            <w:tcW w:w="980" w:type="dxa"/>
            <w:vAlign w:val="bottom"/>
            <w:shd w:val="clear" w:color="auto" w:fill="0067B3"/>
          </w:tcPr>
          <w:p>
            <w:pPr>
              <w:jc w:val="right"/>
              <w:spacing w:after="0"/>
              <w:rPr>
                <w:sz w:val="20"/>
                <w:szCs w:val="20"/>
                <w:color w:val="auto"/>
              </w:rPr>
            </w:pPr>
            <w:r>
              <w:rPr>
                <w:rFonts w:ascii="Arial" w:cs="Arial" w:eastAsia="Arial" w:hAnsi="Arial"/>
                <w:sz w:val="16"/>
                <w:szCs w:val="16"/>
                <w:b w:val="1"/>
                <w:bCs w:val="1"/>
                <w:color w:val="FFFFFF"/>
              </w:rPr>
              <w:t>($)</w:t>
            </w:r>
          </w:p>
        </w:tc>
      </w:tr>
      <w:tr>
        <w:trPr>
          <w:trHeight w:val="268"/>
        </w:trPr>
        <w:tc>
          <w:tcPr>
            <w:tcW w:w="3120" w:type="dxa"/>
            <w:vAlign w:val="bottom"/>
            <w:shd w:val="clear" w:color="auto" w:fill="E2E6F4"/>
          </w:tcPr>
          <w:p>
            <w:pPr>
              <w:ind w:left="20"/>
              <w:spacing w:after="0"/>
              <w:rPr>
                <w:sz w:val="20"/>
                <w:szCs w:val="20"/>
                <w:color w:val="auto"/>
              </w:rPr>
            </w:pPr>
            <w:r>
              <w:rPr>
                <w:rFonts w:ascii="Arial" w:cs="Arial" w:eastAsia="Arial" w:hAnsi="Arial"/>
                <w:sz w:val="18"/>
                <w:szCs w:val="18"/>
                <w:b w:val="1"/>
                <w:bCs w:val="1"/>
                <w:color w:val="0067B3"/>
              </w:rPr>
              <w:t>Vincent Roche</w:t>
            </w:r>
          </w:p>
        </w:tc>
        <w:tc>
          <w:tcPr>
            <w:tcW w:w="660" w:type="dxa"/>
            <w:vAlign w:val="bottom"/>
            <w:shd w:val="clear" w:color="auto" w:fill="E2E6F4"/>
          </w:tcPr>
          <w:p>
            <w:pPr>
              <w:jc w:val="center"/>
              <w:spacing w:after="0"/>
              <w:rPr>
                <w:sz w:val="20"/>
                <w:szCs w:val="20"/>
                <w:color w:val="auto"/>
              </w:rPr>
            </w:pPr>
            <w:r>
              <w:rPr>
                <w:rFonts w:ascii="Arial" w:cs="Arial" w:eastAsia="Arial" w:hAnsi="Arial"/>
                <w:sz w:val="18"/>
                <w:szCs w:val="18"/>
                <w:color w:val="auto"/>
                <w:w w:val="99"/>
              </w:rPr>
              <w:t>2025</w:t>
            </w:r>
          </w:p>
        </w:tc>
        <w:tc>
          <w:tcPr>
            <w:tcW w:w="320" w:type="dxa"/>
            <w:vAlign w:val="bottom"/>
            <w:shd w:val="clear" w:color="auto" w:fill="E2E6F4"/>
          </w:tcPr>
          <w:p>
            <w:pPr>
              <w:jc w:val="right"/>
              <w:spacing w:after="0"/>
              <w:rPr>
                <w:sz w:val="20"/>
                <w:szCs w:val="20"/>
                <w:color w:val="auto"/>
              </w:rPr>
            </w:pPr>
            <w:r>
              <w:rPr>
                <w:rFonts w:ascii="Arial" w:cs="Arial" w:eastAsia="Arial" w:hAnsi="Arial"/>
                <w:sz w:val="18"/>
                <w:szCs w:val="18"/>
                <w:color w:val="auto"/>
              </w:rPr>
              <w:t>$</w:t>
            </w:r>
          </w:p>
        </w:tc>
        <w:tc>
          <w:tcPr>
            <w:tcW w:w="980" w:type="dxa"/>
            <w:vAlign w:val="bottom"/>
            <w:shd w:val="clear" w:color="auto" w:fill="E2E6F4"/>
          </w:tcPr>
          <w:p>
            <w:pPr>
              <w:jc w:val="right"/>
              <w:ind w:right="92"/>
              <w:spacing w:after="0"/>
              <w:rPr>
                <w:sz w:val="20"/>
                <w:szCs w:val="20"/>
                <w:color w:val="auto"/>
              </w:rPr>
            </w:pPr>
            <w:r>
              <w:rPr>
                <w:rFonts w:ascii="Arial" w:cs="Arial" w:eastAsia="Arial" w:hAnsi="Arial"/>
                <w:sz w:val="18"/>
                <w:szCs w:val="18"/>
                <w:color w:val="auto"/>
                <w:w w:val="97"/>
              </w:rPr>
              <w:t>1,200,000</w:t>
            </w:r>
          </w:p>
        </w:tc>
        <w:tc>
          <w:tcPr>
            <w:tcW w:w="220" w:type="dxa"/>
            <w:vAlign w:val="bottom"/>
            <w:shd w:val="clear" w:color="auto" w:fill="E2E6F4"/>
          </w:tcPr>
          <w:p>
            <w:pPr>
              <w:jc w:val="right"/>
              <w:spacing w:after="0"/>
              <w:rPr>
                <w:sz w:val="20"/>
                <w:szCs w:val="20"/>
                <w:color w:val="auto"/>
              </w:rPr>
            </w:pPr>
            <w:r>
              <w:rPr>
                <w:rFonts w:ascii="Arial" w:cs="Arial" w:eastAsia="Arial" w:hAnsi="Arial"/>
                <w:sz w:val="18"/>
                <w:szCs w:val="18"/>
                <w:color w:val="auto"/>
              </w:rPr>
              <w:t>$</w:t>
            </w:r>
          </w:p>
        </w:tc>
        <w:tc>
          <w:tcPr>
            <w:tcW w:w="840" w:type="dxa"/>
            <w:vAlign w:val="bottom"/>
            <w:shd w:val="clear" w:color="auto" w:fill="E2E6F4"/>
          </w:tcPr>
          <w:p>
            <w:pPr>
              <w:jc w:val="right"/>
              <w:ind w:right="92"/>
              <w:spacing w:after="0"/>
              <w:rPr>
                <w:sz w:val="20"/>
                <w:szCs w:val="20"/>
                <w:color w:val="auto"/>
              </w:rPr>
            </w:pPr>
            <w:r>
              <w:rPr>
                <w:rFonts w:ascii="Arial" w:cs="Arial" w:eastAsia="Arial" w:hAnsi="Arial"/>
                <w:sz w:val="18"/>
                <w:szCs w:val="18"/>
                <w:color w:val="auto"/>
              </w:rPr>
              <w:t>—</w:t>
            </w:r>
          </w:p>
        </w:tc>
        <w:tc>
          <w:tcPr>
            <w:tcW w:w="220" w:type="dxa"/>
            <w:vAlign w:val="bottom"/>
            <w:shd w:val="clear" w:color="auto" w:fill="E2E6F4"/>
          </w:tcPr>
          <w:p>
            <w:pPr>
              <w:jc w:val="right"/>
              <w:spacing w:after="0"/>
              <w:rPr>
                <w:sz w:val="20"/>
                <w:szCs w:val="20"/>
                <w:color w:val="auto"/>
              </w:rPr>
            </w:pPr>
            <w:r>
              <w:rPr>
                <w:rFonts w:ascii="Arial" w:cs="Arial" w:eastAsia="Arial" w:hAnsi="Arial"/>
                <w:sz w:val="18"/>
                <w:szCs w:val="18"/>
                <w:color w:val="auto"/>
              </w:rPr>
              <w:t>$</w:t>
            </w:r>
          </w:p>
        </w:tc>
        <w:tc>
          <w:tcPr>
            <w:tcW w:w="1040" w:type="dxa"/>
            <w:vAlign w:val="bottom"/>
            <w:shd w:val="clear" w:color="auto" w:fill="E2E6F4"/>
          </w:tcPr>
          <w:p>
            <w:pPr>
              <w:jc w:val="right"/>
              <w:ind w:right="55"/>
              <w:spacing w:after="0"/>
              <w:rPr>
                <w:sz w:val="20"/>
                <w:szCs w:val="20"/>
                <w:color w:val="auto"/>
              </w:rPr>
            </w:pPr>
            <w:r>
              <w:rPr>
                <w:rFonts w:ascii="Arial" w:cs="Arial" w:eastAsia="Arial" w:hAnsi="Arial"/>
                <w:sz w:val="18"/>
                <w:szCs w:val="18"/>
                <w:color w:val="auto"/>
                <w:w w:val="97"/>
              </w:rPr>
              <w:t>22,002,279</w:t>
            </w:r>
          </w:p>
        </w:tc>
        <w:tc>
          <w:tcPr>
            <w:tcW w:w="340" w:type="dxa"/>
            <w:vAlign w:val="bottom"/>
            <w:shd w:val="clear" w:color="auto" w:fill="E2E6F4"/>
          </w:tcPr>
          <w:p>
            <w:pPr>
              <w:jc w:val="right"/>
              <w:spacing w:after="0"/>
              <w:rPr>
                <w:sz w:val="20"/>
                <w:szCs w:val="20"/>
                <w:color w:val="auto"/>
              </w:rPr>
            </w:pPr>
            <w:r>
              <w:rPr>
                <w:rFonts w:ascii="Arial" w:cs="Arial" w:eastAsia="Arial" w:hAnsi="Arial"/>
                <w:sz w:val="18"/>
                <w:szCs w:val="18"/>
                <w:color w:val="auto"/>
              </w:rPr>
              <w:t>$</w:t>
            </w:r>
          </w:p>
        </w:tc>
        <w:tc>
          <w:tcPr>
            <w:tcW w:w="960" w:type="dxa"/>
            <w:vAlign w:val="bottom"/>
            <w:shd w:val="clear" w:color="auto" w:fill="E2E6F4"/>
          </w:tcPr>
          <w:p>
            <w:pPr>
              <w:jc w:val="right"/>
              <w:ind w:right="72"/>
              <w:spacing w:after="0"/>
              <w:rPr>
                <w:sz w:val="20"/>
                <w:szCs w:val="20"/>
                <w:color w:val="auto"/>
              </w:rPr>
            </w:pPr>
            <w:r>
              <w:rPr>
                <w:rFonts w:ascii="Arial" w:cs="Arial" w:eastAsia="Arial" w:hAnsi="Arial"/>
                <w:sz w:val="18"/>
                <w:szCs w:val="18"/>
                <w:color w:val="auto"/>
                <w:w w:val="97"/>
              </w:rPr>
              <w:t>3,864,000</w:t>
            </w:r>
          </w:p>
        </w:tc>
        <w:tc>
          <w:tcPr>
            <w:tcW w:w="480" w:type="dxa"/>
            <w:vAlign w:val="bottom"/>
            <w:shd w:val="clear" w:color="auto" w:fill="E2E6F4"/>
          </w:tcPr>
          <w:p>
            <w:pPr>
              <w:jc w:val="right"/>
              <w:spacing w:after="0"/>
              <w:rPr>
                <w:sz w:val="20"/>
                <w:szCs w:val="20"/>
                <w:color w:val="auto"/>
              </w:rPr>
            </w:pPr>
            <w:r>
              <w:rPr>
                <w:rFonts w:ascii="Arial" w:cs="Arial" w:eastAsia="Arial" w:hAnsi="Arial"/>
                <w:sz w:val="18"/>
                <w:szCs w:val="18"/>
                <w:color w:val="auto"/>
              </w:rPr>
              <w:t>$</w:t>
            </w:r>
          </w:p>
        </w:tc>
        <w:tc>
          <w:tcPr>
            <w:tcW w:w="840" w:type="dxa"/>
            <w:vAlign w:val="bottom"/>
            <w:shd w:val="clear" w:color="auto" w:fill="E2E6F4"/>
          </w:tcPr>
          <w:p>
            <w:pPr>
              <w:jc w:val="right"/>
              <w:ind w:right="74"/>
              <w:spacing w:after="0"/>
              <w:rPr>
                <w:sz w:val="20"/>
                <w:szCs w:val="20"/>
                <w:color w:val="auto"/>
              </w:rPr>
            </w:pPr>
            <w:r>
              <w:rPr>
                <w:rFonts w:ascii="Arial" w:cs="Arial" w:eastAsia="Arial" w:hAnsi="Arial"/>
                <w:sz w:val="18"/>
                <w:szCs w:val="18"/>
                <w:color w:val="auto"/>
              </w:rPr>
              <w:t>389,986</w:t>
            </w:r>
          </w:p>
        </w:tc>
        <w:tc>
          <w:tcPr>
            <w:tcW w:w="240" w:type="dxa"/>
            <w:vAlign w:val="bottom"/>
            <w:shd w:val="clear" w:color="auto" w:fill="E2E6F4"/>
          </w:tcPr>
          <w:p>
            <w:pPr>
              <w:jc w:val="right"/>
              <w:spacing w:after="0"/>
              <w:rPr>
                <w:sz w:val="20"/>
                <w:szCs w:val="20"/>
                <w:color w:val="auto"/>
              </w:rPr>
            </w:pPr>
            <w:r>
              <w:rPr>
                <w:rFonts w:ascii="Arial" w:cs="Arial" w:eastAsia="Arial" w:hAnsi="Arial"/>
                <w:sz w:val="18"/>
                <w:szCs w:val="18"/>
                <w:color w:val="auto"/>
              </w:rPr>
              <w:t>$</w:t>
            </w:r>
          </w:p>
        </w:tc>
        <w:tc>
          <w:tcPr>
            <w:tcW w:w="980" w:type="dxa"/>
            <w:vAlign w:val="bottom"/>
            <w:shd w:val="clear" w:color="auto" w:fill="E2E6F4"/>
          </w:tcPr>
          <w:p>
            <w:pPr>
              <w:jc w:val="right"/>
              <w:spacing w:after="0"/>
              <w:rPr>
                <w:sz w:val="20"/>
                <w:szCs w:val="20"/>
                <w:color w:val="auto"/>
              </w:rPr>
            </w:pPr>
            <w:r>
              <w:rPr>
                <w:rFonts w:ascii="Arial" w:cs="Arial" w:eastAsia="Arial" w:hAnsi="Arial"/>
                <w:sz w:val="18"/>
                <w:szCs w:val="18"/>
                <w:color w:val="auto"/>
                <w:w w:val="97"/>
              </w:rPr>
              <w:t>27,456,265</w:t>
            </w:r>
          </w:p>
        </w:tc>
      </w:tr>
      <w:tr>
        <w:trPr>
          <w:trHeight w:val="272"/>
        </w:trPr>
        <w:tc>
          <w:tcPr>
            <w:tcW w:w="3120" w:type="dxa"/>
            <w:vAlign w:val="bottom"/>
            <w:shd w:val="clear" w:color="auto" w:fill="E2E6F4"/>
          </w:tcPr>
          <w:p>
            <w:pPr>
              <w:ind w:left="20"/>
              <w:spacing w:after="0"/>
              <w:rPr>
                <w:sz w:val="20"/>
                <w:szCs w:val="20"/>
                <w:color w:val="auto"/>
              </w:rPr>
            </w:pPr>
            <w:r>
              <w:rPr>
                <w:rFonts w:ascii="Arial" w:cs="Arial" w:eastAsia="Arial" w:hAnsi="Arial"/>
                <w:sz w:val="18"/>
                <w:szCs w:val="18"/>
                <w:color w:val="auto"/>
              </w:rPr>
              <w:t>Chief Executive Officer and</w:t>
            </w:r>
          </w:p>
        </w:tc>
        <w:tc>
          <w:tcPr>
            <w:tcW w:w="660" w:type="dxa"/>
            <w:vAlign w:val="bottom"/>
            <w:shd w:val="clear" w:color="auto" w:fill="E2E6F4"/>
          </w:tcPr>
          <w:p>
            <w:pPr>
              <w:jc w:val="center"/>
              <w:spacing w:after="0"/>
              <w:rPr>
                <w:sz w:val="20"/>
                <w:szCs w:val="20"/>
                <w:color w:val="auto"/>
              </w:rPr>
            </w:pPr>
            <w:r>
              <w:rPr>
                <w:rFonts w:ascii="Arial" w:cs="Arial" w:eastAsia="Arial" w:hAnsi="Arial"/>
                <w:sz w:val="18"/>
                <w:szCs w:val="18"/>
                <w:color w:val="auto"/>
                <w:w w:val="99"/>
              </w:rPr>
              <w:t>2024</w:t>
            </w:r>
          </w:p>
        </w:tc>
        <w:tc>
          <w:tcPr>
            <w:tcW w:w="320" w:type="dxa"/>
            <w:vAlign w:val="bottom"/>
            <w:shd w:val="clear" w:color="auto" w:fill="E2E6F4"/>
          </w:tcPr>
          <w:p>
            <w:pPr>
              <w:jc w:val="right"/>
              <w:spacing w:after="0"/>
              <w:rPr>
                <w:sz w:val="20"/>
                <w:szCs w:val="20"/>
                <w:color w:val="auto"/>
              </w:rPr>
            </w:pPr>
            <w:r>
              <w:rPr>
                <w:rFonts w:ascii="Arial" w:cs="Arial" w:eastAsia="Arial" w:hAnsi="Arial"/>
                <w:sz w:val="18"/>
                <w:szCs w:val="18"/>
                <w:color w:val="auto"/>
              </w:rPr>
              <w:t>$</w:t>
            </w:r>
          </w:p>
        </w:tc>
        <w:tc>
          <w:tcPr>
            <w:tcW w:w="980" w:type="dxa"/>
            <w:vAlign w:val="bottom"/>
            <w:shd w:val="clear" w:color="auto" w:fill="E2E6F4"/>
          </w:tcPr>
          <w:p>
            <w:pPr>
              <w:jc w:val="right"/>
              <w:ind w:right="92"/>
              <w:spacing w:after="0"/>
              <w:rPr>
                <w:sz w:val="20"/>
                <w:szCs w:val="20"/>
                <w:color w:val="auto"/>
              </w:rPr>
            </w:pPr>
            <w:r>
              <w:rPr>
                <w:rFonts w:ascii="Arial" w:cs="Arial" w:eastAsia="Arial" w:hAnsi="Arial"/>
                <w:sz w:val="18"/>
                <w:szCs w:val="18"/>
                <w:color w:val="auto"/>
                <w:w w:val="97"/>
              </w:rPr>
              <w:t>1,137,692</w:t>
            </w:r>
          </w:p>
        </w:tc>
        <w:tc>
          <w:tcPr>
            <w:tcW w:w="220" w:type="dxa"/>
            <w:vAlign w:val="bottom"/>
            <w:shd w:val="clear" w:color="auto" w:fill="E2E6F4"/>
          </w:tcPr>
          <w:p>
            <w:pPr>
              <w:jc w:val="right"/>
              <w:spacing w:after="0"/>
              <w:rPr>
                <w:sz w:val="20"/>
                <w:szCs w:val="20"/>
                <w:color w:val="auto"/>
              </w:rPr>
            </w:pPr>
            <w:r>
              <w:rPr>
                <w:rFonts w:ascii="Arial" w:cs="Arial" w:eastAsia="Arial" w:hAnsi="Arial"/>
                <w:sz w:val="18"/>
                <w:szCs w:val="18"/>
                <w:color w:val="auto"/>
              </w:rPr>
              <w:t>$</w:t>
            </w:r>
          </w:p>
        </w:tc>
        <w:tc>
          <w:tcPr>
            <w:tcW w:w="840" w:type="dxa"/>
            <w:vAlign w:val="bottom"/>
            <w:shd w:val="clear" w:color="auto" w:fill="E2E6F4"/>
          </w:tcPr>
          <w:p>
            <w:pPr>
              <w:jc w:val="right"/>
              <w:ind w:right="92"/>
              <w:spacing w:after="0"/>
              <w:rPr>
                <w:sz w:val="20"/>
                <w:szCs w:val="20"/>
                <w:color w:val="auto"/>
              </w:rPr>
            </w:pPr>
            <w:r>
              <w:rPr>
                <w:rFonts w:ascii="Arial" w:cs="Arial" w:eastAsia="Arial" w:hAnsi="Arial"/>
                <w:sz w:val="18"/>
                <w:szCs w:val="18"/>
                <w:color w:val="auto"/>
              </w:rPr>
              <w:t>—</w:t>
            </w:r>
          </w:p>
        </w:tc>
        <w:tc>
          <w:tcPr>
            <w:tcW w:w="220" w:type="dxa"/>
            <w:vAlign w:val="bottom"/>
            <w:shd w:val="clear" w:color="auto" w:fill="E2E6F4"/>
          </w:tcPr>
          <w:p>
            <w:pPr>
              <w:jc w:val="right"/>
              <w:spacing w:after="0"/>
              <w:rPr>
                <w:sz w:val="20"/>
                <w:szCs w:val="20"/>
                <w:color w:val="auto"/>
              </w:rPr>
            </w:pPr>
            <w:r>
              <w:rPr>
                <w:rFonts w:ascii="Arial" w:cs="Arial" w:eastAsia="Arial" w:hAnsi="Arial"/>
                <w:sz w:val="18"/>
                <w:szCs w:val="18"/>
                <w:color w:val="auto"/>
              </w:rPr>
              <w:t>$</w:t>
            </w:r>
          </w:p>
        </w:tc>
        <w:tc>
          <w:tcPr>
            <w:tcW w:w="1040" w:type="dxa"/>
            <w:vAlign w:val="bottom"/>
            <w:shd w:val="clear" w:color="auto" w:fill="E2E6F4"/>
          </w:tcPr>
          <w:p>
            <w:pPr>
              <w:jc w:val="right"/>
              <w:ind w:right="55"/>
              <w:spacing w:after="0"/>
              <w:rPr>
                <w:sz w:val="20"/>
                <w:szCs w:val="20"/>
                <w:color w:val="auto"/>
              </w:rPr>
            </w:pPr>
            <w:r>
              <w:rPr>
                <w:rFonts w:ascii="Arial" w:cs="Arial" w:eastAsia="Arial" w:hAnsi="Arial"/>
                <w:sz w:val="18"/>
                <w:szCs w:val="18"/>
                <w:color w:val="auto"/>
                <w:w w:val="97"/>
              </w:rPr>
              <w:t>19,999,288</w:t>
            </w:r>
          </w:p>
        </w:tc>
        <w:tc>
          <w:tcPr>
            <w:tcW w:w="340" w:type="dxa"/>
            <w:vAlign w:val="bottom"/>
            <w:shd w:val="clear" w:color="auto" w:fill="E2E6F4"/>
          </w:tcPr>
          <w:p>
            <w:pPr>
              <w:jc w:val="right"/>
              <w:spacing w:after="0"/>
              <w:rPr>
                <w:sz w:val="20"/>
                <w:szCs w:val="20"/>
                <w:color w:val="auto"/>
              </w:rPr>
            </w:pPr>
            <w:r>
              <w:rPr>
                <w:rFonts w:ascii="Arial" w:cs="Arial" w:eastAsia="Arial" w:hAnsi="Arial"/>
                <w:sz w:val="18"/>
                <w:szCs w:val="18"/>
                <w:color w:val="auto"/>
              </w:rPr>
              <w:t>$</w:t>
            </w:r>
          </w:p>
        </w:tc>
        <w:tc>
          <w:tcPr>
            <w:tcW w:w="960" w:type="dxa"/>
            <w:vAlign w:val="bottom"/>
            <w:shd w:val="clear" w:color="auto" w:fill="E2E6F4"/>
          </w:tcPr>
          <w:p>
            <w:pPr>
              <w:jc w:val="right"/>
              <w:ind w:right="72"/>
              <w:spacing w:after="0"/>
              <w:rPr>
                <w:sz w:val="20"/>
                <w:szCs w:val="20"/>
                <w:color w:val="auto"/>
              </w:rPr>
            </w:pPr>
            <w:r>
              <w:rPr>
                <w:rFonts w:ascii="Arial" w:cs="Arial" w:eastAsia="Arial" w:hAnsi="Arial"/>
                <w:sz w:val="18"/>
                <w:szCs w:val="18"/>
                <w:color w:val="auto"/>
              </w:rPr>
              <w:t>628,707</w:t>
            </w:r>
          </w:p>
        </w:tc>
        <w:tc>
          <w:tcPr>
            <w:tcW w:w="480" w:type="dxa"/>
            <w:vAlign w:val="bottom"/>
            <w:shd w:val="clear" w:color="auto" w:fill="E2E6F4"/>
          </w:tcPr>
          <w:p>
            <w:pPr>
              <w:jc w:val="right"/>
              <w:spacing w:after="0"/>
              <w:rPr>
                <w:sz w:val="20"/>
                <w:szCs w:val="20"/>
                <w:color w:val="auto"/>
              </w:rPr>
            </w:pPr>
            <w:r>
              <w:rPr>
                <w:rFonts w:ascii="Arial" w:cs="Arial" w:eastAsia="Arial" w:hAnsi="Arial"/>
                <w:sz w:val="18"/>
                <w:szCs w:val="18"/>
                <w:color w:val="auto"/>
              </w:rPr>
              <w:t>$</w:t>
            </w:r>
          </w:p>
        </w:tc>
        <w:tc>
          <w:tcPr>
            <w:tcW w:w="840" w:type="dxa"/>
            <w:vAlign w:val="bottom"/>
            <w:shd w:val="clear" w:color="auto" w:fill="E2E6F4"/>
          </w:tcPr>
          <w:p>
            <w:pPr>
              <w:jc w:val="right"/>
              <w:ind w:right="74"/>
              <w:spacing w:after="0"/>
              <w:rPr>
                <w:sz w:val="20"/>
                <w:szCs w:val="20"/>
                <w:color w:val="auto"/>
              </w:rPr>
            </w:pPr>
            <w:r>
              <w:rPr>
                <w:rFonts w:ascii="Arial" w:cs="Arial" w:eastAsia="Arial" w:hAnsi="Arial"/>
                <w:sz w:val="18"/>
                <w:szCs w:val="18"/>
                <w:color w:val="auto"/>
              </w:rPr>
              <w:t>670,928</w:t>
            </w:r>
          </w:p>
        </w:tc>
        <w:tc>
          <w:tcPr>
            <w:tcW w:w="240" w:type="dxa"/>
            <w:vAlign w:val="bottom"/>
            <w:shd w:val="clear" w:color="auto" w:fill="E2E6F4"/>
          </w:tcPr>
          <w:p>
            <w:pPr>
              <w:jc w:val="right"/>
              <w:spacing w:after="0"/>
              <w:rPr>
                <w:sz w:val="20"/>
                <w:szCs w:val="20"/>
                <w:color w:val="auto"/>
              </w:rPr>
            </w:pPr>
            <w:r>
              <w:rPr>
                <w:rFonts w:ascii="Arial" w:cs="Arial" w:eastAsia="Arial" w:hAnsi="Arial"/>
                <w:sz w:val="18"/>
                <w:szCs w:val="18"/>
                <w:color w:val="auto"/>
              </w:rPr>
              <w:t>$</w:t>
            </w:r>
          </w:p>
        </w:tc>
        <w:tc>
          <w:tcPr>
            <w:tcW w:w="980" w:type="dxa"/>
            <w:vAlign w:val="bottom"/>
            <w:shd w:val="clear" w:color="auto" w:fill="E2E6F4"/>
          </w:tcPr>
          <w:p>
            <w:pPr>
              <w:jc w:val="right"/>
              <w:spacing w:after="0"/>
              <w:rPr>
                <w:sz w:val="20"/>
                <w:szCs w:val="20"/>
                <w:color w:val="auto"/>
              </w:rPr>
            </w:pPr>
            <w:r>
              <w:rPr>
                <w:rFonts w:ascii="Arial" w:cs="Arial" w:eastAsia="Arial" w:hAnsi="Arial"/>
                <w:sz w:val="18"/>
                <w:szCs w:val="18"/>
                <w:color w:val="auto"/>
                <w:w w:val="97"/>
              </w:rPr>
              <w:t>22,436,615</w:t>
            </w:r>
          </w:p>
        </w:tc>
      </w:tr>
      <w:tr>
        <w:trPr>
          <w:trHeight w:val="250"/>
        </w:trPr>
        <w:tc>
          <w:tcPr>
            <w:tcW w:w="3120" w:type="dxa"/>
            <w:vAlign w:val="bottom"/>
            <w:tcBorders>
              <w:bottom w:val="single" w:sz="8" w:color="E2E6F4"/>
            </w:tcBorders>
            <w:shd w:val="clear" w:color="auto" w:fill="E2E6F4"/>
          </w:tcPr>
          <w:p>
            <w:pPr>
              <w:ind w:left="20"/>
              <w:spacing w:after="0"/>
              <w:rPr>
                <w:sz w:val="20"/>
                <w:szCs w:val="20"/>
                <w:color w:val="auto"/>
              </w:rPr>
            </w:pPr>
            <w:r>
              <w:rPr>
                <w:rFonts w:ascii="Arial" w:cs="Arial" w:eastAsia="Arial" w:hAnsi="Arial"/>
                <w:sz w:val="18"/>
                <w:szCs w:val="18"/>
                <w:color w:val="auto"/>
              </w:rPr>
              <w:t>Chair of the Board of Directors</w:t>
            </w:r>
          </w:p>
        </w:tc>
        <w:tc>
          <w:tcPr>
            <w:tcW w:w="660" w:type="dxa"/>
            <w:vAlign w:val="bottom"/>
            <w:tcBorders>
              <w:bottom w:val="single" w:sz="8" w:color="E2E6F4"/>
            </w:tcBorders>
            <w:shd w:val="clear" w:color="auto" w:fill="E2E6F4"/>
          </w:tcPr>
          <w:p>
            <w:pPr>
              <w:jc w:val="center"/>
              <w:spacing w:after="0"/>
              <w:rPr>
                <w:sz w:val="20"/>
                <w:szCs w:val="20"/>
                <w:color w:val="auto"/>
              </w:rPr>
            </w:pPr>
            <w:r>
              <w:rPr>
                <w:rFonts w:ascii="Arial" w:cs="Arial" w:eastAsia="Arial" w:hAnsi="Arial"/>
                <w:sz w:val="18"/>
                <w:szCs w:val="18"/>
                <w:color w:val="auto"/>
                <w:w w:val="99"/>
              </w:rPr>
              <w:t>2023</w:t>
            </w:r>
          </w:p>
        </w:tc>
        <w:tc>
          <w:tcPr>
            <w:tcW w:w="320" w:type="dxa"/>
            <w:vAlign w:val="bottom"/>
            <w:tcBorders>
              <w:bottom w:val="single" w:sz="8" w:color="E2E6F4"/>
            </w:tcBorders>
            <w:shd w:val="clear" w:color="auto" w:fill="E2E6F4"/>
          </w:tcPr>
          <w:p>
            <w:pPr>
              <w:jc w:val="right"/>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E2E6F4"/>
            </w:tcBorders>
            <w:shd w:val="clear" w:color="auto" w:fill="E2E6F4"/>
          </w:tcPr>
          <w:p>
            <w:pPr>
              <w:jc w:val="right"/>
              <w:ind w:right="92"/>
              <w:spacing w:after="0"/>
              <w:rPr>
                <w:sz w:val="20"/>
                <w:szCs w:val="20"/>
                <w:color w:val="auto"/>
              </w:rPr>
            </w:pPr>
            <w:r>
              <w:rPr>
                <w:rFonts w:ascii="Arial" w:cs="Arial" w:eastAsia="Arial" w:hAnsi="Arial"/>
                <w:sz w:val="18"/>
                <w:szCs w:val="18"/>
                <w:color w:val="auto"/>
                <w:w w:val="97"/>
              </w:rPr>
              <w:t>1,128,846</w:t>
            </w:r>
          </w:p>
        </w:tc>
        <w:tc>
          <w:tcPr>
            <w:tcW w:w="220" w:type="dxa"/>
            <w:vAlign w:val="bottom"/>
            <w:tcBorders>
              <w:bottom w:val="single" w:sz="8" w:color="E2E6F4"/>
            </w:tcBorders>
            <w:shd w:val="clear" w:color="auto" w:fill="E2E6F4"/>
          </w:tcPr>
          <w:p>
            <w:pPr>
              <w:jc w:val="right"/>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E2E6F4"/>
            </w:tcBorders>
            <w:shd w:val="clear" w:color="auto" w:fill="E2E6F4"/>
          </w:tcPr>
          <w:p>
            <w:pPr>
              <w:jc w:val="right"/>
              <w:ind w:right="92"/>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E2E6F4"/>
            </w:tcBorders>
            <w:shd w:val="clear" w:color="auto" w:fill="E2E6F4"/>
          </w:tcPr>
          <w:p>
            <w:pPr>
              <w:jc w:val="right"/>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E2E6F4"/>
            </w:tcBorders>
            <w:shd w:val="clear" w:color="auto" w:fill="E2E6F4"/>
          </w:tcPr>
          <w:p>
            <w:pPr>
              <w:jc w:val="right"/>
              <w:ind w:right="55"/>
              <w:spacing w:after="0"/>
              <w:rPr>
                <w:sz w:val="20"/>
                <w:szCs w:val="20"/>
                <w:color w:val="auto"/>
              </w:rPr>
            </w:pPr>
            <w:r>
              <w:rPr>
                <w:rFonts w:ascii="Arial" w:cs="Arial" w:eastAsia="Arial" w:hAnsi="Arial"/>
                <w:sz w:val="18"/>
                <w:szCs w:val="18"/>
                <w:color w:val="auto"/>
                <w:w w:val="97"/>
              </w:rPr>
              <w:t>19,997,672</w:t>
            </w:r>
          </w:p>
        </w:tc>
        <w:tc>
          <w:tcPr>
            <w:tcW w:w="340" w:type="dxa"/>
            <w:vAlign w:val="bottom"/>
            <w:tcBorders>
              <w:bottom w:val="single" w:sz="8" w:color="E2E6F4"/>
            </w:tcBorders>
            <w:shd w:val="clear" w:color="auto" w:fill="E2E6F4"/>
          </w:tcPr>
          <w:p>
            <w:pPr>
              <w:jc w:val="right"/>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E2E6F4"/>
            </w:tcBorders>
            <w:shd w:val="clear" w:color="auto" w:fill="E2E6F4"/>
          </w:tcPr>
          <w:p>
            <w:pPr>
              <w:jc w:val="right"/>
              <w:ind w:right="72"/>
              <w:spacing w:after="0"/>
              <w:rPr>
                <w:sz w:val="20"/>
                <w:szCs w:val="20"/>
                <w:color w:val="auto"/>
              </w:rPr>
            </w:pPr>
            <w:r>
              <w:rPr>
                <w:rFonts w:ascii="Arial" w:cs="Arial" w:eastAsia="Arial" w:hAnsi="Arial"/>
                <w:sz w:val="18"/>
                <w:szCs w:val="18"/>
                <w:color w:val="auto"/>
                <w:w w:val="97"/>
              </w:rPr>
              <w:t>4,071,924</w:t>
            </w:r>
          </w:p>
        </w:tc>
        <w:tc>
          <w:tcPr>
            <w:tcW w:w="480" w:type="dxa"/>
            <w:vAlign w:val="bottom"/>
            <w:tcBorders>
              <w:bottom w:val="single" w:sz="8" w:color="E2E6F4"/>
            </w:tcBorders>
            <w:shd w:val="clear" w:color="auto" w:fill="E2E6F4"/>
          </w:tcPr>
          <w:p>
            <w:pPr>
              <w:jc w:val="right"/>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E2E6F4"/>
            </w:tcBorders>
            <w:shd w:val="clear" w:color="auto" w:fill="E2E6F4"/>
          </w:tcPr>
          <w:p>
            <w:pPr>
              <w:jc w:val="right"/>
              <w:ind w:right="74"/>
              <w:spacing w:after="0"/>
              <w:rPr>
                <w:sz w:val="20"/>
                <w:szCs w:val="20"/>
                <w:color w:val="auto"/>
              </w:rPr>
            </w:pPr>
            <w:r>
              <w:rPr>
                <w:rFonts w:ascii="Arial" w:cs="Arial" w:eastAsia="Arial" w:hAnsi="Arial"/>
                <w:sz w:val="18"/>
                <w:szCs w:val="18"/>
                <w:color w:val="auto"/>
              </w:rPr>
              <w:t>345,193</w:t>
            </w:r>
          </w:p>
        </w:tc>
        <w:tc>
          <w:tcPr>
            <w:tcW w:w="240" w:type="dxa"/>
            <w:vAlign w:val="bottom"/>
            <w:tcBorders>
              <w:bottom w:val="single" w:sz="8" w:color="E2E6F4"/>
            </w:tcBorders>
            <w:shd w:val="clear" w:color="auto" w:fill="E2E6F4"/>
          </w:tcPr>
          <w:p>
            <w:pPr>
              <w:jc w:val="right"/>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E2E6F4"/>
            </w:tcBorders>
            <w:shd w:val="clear" w:color="auto" w:fill="E2E6F4"/>
          </w:tcPr>
          <w:p>
            <w:pPr>
              <w:jc w:val="right"/>
              <w:spacing w:after="0"/>
              <w:rPr>
                <w:sz w:val="20"/>
                <w:szCs w:val="20"/>
                <w:color w:val="auto"/>
              </w:rPr>
            </w:pPr>
            <w:r>
              <w:rPr>
                <w:rFonts w:ascii="Arial" w:cs="Arial" w:eastAsia="Arial" w:hAnsi="Arial"/>
                <w:sz w:val="18"/>
                <w:szCs w:val="18"/>
                <w:color w:val="auto"/>
                <w:w w:val="97"/>
              </w:rPr>
              <w:t>25,543,635</w:t>
            </w:r>
          </w:p>
        </w:tc>
      </w:tr>
      <w:tr>
        <w:trPr>
          <w:trHeight w:val="278"/>
        </w:trPr>
        <w:tc>
          <w:tcPr>
            <w:tcW w:w="3120" w:type="dxa"/>
            <w:vAlign w:val="bottom"/>
          </w:tcPr>
          <w:p>
            <w:pPr>
              <w:ind w:left="20"/>
              <w:spacing w:after="0"/>
              <w:rPr>
                <w:sz w:val="20"/>
                <w:szCs w:val="20"/>
                <w:color w:val="auto"/>
              </w:rPr>
            </w:pPr>
            <w:r>
              <w:rPr>
                <w:rFonts w:ascii="Arial" w:cs="Arial" w:eastAsia="Arial" w:hAnsi="Arial"/>
                <w:sz w:val="18"/>
                <w:szCs w:val="18"/>
                <w:b w:val="1"/>
                <w:bCs w:val="1"/>
                <w:color w:val="0067B3"/>
              </w:rPr>
              <w:t>Richard C. Puccio, Jr.</w:t>
            </w:r>
            <w:r>
              <w:rPr>
                <w:rFonts w:ascii="Arial" w:cs="Arial" w:eastAsia="Arial" w:hAnsi="Arial"/>
                <w:sz w:val="23"/>
                <w:szCs w:val="23"/>
                <w:b w:val="1"/>
                <w:bCs w:val="1"/>
                <w:color w:val="0067B3"/>
                <w:vertAlign w:val="superscript"/>
              </w:rPr>
              <w:t>(5)</w:t>
            </w:r>
          </w:p>
        </w:tc>
        <w:tc>
          <w:tcPr>
            <w:tcW w:w="660" w:type="dxa"/>
            <w:vAlign w:val="bottom"/>
          </w:tcPr>
          <w:p>
            <w:pPr>
              <w:jc w:val="center"/>
              <w:spacing w:after="0"/>
              <w:rPr>
                <w:sz w:val="20"/>
                <w:szCs w:val="20"/>
                <w:color w:val="auto"/>
              </w:rPr>
            </w:pPr>
            <w:r>
              <w:rPr>
                <w:rFonts w:ascii="Arial" w:cs="Arial" w:eastAsia="Arial" w:hAnsi="Arial"/>
                <w:sz w:val="18"/>
                <w:szCs w:val="18"/>
                <w:color w:val="auto"/>
                <w:w w:val="99"/>
              </w:rPr>
              <w:t>2025</w:t>
            </w: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92"/>
              <w:spacing w:after="0"/>
              <w:rPr>
                <w:sz w:val="20"/>
                <w:szCs w:val="20"/>
                <w:color w:val="auto"/>
              </w:rPr>
            </w:pPr>
            <w:r>
              <w:rPr>
                <w:rFonts w:ascii="Arial" w:cs="Arial" w:eastAsia="Arial" w:hAnsi="Arial"/>
                <w:sz w:val="18"/>
                <w:szCs w:val="18"/>
                <w:color w:val="auto"/>
              </w:rPr>
              <w:t>683,846</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55"/>
              <w:spacing w:after="0"/>
              <w:rPr>
                <w:sz w:val="20"/>
                <w:szCs w:val="20"/>
                <w:color w:val="auto"/>
              </w:rPr>
            </w:pPr>
            <w:r>
              <w:rPr>
                <w:rFonts w:ascii="Arial" w:cs="Arial" w:eastAsia="Arial" w:hAnsi="Arial"/>
                <w:sz w:val="18"/>
                <w:szCs w:val="18"/>
                <w:color w:val="auto"/>
              </w:rPr>
              <w:t>5,650,854</w:t>
            </w:r>
          </w:p>
        </w:tc>
        <w:tc>
          <w:tcPr>
            <w:tcW w:w="340" w:type="dxa"/>
            <w:vAlign w:val="bottom"/>
          </w:tcPr>
          <w:p>
            <w:pPr>
              <w:jc w:val="right"/>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72"/>
              <w:spacing w:after="0"/>
              <w:rPr>
                <w:sz w:val="20"/>
                <w:szCs w:val="20"/>
                <w:color w:val="auto"/>
              </w:rPr>
            </w:pPr>
            <w:r>
              <w:rPr>
                <w:rFonts w:ascii="Arial" w:cs="Arial" w:eastAsia="Arial" w:hAnsi="Arial"/>
                <w:sz w:val="18"/>
                <w:szCs w:val="18"/>
                <w:color w:val="auto"/>
                <w:w w:val="97"/>
              </w:rPr>
              <w:t>1,376,240</w:t>
            </w:r>
          </w:p>
        </w:tc>
        <w:tc>
          <w:tcPr>
            <w:tcW w:w="480" w:type="dxa"/>
            <w:vAlign w:val="bottom"/>
          </w:tcPr>
          <w:p>
            <w:pPr>
              <w:jc w:val="right"/>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74"/>
              <w:spacing w:after="0"/>
              <w:rPr>
                <w:sz w:val="20"/>
                <w:szCs w:val="20"/>
                <w:color w:val="auto"/>
              </w:rPr>
            </w:pPr>
            <w:r>
              <w:rPr>
                <w:rFonts w:ascii="Arial" w:cs="Arial" w:eastAsia="Arial" w:hAnsi="Arial"/>
                <w:sz w:val="18"/>
                <w:szCs w:val="18"/>
                <w:color w:val="auto"/>
              </w:rPr>
              <w:t>59,673</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7,770,613</w:t>
            </w:r>
          </w:p>
        </w:tc>
      </w:tr>
      <w:tr>
        <w:trPr>
          <w:trHeight w:val="216"/>
        </w:trPr>
        <w:tc>
          <w:tcPr>
            <w:tcW w:w="3120" w:type="dxa"/>
            <w:vAlign w:val="bottom"/>
          </w:tcPr>
          <w:p>
            <w:pPr>
              <w:ind w:left="20"/>
              <w:spacing w:after="0"/>
              <w:rPr>
                <w:sz w:val="20"/>
                <w:szCs w:val="20"/>
                <w:color w:val="auto"/>
              </w:rPr>
            </w:pPr>
            <w:r>
              <w:rPr>
                <w:rFonts w:ascii="Arial" w:cs="Arial" w:eastAsia="Arial" w:hAnsi="Arial"/>
                <w:sz w:val="18"/>
                <w:szCs w:val="18"/>
                <w:color w:val="auto"/>
              </w:rPr>
              <w:t>Executive Vice President and</w:t>
            </w:r>
          </w:p>
        </w:tc>
        <w:tc>
          <w:tcPr>
            <w:tcW w:w="660" w:type="dxa"/>
            <w:vAlign w:val="bottom"/>
          </w:tcPr>
          <w:p>
            <w:pPr>
              <w:jc w:val="center"/>
              <w:spacing w:after="0"/>
              <w:rPr>
                <w:sz w:val="20"/>
                <w:szCs w:val="20"/>
                <w:color w:val="auto"/>
              </w:rPr>
            </w:pPr>
            <w:r>
              <w:rPr>
                <w:rFonts w:ascii="Arial" w:cs="Arial" w:eastAsia="Arial" w:hAnsi="Arial"/>
                <w:sz w:val="18"/>
                <w:szCs w:val="18"/>
                <w:color w:val="auto"/>
                <w:w w:val="99"/>
              </w:rPr>
              <w:t>2024</w:t>
            </w: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92"/>
              <w:spacing w:after="0"/>
              <w:rPr>
                <w:sz w:val="20"/>
                <w:szCs w:val="20"/>
                <w:color w:val="auto"/>
              </w:rPr>
            </w:pPr>
            <w:r>
              <w:rPr>
                <w:rFonts w:ascii="Arial" w:cs="Arial" w:eastAsia="Arial" w:hAnsi="Arial"/>
                <w:sz w:val="18"/>
                <w:szCs w:val="18"/>
                <w:color w:val="auto"/>
              </w:rPr>
              <w:t>476,731</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92"/>
              <w:spacing w:after="0"/>
              <w:rPr>
                <w:sz w:val="20"/>
                <w:szCs w:val="20"/>
                <w:color w:val="auto"/>
              </w:rPr>
            </w:pPr>
            <w:r>
              <w:rPr>
                <w:rFonts w:ascii="Arial" w:cs="Arial" w:eastAsia="Arial" w:hAnsi="Arial"/>
                <w:sz w:val="18"/>
                <w:szCs w:val="18"/>
                <w:color w:val="auto"/>
                <w:w w:val="98"/>
              </w:rPr>
              <w:t>500,000</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55"/>
              <w:spacing w:after="0"/>
              <w:rPr>
                <w:sz w:val="20"/>
                <w:szCs w:val="20"/>
                <w:color w:val="auto"/>
              </w:rPr>
            </w:pPr>
            <w:r>
              <w:rPr>
                <w:rFonts w:ascii="Arial" w:cs="Arial" w:eastAsia="Arial" w:hAnsi="Arial"/>
                <w:sz w:val="18"/>
                <w:szCs w:val="18"/>
                <w:color w:val="auto"/>
                <w:w w:val="97"/>
              </w:rPr>
              <w:t>15,498,994</w:t>
            </w:r>
          </w:p>
        </w:tc>
        <w:tc>
          <w:tcPr>
            <w:tcW w:w="340" w:type="dxa"/>
            <w:vAlign w:val="bottom"/>
          </w:tcPr>
          <w:p>
            <w:pPr>
              <w:jc w:val="right"/>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72"/>
              <w:spacing w:after="0"/>
              <w:rPr>
                <w:sz w:val="20"/>
                <w:szCs w:val="20"/>
                <w:color w:val="auto"/>
              </w:rPr>
            </w:pPr>
            <w:r>
              <w:rPr>
                <w:rFonts w:ascii="Arial" w:cs="Arial" w:eastAsia="Arial" w:hAnsi="Arial"/>
                <w:sz w:val="18"/>
                <w:szCs w:val="18"/>
                <w:color w:val="auto"/>
              </w:rPr>
              <w:t>119,505</w:t>
            </w:r>
          </w:p>
        </w:tc>
        <w:tc>
          <w:tcPr>
            <w:tcW w:w="480" w:type="dxa"/>
            <w:vAlign w:val="bottom"/>
          </w:tcPr>
          <w:p>
            <w:pPr>
              <w:jc w:val="right"/>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74"/>
              <w:spacing w:after="0"/>
              <w:rPr>
                <w:sz w:val="20"/>
                <w:szCs w:val="20"/>
                <w:color w:val="auto"/>
              </w:rPr>
            </w:pPr>
            <w:r>
              <w:rPr>
                <w:rFonts w:ascii="Arial" w:cs="Arial" w:eastAsia="Arial" w:hAnsi="Arial"/>
                <w:sz w:val="18"/>
                <w:szCs w:val="18"/>
                <w:color w:val="auto"/>
              </w:rPr>
              <w:t>575,072</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w w:val="97"/>
              </w:rPr>
              <w:t>17,170,302</w:t>
            </w:r>
          </w:p>
        </w:tc>
      </w:tr>
      <w:tr>
        <w:trPr>
          <w:trHeight w:val="239"/>
        </w:trPr>
        <w:tc>
          <w:tcPr>
            <w:tcW w:w="3120" w:type="dxa"/>
            <w:vAlign w:val="bottom"/>
          </w:tcPr>
          <w:p>
            <w:pPr>
              <w:ind w:left="20"/>
              <w:spacing w:after="0"/>
              <w:rPr>
                <w:sz w:val="20"/>
                <w:szCs w:val="20"/>
                <w:color w:val="auto"/>
              </w:rPr>
            </w:pPr>
            <w:r>
              <w:rPr>
                <w:rFonts w:ascii="Arial" w:cs="Arial" w:eastAsia="Arial" w:hAnsi="Arial"/>
                <w:sz w:val="18"/>
                <w:szCs w:val="18"/>
                <w:color w:val="auto"/>
              </w:rPr>
              <w:t>Chief Financial Officer</w:t>
            </w:r>
          </w:p>
        </w:tc>
        <w:tc>
          <w:tcPr>
            <w:tcW w:w="6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80" w:type="dxa"/>
            <w:vAlign w:val="bottom"/>
          </w:tcPr>
          <w:p>
            <w:pPr>
              <w:spacing w:after="0"/>
              <w:rPr>
                <w:sz w:val="20"/>
                <w:szCs w:val="20"/>
                <w:color w:val="auto"/>
              </w:rPr>
            </w:pPr>
          </w:p>
        </w:tc>
      </w:tr>
      <w:tr>
        <w:trPr>
          <w:trHeight w:val="23"/>
        </w:trPr>
        <w:tc>
          <w:tcPr>
            <w:tcW w:w="3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320" w:type="dxa"/>
            <w:vAlign w:val="bottom"/>
          </w:tcPr>
          <w:p>
            <w:pPr>
              <w:spacing w:after="0"/>
              <w:rPr>
                <w:sz w:val="2"/>
                <w:szCs w:val="2"/>
                <w:color w:val="auto"/>
              </w:rPr>
            </w:pPr>
          </w:p>
        </w:tc>
        <w:tc>
          <w:tcPr>
            <w:tcW w:w="980" w:type="dxa"/>
            <w:vAlign w:val="bottom"/>
          </w:tcPr>
          <w:p>
            <w:pPr>
              <w:spacing w:after="0"/>
              <w:rPr>
                <w:sz w:val="2"/>
                <w:szCs w:val="2"/>
                <w:color w:val="auto"/>
              </w:rPr>
            </w:pPr>
          </w:p>
        </w:tc>
        <w:tc>
          <w:tcPr>
            <w:tcW w:w="220" w:type="dxa"/>
            <w:vAlign w:val="bottom"/>
          </w:tcPr>
          <w:p>
            <w:pPr>
              <w:spacing w:after="0"/>
              <w:rPr>
                <w:sz w:val="2"/>
                <w:szCs w:val="2"/>
                <w:color w:val="auto"/>
              </w:rPr>
            </w:pPr>
          </w:p>
        </w:tc>
        <w:tc>
          <w:tcPr>
            <w:tcW w:w="8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340" w:type="dxa"/>
            <w:vAlign w:val="bottom"/>
          </w:tcPr>
          <w:p>
            <w:pPr>
              <w:spacing w:after="0"/>
              <w:rPr>
                <w:sz w:val="2"/>
                <w:szCs w:val="2"/>
                <w:color w:val="auto"/>
              </w:rPr>
            </w:pPr>
          </w:p>
        </w:tc>
        <w:tc>
          <w:tcPr>
            <w:tcW w:w="960" w:type="dxa"/>
            <w:vAlign w:val="bottom"/>
          </w:tcPr>
          <w:p>
            <w:pPr>
              <w:spacing w:after="0"/>
              <w:rPr>
                <w:sz w:val="2"/>
                <w:szCs w:val="2"/>
                <w:color w:val="auto"/>
              </w:rPr>
            </w:pPr>
          </w:p>
        </w:tc>
        <w:tc>
          <w:tcPr>
            <w:tcW w:w="480" w:type="dxa"/>
            <w:vAlign w:val="bottom"/>
          </w:tcPr>
          <w:p>
            <w:pPr>
              <w:spacing w:after="0"/>
              <w:rPr>
                <w:sz w:val="2"/>
                <w:szCs w:val="2"/>
                <w:color w:val="auto"/>
              </w:rPr>
            </w:pPr>
          </w:p>
        </w:tc>
        <w:tc>
          <w:tcPr>
            <w:tcW w:w="840" w:type="dxa"/>
            <w:vAlign w:val="bottom"/>
          </w:tcPr>
          <w:p>
            <w:pPr>
              <w:spacing w:after="0"/>
              <w:rPr>
                <w:sz w:val="2"/>
                <w:szCs w:val="2"/>
                <w:color w:val="auto"/>
              </w:rPr>
            </w:pPr>
          </w:p>
        </w:tc>
        <w:tc>
          <w:tcPr>
            <w:tcW w:w="24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78"/>
        </w:trPr>
        <w:tc>
          <w:tcPr>
            <w:tcW w:w="3120" w:type="dxa"/>
            <w:vAlign w:val="bottom"/>
            <w:shd w:val="clear" w:color="auto" w:fill="E2E6F4"/>
          </w:tcPr>
          <w:p>
            <w:pPr>
              <w:ind w:left="20"/>
              <w:spacing w:after="0"/>
              <w:rPr>
                <w:sz w:val="20"/>
                <w:szCs w:val="20"/>
                <w:color w:val="auto"/>
              </w:rPr>
            </w:pPr>
            <w:r>
              <w:rPr>
                <w:rFonts w:ascii="Arial" w:cs="Arial" w:eastAsia="Arial" w:hAnsi="Arial"/>
                <w:sz w:val="18"/>
                <w:szCs w:val="18"/>
                <w:b w:val="1"/>
                <w:bCs w:val="1"/>
                <w:color w:val="0067B3"/>
              </w:rPr>
              <w:t>Martin Cotter</w:t>
            </w:r>
            <w:r>
              <w:rPr>
                <w:rFonts w:ascii="Arial" w:cs="Arial" w:eastAsia="Arial" w:hAnsi="Arial"/>
                <w:sz w:val="23"/>
                <w:szCs w:val="23"/>
                <w:b w:val="1"/>
                <w:bCs w:val="1"/>
                <w:color w:val="0067B3"/>
                <w:vertAlign w:val="superscript"/>
              </w:rPr>
              <w:t>(6)</w:t>
            </w:r>
          </w:p>
        </w:tc>
        <w:tc>
          <w:tcPr>
            <w:tcW w:w="660" w:type="dxa"/>
            <w:vAlign w:val="bottom"/>
            <w:shd w:val="clear" w:color="auto" w:fill="E2E6F4"/>
          </w:tcPr>
          <w:p>
            <w:pPr>
              <w:jc w:val="center"/>
              <w:spacing w:after="0"/>
              <w:rPr>
                <w:sz w:val="20"/>
                <w:szCs w:val="20"/>
                <w:color w:val="auto"/>
              </w:rPr>
            </w:pPr>
            <w:r>
              <w:rPr>
                <w:rFonts w:ascii="Arial" w:cs="Arial" w:eastAsia="Arial" w:hAnsi="Arial"/>
                <w:sz w:val="18"/>
                <w:szCs w:val="18"/>
                <w:color w:val="auto"/>
                <w:w w:val="99"/>
              </w:rPr>
              <w:t>2025</w:t>
            </w:r>
          </w:p>
        </w:tc>
        <w:tc>
          <w:tcPr>
            <w:tcW w:w="320" w:type="dxa"/>
            <w:vAlign w:val="bottom"/>
            <w:shd w:val="clear" w:color="auto" w:fill="E2E6F4"/>
          </w:tcPr>
          <w:p>
            <w:pPr>
              <w:jc w:val="right"/>
              <w:spacing w:after="0"/>
              <w:rPr>
                <w:sz w:val="20"/>
                <w:szCs w:val="20"/>
                <w:color w:val="auto"/>
              </w:rPr>
            </w:pPr>
            <w:r>
              <w:rPr>
                <w:rFonts w:ascii="Arial" w:cs="Arial" w:eastAsia="Arial" w:hAnsi="Arial"/>
                <w:sz w:val="18"/>
                <w:szCs w:val="18"/>
                <w:color w:val="auto"/>
              </w:rPr>
              <w:t>$</w:t>
            </w:r>
          </w:p>
        </w:tc>
        <w:tc>
          <w:tcPr>
            <w:tcW w:w="980" w:type="dxa"/>
            <w:vAlign w:val="bottom"/>
            <w:shd w:val="clear" w:color="auto" w:fill="E2E6F4"/>
          </w:tcPr>
          <w:p>
            <w:pPr>
              <w:jc w:val="right"/>
              <w:ind w:right="92"/>
              <w:spacing w:after="0"/>
              <w:rPr>
                <w:sz w:val="20"/>
                <w:szCs w:val="20"/>
                <w:color w:val="auto"/>
              </w:rPr>
            </w:pPr>
            <w:r>
              <w:rPr>
                <w:rFonts w:ascii="Arial" w:cs="Arial" w:eastAsia="Arial" w:hAnsi="Arial"/>
                <w:sz w:val="18"/>
                <w:szCs w:val="18"/>
                <w:color w:val="auto"/>
              </w:rPr>
              <w:t>597,115</w:t>
            </w:r>
          </w:p>
        </w:tc>
        <w:tc>
          <w:tcPr>
            <w:tcW w:w="220" w:type="dxa"/>
            <w:vAlign w:val="bottom"/>
            <w:shd w:val="clear" w:color="auto" w:fill="E2E6F4"/>
          </w:tcPr>
          <w:p>
            <w:pPr>
              <w:jc w:val="right"/>
              <w:spacing w:after="0"/>
              <w:rPr>
                <w:sz w:val="20"/>
                <w:szCs w:val="20"/>
                <w:color w:val="auto"/>
              </w:rPr>
            </w:pPr>
            <w:r>
              <w:rPr>
                <w:rFonts w:ascii="Arial" w:cs="Arial" w:eastAsia="Arial" w:hAnsi="Arial"/>
                <w:sz w:val="18"/>
                <w:szCs w:val="18"/>
                <w:color w:val="auto"/>
              </w:rPr>
              <w:t>$</w:t>
            </w:r>
          </w:p>
        </w:tc>
        <w:tc>
          <w:tcPr>
            <w:tcW w:w="840" w:type="dxa"/>
            <w:vAlign w:val="bottom"/>
            <w:shd w:val="clear" w:color="auto" w:fill="E2E6F4"/>
          </w:tcPr>
          <w:p>
            <w:pPr>
              <w:jc w:val="right"/>
              <w:ind w:right="92"/>
              <w:spacing w:after="0"/>
              <w:rPr>
                <w:sz w:val="20"/>
                <w:szCs w:val="20"/>
                <w:color w:val="auto"/>
              </w:rPr>
            </w:pPr>
            <w:r>
              <w:rPr>
                <w:rFonts w:ascii="Arial" w:cs="Arial" w:eastAsia="Arial" w:hAnsi="Arial"/>
                <w:sz w:val="18"/>
                <w:szCs w:val="18"/>
                <w:color w:val="auto"/>
              </w:rPr>
              <w:t>—</w:t>
            </w:r>
          </w:p>
        </w:tc>
        <w:tc>
          <w:tcPr>
            <w:tcW w:w="220" w:type="dxa"/>
            <w:vAlign w:val="bottom"/>
            <w:shd w:val="clear" w:color="auto" w:fill="E2E6F4"/>
          </w:tcPr>
          <w:p>
            <w:pPr>
              <w:jc w:val="right"/>
              <w:spacing w:after="0"/>
              <w:rPr>
                <w:sz w:val="20"/>
                <w:szCs w:val="20"/>
                <w:color w:val="auto"/>
              </w:rPr>
            </w:pPr>
            <w:r>
              <w:rPr>
                <w:rFonts w:ascii="Arial" w:cs="Arial" w:eastAsia="Arial" w:hAnsi="Arial"/>
                <w:sz w:val="18"/>
                <w:szCs w:val="18"/>
                <w:color w:val="auto"/>
              </w:rPr>
              <w:t>$</w:t>
            </w:r>
          </w:p>
        </w:tc>
        <w:tc>
          <w:tcPr>
            <w:tcW w:w="1040" w:type="dxa"/>
            <w:vAlign w:val="bottom"/>
            <w:shd w:val="clear" w:color="auto" w:fill="E2E6F4"/>
          </w:tcPr>
          <w:p>
            <w:pPr>
              <w:jc w:val="right"/>
              <w:ind w:right="55"/>
              <w:spacing w:after="0"/>
              <w:rPr>
                <w:sz w:val="20"/>
                <w:szCs w:val="20"/>
                <w:color w:val="auto"/>
              </w:rPr>
            </w:pPr>
            <w:r>
              <w:rPr>
                <w:rFonts w:ascii="Arial" w:cs="Arial" w:eastAsia="Arial" w:hAnsi="Arial"/>
                <w:sz w:val="18"/>
                <w:szCs w:val="18"/>
                <w:color w:val="auto"/>
              </w:rPr>
              <w:t>4,800,590</w:t>
            </w:r>
          </w:p>
        </w:tc>
        <w:tc>
          <w:tcPr>
            <w:tcW w:w="340" w:type="dxa"/>
            <w:vAlign w:val="bottom"/>
            <w:shd w:val="clear" w:color="auto" w:fill="E2E6F4"/>
          </w:tcPr>
          <w:p>
            <w:pPr>
              <w:jc w:val="right"/>
              <w:spacing w:after="0"/>
              <w:rPr>
                <w:sz w:val="20"/>
                <w:szCs w:val="20"/>
                <w:color w:val="auto"/>
              </w:rPr>
            </w:pPr>
            <w:r>
              <w:rPr>
                <w:rFonts w:ascii="Arial" w:cs="Arial" w:eastAsia="Arial" w:hAnsi="Arial"/>
                <w:sz w:val="18"/>
                <w:szCs w:val="18"/>
                <w:color w:val="auto"/>
              </w:rPr>
              <w:t>$</w:t>
            </w:r>
          </w:p>
        </w:tc>
        <w:tc>
          <w:tcPr>
            <w:tcW w:w="960" w:type="dxa"/>
            <w:vAlign w:val="bottom"/>
            <w:shd w:val="clear" w:color="auto" w:fill="E2E6F4"/>
          </w:tcPr>
          <w:p>
            <w:pPr>
              <w:jc w:val="right"/>
              <w:ind w:right="72"/>
              <w:spacing w:after="0"/>
              <w:rPr>
                <w:sz w:val="20"/>
                <w:szCs w:val="20"/>
                <w:color w:val="auto"/>
              </w:rPr>
            </w:pPr>
            <w:r>
              <w:rPr>
                <w:rFonts w:ascii="Arial" w:cs="Arial" w:eastAsia="Arial" w:hAnsi="Arial"/>
                <w:sz w:val="18"/>
                <w:szCs w:val="18"/>
                <w:color w:val="auto"/>
              </w:rPr>
              <w:t>961,356</w:t>
            </w:r>
          </w:p>
        </w:tc>
        <w:tc>
          <w:tcPr>
            <w:tcW w:w="480" w:type="dxa"/>
            <w:vAlign w:val="bottom"/>
            <w:shd w:val="clear" w:color="auto" w:fill="E2E6F4"/>
          </w:tcPr>
          <w:p>
            <w:pPr>
              <w:jc w:val="right"/>
              <w:spacing w:after="0"/>
              <w:rPr>
                <w:sz w:val="20"/>
                <w:szCs w:val="20"/>
                <w:color w:val="auto"/>
              </w:rPr>
            </w:pPr>
            <w:r>
              <w:rPr>
                <w:rFonts w:ascii="Arial" w:cs="Arial" w:eastAsia="Arial" w:hAnsi="Arial"/>
                <w:sz w:val="18"/>
                <w:szCs w:val="18"/>
                <w:color w:val="auto"/>
              </w:rPr>
              <w:t>$</w:t>
            </w:r>
          </w:p>
        </w:tc>
        <w:tc>
          <w:tcPr>
            <w:tcW w:w="840" w:type="dxa"/>
            <w:vAlign w:val="bottom"/>
            <w:shd w:val="clear" w:color="auto" w:fill="E2E6F4"/>
          </w:tcPr>
          <w:p>
            <w:pPr>
              <w:jc w:val="right"/>
              <w:ind w:right="74"/>
              <w:spacing w:after="0"/>
              <w:rPr>
                <w:sz w:val="20"/>
                <w:szCs w:val="20"/>
                <w:color w:val="auto"/>
              </w:rPr>
            </w:pPr>
            <w:r>
              <w:rPr>
                <w:rFonts w:ascii="Arial" w:cs="Arial" w:eastAsia="Arial" w:hAnsi="Arial"/>
                <w:sz w:val="18"/>
                <w:szCs w:val="18"/>
                <w:color w:val="auto"/>
              </w:rPr>
              <w:t>52,769</w:t>
            </w:r>
          </w:p>
        </w:tc>
        <w:tc>
          <w:tcPr>
            <w:tcW w:w="240" w:type="dxa"/>
            <w:vAlign w:val="bottom"/>
            <w:shd w:val="clear" w:color="auto" w:fill="E2E6F4"/>
          </w:tcPr>
          <w:p>
            <w:pPr>
              <w:jc w:val="right"/>
              <w:spacing w:after="0"/>
              <w:rPr>
                <w:sz w:val="20"/>
                <w:szCs w:val="20"/>
                <w:color w:val="auto"/>
              </w:rPr>
            </w:pPr>
            <w:r>
              <w:rPr>
                <w:rFonts w:ascii="Arial" w:cs="Arial" w:eastAsia="Arial" w:hAnsi="Arial"/>
                <w:sz w:val="18"/>
                <w:szCs w:val="18"/>
                <w:color w:val="auto"/>
              </w:rPr>
              <w:t>$</w:t>
            </w:r>
          </w:p>
        </w:tc>
        <w:tc>
          <w:tcPr>
            <w:tcW w:w="980" w:type="dxa"/>
            <w:vAlign w:val="bottom"/>
            <w:shd w:val="clear" w:color="auto" w:fill="E2E6F4"/>
          </w:tcPr>
          <w:p>
            <w:pPr>
              <w:jc w:val="right"/>
              <w:spacing w:after="0"/>
              <w:rPr>
                <w:sz w:val="20"/>
                <w:szCs w:val="20"/>
                <w:color w:val="auto"/>
              </w:rPr>
            </w:pPr>
            <w:r>
              <w:rPr>
                <w:rFonts w:ascii="Arial" w:cs="Arial" w:eastAsia="Arial" w:hAnsi="Arial"/>
                <w:sz w:val="18"/>
                <w:szCs w:val="18"/>
                <w:color w:val="auto"/>
              </w:rPr>
              <w:t>6,411,830</w:t>
            </w:r>
          </w:p>
        </w:tc>
      </w:tr>
      <w:tr>
        <w:trPr>
          <w:trHeight w:val="216"/>
        </w:trPr>
        <w:tc>
          <w:tcPr>
            <w:tcW w:w="3120" w:type="dxa"/>
            <w:vAlign w:val="bottom"/>
            <w:shd w:val="clear" w:color="auto" w:fill="E2E6F4"/>
          </w:tcPr>
          <w:p>
            <w:pPr>
              <w:ind w:left="20"/>
              <w:spacing w:after="0"/>
              <w:rPr>
                <w:sz w:val="20"/>
                <w:szCs w:val="20"/>
                <w:color w:val="auto"/>
              </w:rPr>
            </w:pPr>
            <w:r>
              <w:rPr>
                <w:rFonts w:ascii="Arial" w:cs="Arial" w:eastAsia="Arial" w:hAnsi="Arial"/>
                <w:sz w:val="18"/>
                <w:szCs w:val="18"/>
                <w:color w:val="auto"/>
              </w:rPr>
              <w:t>Senior Vice President, Vertical</w:t>
            </w:r>
          </w:p>
        </w:tc>
        <w:tc>
          <w:tcPr>
            <w:tcW w:w="660" w:type="dxa"/>
            <w:vAlign w:val="bottom"/>
            <w:shd w:val="clear" w:color="auto" w:fill="E2E6F4"/>
          </w:tcPr>
          <w:p>
            <w:pPr>
              <w:spacing w:after="0"/>
              <w:rPr>
                <w:sz w:val="18"/>
                <w:szCs w:val="18"/>
                <w:color w:val="auto"/>
              </w:rPr>
            </w:pPr>
          </w:p>
        </w:tc>
        <w:tc>
          <w:tcPr>
            <w:tcW w:w="320" w:type="dxa"/>
            <w:vAlign w:val="bottom"/>
            <w:shd w:val="clear" w:color="auto" w:fill="E2E6F4"/>
          </w:tcPr>
          <w:p>
            <w:pPr>
              <w:spacing w:after="0"/>
              <w:rPr>
                <w:sz w:val="18"/>
                <w:szCs w:val="18"/>
                <w:color w:val="auto"/>
              </w:rPr>
            </w:pPr>
          </w:p>
        </w:tc>
        <w:tc>
          <w:tcPr>
            <w:tcW w:w="980" w:type="dxa"/>
            <w:vAlign w:val="bottom"/>
            <w:shd w:val="clear" w:color="auto" w:fill="E2E6F4"/>
          </w:tcPr>
          <w:p>
            <w:pPr>
              <w:spacing w:after="0"/>
              <w:rPr>
                <w:sz w:val="18"/>
                <w:szCs w:val="18"/>
                <w:color w:val="auto"/>
              </w:rPr>
            </w:pPr>
          </w:p>
        </w:tc>
        <w:tc>
          <w:tcPr>
            <w:tcW w:w="220" w:type="dxa"/>
            <w:vAlign w:val="bottom"/>
            <w:shd w:val="clear" w:color="auto" w:fill="E2E6F4"/>
          </w:tcPr>
          <w:p>
            <w:pPr>
              <w:spacing w:after="0"/>
              <w:rPr>
                <w:sz w:val="18"/>
                <w:szCs w:val="18"/>
                <w:color w:val="auto"/>
              </w:rPr>
            </w:pPr>
          </w:p>
        </w:tc>
        <w:tc>
          <w:tcPr>
            <w:tcW w:w="840" w:type="dxa"/>
            <w:vAlign w:val="bottom"/>
            <w:shd w:val="clear" w:color="auto" w:fill="E2E6F4"/>
          </w:tcPr>
          <w:p>
            <w:pPr>
              <w:spacing w:after="0"/>
              <w:rPr>
                <w:sz w:val="18"/>
                <w:szCs w:val="18"/>
                <w:color w:val="auto"/>
              </w:rPr>
            </w:pPr>
          </w:p>
        </w:tc>
        <w:tc>
          <w:tcPr>
            <w:tcW w:w="220" w:type="dxa"/>
            <w:vAlign w:val="bottom"/>
            <w:shd w:val="clear" w:color="auto" w:fill="E2E6F4"/>
          </w:tcPr>
          <w:p>
            <w:pPr>
              <w:spacing w:after="0"/>
              <w:rPr>
                <w:sz w:val="18"/>
                <w:szCs w:val="18"/>
                <w:color w:val="auto"/>
              </w:rPr>
            </w:pPr>
          </w:p>
        </w:tc>
        <w:tc>
          <w:tcPr>
            <w:tcW w:w="1040" w:type="dxa"/>
            <w:vAlign w:val="bottom"/>
            <w:shd w:val="clear" w:color="auto" w:fill="E2E6F4"/>
          </w:tcPr>
          <w:p>
            <w:pPr>
              <w:spacing w:after="0"/>
              <w:rPr>
                <w:sz w:val="18"/>
                <w:szCs w:val="18"/>
                <w:color w:val="auto"/>
              </w:rPr>
            </w:pPr>
          </w:p>
        </w:tc>
        <w:tc>
          <w:tcPr>
            <w:tcW w:w="340" w:type="dxa"/>
            <w:vAlign w:val="bottom"/>
            <w:shd w:val="clear" w:color="auto" w:fill="E2E6F4"/>
          </w:tcPr>
          <w:p>
            <w:pPr>
              <w:spacing w:after="0"/>
              <w:rPr>
                <w:sz w:val="18"/>
                <w:szCs w:val="18"/>
                <w:color w:val="auto"/>
              </w:rPr>
            </w:pPr>
          </w:p>
        </w:tc>
        <w:tc>
          <w:tcPr>
            <w:tcW w:w="960" w:type="dxa"/>
            <w:vAlign w:val="bottom"/>
            <w:shd w:val="clear" w:color="auto" w:fill="E2E6F4"/>
          </w:tcPr>
          <w:p>
            <w:pPr>
              <w:spacing w:after="0"/>
              <w:rPr>
                <w:sz w:val="18"/>
                <w:szCs w:val="18"/>
                <w:color w:val="auto"/>
              </w:rPr>
            </w:pPr>
          </w:p>
        </w:tc>
        <w:tc>
          <w:tcPr>
            <w:tcW w:w="480" w:type="dxa"/>
            <w:vAlign w:val="bottom"/>
            <w:shd w:val="clear" w:color="auto" w:fill="E2E6F4"/>
          </w:tcPr>
          <w:p>
            <w:pPr>
              <w:spacing w:after="0"/>
              <w:rPr>
                <w:sz w:val="18"/>
                <w:szCs w:val="18"/>
                <w:color w:val="auto"/>
              </w:rPr>
            </w:pPr>
          </w:p>
        </w:tc>
        <w:tc>
          <w:tcPr>
            <w:tcW w:w="840" w:type="dxa"/>
            <w:vAlign w:val="bottom"/>
            <w:shd w:val="clear" w:color="auto" w:fill="E2E6F4"/>
          </w:tcPr>
          <w:p>
            <w:pPr>
              <w:spacing w:after="0"/>
              <w:rPr>
                <w:sz w:val="18"/>
                <w:szCs w:val="18"/>
                <w:color w:val="auto"/>
              </w:rPr>
            </w:pPr>
          </w:p>
        </w:tc>
        <w:tc>
          <w:tcPr>
            <w:tcW w:w="240" w:type="dxa"/>
            <w:vAlign w:val="bottom"/>
            <w:shd w:val="clear" w:color="auto" w:fill="E2E6F4"/>
          </w:tcPr>
          <w:p>
            <w:pPr>
              <w:spacing w:after="0"/>
              <w:rPr>
                <w:sz w:val="18"/>
                <w:szCs w:val="18"/>
                <w:color w:val="auto"/>
              </w:rPr>
            </w:pPr>
          </w:p>
        </w:tc>
        <w:tc>
          <w:tcPr>
            <w:tcW w:w="980" w:type="dxa"/>
            <w:vAlign w:val="bottom"/>
            <w:shd w:val="clear" w:color="auto" w:fill="E2E6F4"/>
          </w:tcPr>
          <w:p>
            <w:pPr>
              <w:spacing w:after="0"/>
              <w:rPr>
                <w:sz w:val="18"/>
                <w:szCs w:val="18"/>
                <w:color w:val="auto"/>
              </w:rPr>
            </w:pPr>
          </w:p>
        </w:tc>
      </w:tr>
      <w:tr>
        <w:trPr>
          <w:trHeight w:val="242"/>
        </w:trPr>
        <w:tc>
          <w:tcPr>
            <w:tcW w:w="3120" w:type="dxa"/>
            <w:vAlign w:val="bottom"/>
            <w:tcBorders>
              <w:bottom w:val="single" w:sz="8" w:color="E2E6F4"/>
            </w:tcBorders>
            <w:shd w:val="clear" w:color="auto" w:fill="E2E6F4"/>
          </w:tcPr>
          <w:p>
            <w:pPr>
              <w:ind w:left="20"/>
              <w:spacing w:after="0"/>
              <w:rPr>
                <w:sz w:val="20"/>
                <w:szCs w:val="20"/>
                <w:color w:val="auto"/>
              </w:rPr>
            </w:pPr>
            <w:r>
              <w:rPr>
                <w:rFonts w:ascii="Arial" w:cs="Arial" w:eastAsia="Arial" w:hAnsi="Arial"/>
                <w:sz w:val="18"/>
                <w:szCs w:val="18"/>
                <w:color w:val="auto"/>
              </w:rPr>
              <w:t>Business Units</w:t>
            </w:r>
          </w:p>
        </w:tc>
        <w:tc>
          <w:tcPr>
            <w:tcW w:w="660" w:type="dxa"/>
            <w:vAlign w:val="bottom"/>
            <w:tcBorders>
              <w:bottom w:val="single" w:sz="8" w:color="E2E6F4"/>
            </w:tcBorders>
            <w:shd w:val="clear" w:color="auto" w:fill="E2E6F4"/>
          </w:tcPr>
          <w:p>
            <w:pPr>
              <w:spacing w:after="0"/>
              <w:rPr>
                <w:sz w:val="21"/>
                <w:szCs w:val="21"/>
                <w:color w:val="auto"/>
              </w:rPr>
            </w:pPr>
          </w:p>
        </w:tc>
        <w:tc>
          <w:tcPr>
            <w:tcW w:w="320" w:type="dxa"/>
            <w:vAlign w:val="bottom"/>
            <w:tcBorders>
              <w:bottom w:val="single" w:sz="8" w:color="E2E6F4"/>
            </w:tcBorders>
            <w:shd w:val="clear" w:color="auto" w:fill="E2E6F4"/>
          </w:tcPr>
          <w:p>
            <w:pPr>
              <w:spacing w:after="0"/>
              <w:rPr>
                <w:sz w:val="21"/>
                <w:szCs w:val="21"/>
                <w:color w:val="auto"/>
              </w:rPr>
            </w:pPr>
          </w:p>
        </w:tc>
        <w:tc>
          <w:tcPr>
            <w:tcW w:w="980" w:type="dxa"/>
            <w:vAlign w:val="bottom"/>
            <w:tcBorders>
              <w:bottom w:val="single" w:sz="8" w:color="E2E6F4"/>
            </w:tcBorders>
            <w:shd w:val="clear" w:color="auto" w:fill="E2E6F4"/>
          </w:tcPr>
          <w:p>
            <w:pPr>
              <w:spacing w:after="0"/>
              <w:rPr>
                <w:sz w:val="21"/>
                <w:szCs w:val="21"/>
                <w:color w:val="auto"/>
              </w:rPr>
            </w:pPr>
          </w:p>
        </w:tc>
        <w:tc>
          <w:tcPr>
            <w:tcW w:w="220" w:type="dxa"/>
            <w:vAlign w:val="bottom"/>
            <w:tcBorders>
              <w:bottom w:val="single" w:sz="8" w:color="E2E6F4"/>
            </w:tcBorders>
            <w:shd w:val="clear" w:color="auto" w:fill="E2E6F4"/>
          </w:tcPr>
          <w:p>
            <w:pPr>
              <w:spacing w:after="0"/>
              <w:rPr>
                <w:sz w:val="21"/>
                <w:szCs w:val="21"/>
                <w:color w:val="auto"/>
              </w:rPr>
            </w:pPr>
          </w:p>
        </w:tc>
        <w:tc>
          <w:tcPr>
            <w:tcW w:w="840" w:type="dxa"/>
            <w:vAlign w:val="bottom"/>
            <w:tcBorders>
              <w:bottom w:val="single" w:sz="8" w:color="E2E6F4"/>
            </w:tcBorders>
            <w:shd w:val="clear" w:color="auto" w:fill="E2E6F4"/>
          </w:tcPr>
          <w:p>
            <w:pPr>
              <w:spacing w:after="0"/>
              <w:rPr>
                <w:sz w:val="21"/>
                <w:szCs w:val="21"/>
                <w:color w:val="auto"/>
              </w:rPr>
            </w:pPr>
          </w:p>
        </w:tc>
        <w:tc>
          <w:tcPr>
            <w:tcW w:w="220" w:type="dxa"/>
            <w:vAlign w:val="bottom"/>
            <w:tcBorders>
              <w:bottom w:val="single" w:sz="8" w:color="E2E6F4"/>
            </w:tcBorders>
            <w:shd w:val="clear" w:color="auto" w:fill="E2E6F4"/>
          </w:tcPr>
          <w:p>
            <w:pPr>
              <w:spacing w:after="0"/>
              <w:rPr>
                <w:sz w:val="21"/>
                <w:szCs w:val="21"/>
                <w:color w:val="auto"/>
              </w:rPr>
            </w:pPr>
          </w:p>
        </w:tc>
        <w:tc>
          <w:tcPr>
            <w:tcW w:w="1040" w:type="dxa"/>
            <w:vAlign w:val="bottom"/>
            <w:tcBorders>
              <w:bottom w:val="single" w:sz="8" w:color="E2E6F4"/>
            </w:tcBorders>
            <w:shd w:val="clear" w:color="auto" w:fill="E2E6F4"/>
          </w:tcPr>
          <w:p>
            <w:pPr>
              <w:spacing w:after="0"/>
              <w:rPr>
                <w:sz w:val="21"/>
                <w:szCs w:val="21"/>
                <w:color w:val="auto"/>
              </w:rPr>
            </w:pPr>
          </w:p>
        </w:tc>
        <w:tc>
          <w:tcPr>
            <w:tcW w:w="340" w:type="dxa"/>
            <w:vAlign w:val="bottom"/>
            <w:tcBorders>
              <w:bottom w:val="single" w:sz="8" w:color="E2E6F4"/>
            </w:tcBorders>
            <w:shd w:val="clear" w:color="auto" w:fill="E2E6F4"/>
          </w:tcPr>
          <w:p>
            <w:pPr>
              <w:spacing w:after="0"/>
              <w:rPr>
                <w:sz w:val="21"/>
                <w:szCs w:val="21"/>
                <w:color w:val="auto"/>
              </w:rPr>
            </w:pPr>
          </w:p>
        </w:tc>
        <w:tc>
          <w:tcPr>
            <w:tcW w:w="960" w:type="dxa"/>
            <w:vAlign w:val="bottom"/>
            <w:tcBorders>
              <w:bottom w:val="single" w:sz="8" w:color="E2E6F4"/>
            </w:tcBorders>
            <w:shd w:val="clear" w:color="auto" w:fill="E2E6F4"/>
          </w:tcPr>
          <w:p>
            <w:pPr>
              <w:spacing w:after="0"/>
              <w:rPr>
                <w:sz w:val="21"/>
                <w:szCs w:val="21"/>
                <w:color w:val="auto"/>
              </w:rPr>
            </w:pPr>
          </w:p>
        </w:tc>
        <w:tc>
          <w:tcPr>
            <w:tcW w:w="480" w:type="dxa"/>
            <w:vAlign w:val="bottom"/>
            <w:tcBorders>
              <w:bottom w:val="single" w:sz="8" w:color="E2E6F4"/>
            </w:tcBorders>
            <w:shd w:val="clear" w:color="auto" w:fill="E2E6F4"/>
          </w:tcPr>
          <w:p>
            <w:pPr>
              <w:spacing w:after="0"/>
              <w:rPr>
                <w:sz w:val="21"/>
                <w:szCs w:val="21"/>
                <w:color w:val="auto"/>
              </w:rPr>
            </w:pPr>
          </w:p>
        </w:tc>
        <w:tc>
          <w:tcPr>
            <w:tcW w:w="840" w:type="dxa"/>
            <w:vAlign w:val="bottom"/>
            <w:tcBorders>
              <w:bottom w:val="single" w:sz="8" w:color="E2E6F4"/>
            </w:tcBorders>
            <w:shd w:val="clear" w:color="auto" w:fill="E2E6F4"/>
          </w:tcPr>
          <w:p>
            <w:pPr>
              <w:spacing w:after="0"/>
              <w:rPr>
                <w:sz w:val="21"/>
                <w:szCs w:val="21"/>
                <w:color w:val="auto"/>
              </w:rPr>
            </w:pPr>
          </w:p>
        </w:tc>
        <w:tc>
          <w:tcPr>
            <w:tcW w:w="240" w:type="dxa"/>
            <w:vAlign w:val="bottom"/>
            <w:tcBorders>
              <w:bottom w:val="single" w:sz="8" w:color="E2E6F4"/>
            </w:tcBorders>
            <w:shd w:val="clear" w:color="auto" w:fill="E2E6F4"/>
          </w:tcPr>
          <w:p>
            <w:pPr>
              <w:spacing w:after="0"/>
              <w:rPr>
                <w:sz w:val="21"/>
                <w:szCs w:val="21"/>
                <w:color w:val="auto"/>
              </w:rPr>
            </w:pPr>
          </w:p>
        </w:tc>
        <w:tc>
          <w:tcPr>
            <w:tcW w:w="980" w:type="dxa"/>
            <w:vAlign w:val="bottom"/>
            <w:tcBorders>
              <w:bottom w:val="single" w:sz="8" w:color="E2E6F4"/>
            </w:tcBorders>
            <w:shd w:val="clear" w:color="auto" w:fill="E2E6F4"/>
          </w:tcPr>
          <w:p>
            <w:pPr>
              <w:spacing w:after="0"/>
              <w:rPr>
                <w:sz w:val="21"/>
                <w:szCs w:val="21"/>
                <w:color w:val="auto"/>
              </w:rPr>
            </w:pPr>
          </w:p>
        </w:tc>
      </w:tr>
      <w:tr>
        <w:trPr>
          <w:trHeight w:val="255"/>
        </w:trPr>
        <w:tc>
          <w:tcPr>
            <w:tcW w:w="3120" w:type="dxa"/>
            <w:vAlign w:val="bottom"/>
          </w:tcPr>
          <w:p>
            <w:pPr>
              <w:ind w:left="20"/>
              <w:spacing w:after="0"/>
              <w:rPr>
                <w:sz w:val="20"/>
                <w:szCs w:val="20"/>
                <w:color w:val="auto"/>
              </w:rPr>
            </w:pPr>
            <w:r>
              <w:rPr>
                <w:rFonts w:ascii="Arial" w:cs="Arial" w:eastAsia="Arial" w:hAnsi="Arial"/>
                <w:sz w:val="18"/>
                <w:szCs w:val="18"/>
                <w:b w:val="1"/>
                <w:bCs w:val="1"/>
                <w:color w:val="0067B3"/>
              </w:rPr>
              <w:t>Vivek Jain</w:t>
            </w:r>
          </w:p>
        </w:tc>
        <w:tc>
          <w:tcPr>
            <w:tcW w:w="660" w:type="dxa"/>
            <w:vAlign w:val="bottom"/>
          </w:tcPr>
          <w:p>
            <w:pPr>
              <w:jc w:val="center"/>
              <w:spacing w:after="0"/>
              <w:rPr>
                <w:sz w:val="20"/>
                <w:szCs w:val="20"/>
                <w:color w:val="auto"/>
              </w:rPr>
            </w:pPr>
            <w:r>
              <w:rPr>
                <w:rFonts w:ascii="Arial" w:cs="Arial" w:eastAsia="Arial" w:hAnsi="Arial"/>
                <w:sz w:val="18"/>
                <w:szCs w:val="18"/>
                <w:color w:val="auto"/>
                <w:w w:val="99"/>
              </w:rPr>
              <w:t>2025</w:t>
            </w: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92"/>
              <w:spacing w:after="0"/>
              <w:rPr>
                <w:sz w:val="20"/>
                <w:szCs w:val="20"/>
                <w:color w:val="auto"/>
              </w:rPr>
            </w:pPr>
            <w:r>
              <w:rPr>
                <w:rFonts w:ascii="Arial" w:cs="Arial" w:eastAsia="Arial" w:hAnsi="Arial"/>
                <w:sz w:val="18"/>
                <w:szCs w:val="18"/>
                <w:color w:val="auto"/>
              </w:rPr>
              <w:t>673,077</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55"/>
              <w:spacing w:after="0"/>
              <w:rPr>
                <w:sz w:val="20"/>
                <w:szCs w:val="20"/>
                <w:color w:val="auto"/>
              </w:rPr>
            </w:pPr>
            <w:r>
              <w:rPr>
                <w:rFonts w:ascii="Arial" w:cs="Arial" w:eastAsia="Arial" w:hAnsi="Arial"/>
                <w:sz w:val="18"/>
                <w:szCs w:val="18"/>
                <w:color w:val="auto"/>
              </w:rPr>
              <w:t>5,650,854</w:t>
            </w:r>
          </w:p>
        </w:tc>
        <w:tc>
          <w:tcPr>
            <w:tcW w:w="340" w:type="dxa"/>
            <w:vAlign w:val="bottom"/>
          </w:tcPr>
          <w:p>
            <w:pPr>
              <w:jc w:val="right"/>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72"/>
              <w:spacing w:after="0"/>
              <w:rPr>
                <w:sz w:val="20"/>
                <w:szCs w:val="20"/>
                <w:color w:val="auto"/>
              </w:rPr>
            </w:pPr>
            <w:r>
              <w:rPr>
                <w:rFonts w:ascii="Arial" w:cs="Arial" w:eastAsia="Arial" w:hAnsi="Arial"/>
                <w:sz w:val="18"/>
                <w:szCs w:val="18"/>
                <w:color w:val="auto"/>
                <w:w w:val="97"/>
              </w:rPr>
              <w:t>1,354,567</w:t>
            </w:r>
          </w:p>
        </w:tc>
        <w:tc>
          <w:tcPr>
            <w:tcW w:w="480" w:type="dxa"/>
            <w:vAlign w:val="bottom"/>
          </w:tcPr>
          <w:p>
            <w:pPr>
              <w:jc w:val="right"/>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74"/>
              <w:spacing w:after="0"/>
              <w:rPr>
                <w:sz w:val="20"/>
                <w:szCs w:val="20"/>
                <w:color w:val="auto"/>
              </w:rPr>
            </w:pPr>
            <w:r>
              <w:rPr>
                <w:rFonts w:ascii="Arial" w:cs="Arial" w:eastAsia="Arial" w:hAnsi="Arial"/>
                <w:sz w:val="18"/>
                <w:szCs w:val="18"/>
                <w:color w:val="auto"/>
              </w:rPr>
              <w:t>70,047</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7,748,545</w:t>
            </w:r>
          </w:p>
        </w:tc>
      </w:tr>
      <w:tr>
        <w:trPr>
          <w:trHeight w:val="239"/>
        </w:trPr>
        <w:tc>
          <w:tcPr>
            <w:tcW w:w="3120" w:type="dxa"/>
            <w:vAlign w:val="bottom"/>
          </w:tcPr>
          <w:p>
            <w:pPr>
              <w:ind w:left="20"/>
              <w:spacing w:after="0"/>
              <w:rPr>
                <w:sz w:val="20"/>
                <w:szCs w:val="20"/>
                <w:color w:val="auto"/>
              </w:rPr>
            </w:pPr>
            <w:r>
              <w:rPr>
                <w:rFonts w:ascii="Arial" w:cs="Arial" w:eastAsia="Arial" w:hAnsi="Arial"/>
                <w:sz w:val="18"/>
                <w:szCs w:val="18"/>
                <w:color w:val="auto"/>
              </w:rPr>
              <w:t>Executive Vice President, Global</w:t>
            </w:r>
          </w:p>
        </w:tc>
        <w:tc>
          <w:tcPr>
            <w:tcW w:w="660" w:type="dxa"/>
            <w:vAlign w:val="bottom"/>
          </w:tcPr>
          <w:p>
            <w:pPr>
              <w:jc w:val="center"/>
              <w:spacing w:after="0"/>
              <w:rPr>
                <w:sz w:val="20"/>
                <w:szCs w:val="20"/>
                <w:color w:val="auto"/>
              </w:rPr>
            </w:pPr>
            <w:r>
              <w:rPr>
                <w:rFonts w:ascii="Arial" w:cs="Arial" w:eastAsia="Arial" w:hAnsi="Arial"/>
                <w:sz w:val="18"/>
                <w:szCs w:val="18"/>
                <w:color w:val="auto"/>
                <w:w w:val="99"/>
              </w:rPr>
              <w:t>2024</w:t>
            </w: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92"/>
              <w:spacing w:after="0"/>
              <w:rPr>
                <w:sz w:val="20"/>
                <w:szCs w:val="20"/>
                <w:color w:val="auto"/>
              </w:rPr>
            </w:pPr>
            <w:r>
              <w:rPr>
                <w:rFonts w:ascii="Arial" w:cs="Arial" w:eastAsia="Arial" w:hAnsi="Arial"/>
                <w:sz w:val="18"/>
                <w:szCs w:val="18"/>
                <w:color w:val="auto"/>
              </w:rPr>
              <w:t>616,250</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55"/>
              <w:spacing w:after="0"/>
              <w:rPr>
                <w:sz w:val="20"/>
                <w:szCs w:val="20"/>
                <w:color w:val="auto"/>
              </w:rPr>
            </w:pPr>
            <w:r>
              <w:rPr>
                <w:rFonts w:ascii="Arial" w:cs="Arial" w:eastAsia="Arial" w:hAnsi="Arial"/>
                <w:sz w:val="18"/>
                <w:szCs w:val="18"/>
                <w:color w:val="auto"/>
              </w:rPr>
              <w:t>5,250,121</w:t>
            </w:r>
          </w:p>
        </w:tc>
        <w:tc>
          <w:tcPr>
            <w:tcW w:w="340" w:type="dxa"/>
            <w:vAlign w:val="bottom"/>
          </w:tcPr>
          <w:p>
            <w:pPr>
              <w:jc w:val="right"/>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72"/>
              <w:spacing w:after="0"/>
              <w:rPr>
                <w:sz w:val="20"/>
                <w:szCs w:val="20"/>
                <w:color w:val="auto"/>
              </w:rPr>
            </w:pPr>
            <w:r>
              <w:rPr>
                <w:rFonts w:ascii="Arial" w:cs="Arial" w:eastAsia="Arial" w:hAnsi="Arial"/>
                <w:sz w:val="18"/>
                <w:szCs w:val="18"/>
                <w:color w:val="auto"/>
              </w:rPr>
              <w:t>212,844</w:t>
            </w:r>
          </w:p>
        </w:tc>
        <w:tc>
          <w:tcPr>
            <w:tcW w:w="480" w:type="dxa"/>
            <w:vAlign w:val="bottom"/>
          </w:tcPr>
          <w:p>
            <w:pPr>
              <w:jc w:val="right"/>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74"/>
              <w:spacing w:after="0"/>
              <w:rPr>
                <w:sz w:val="20"/>
                <w:szCs w:val="20"/>
                <w:color w:val="auto"/>
              </w:rPr>
            </w:pPr>
            <w:r>
              <w:rPr>
                <w:rFonts w:ascii="Arial" w:cs="Arial" w:eastAsia="Arial" w:hAnsi="Arial"/>
                <w:sz w:val="18"/>
                <w:szCs w:val="18"/>
                <w:color w:val="auto"/>
              </w:rPr>
              <w:t>65,000</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6,144,215</w:t>
            </w:r>
          </w:p>
        </w:tc>
      </w:tr>
      <w:tr>
        <w:trPr>
          <w:trHeight w:val="293"/>
        </w:trPr>
        <w:tc>
          <w:tcPr>
            <w:tcW w:w="3120" w:type="dxa"/>
            <w:vAlign w:val="bottom"/>
          </w:tcPr>
          <w:p>
            <w:pPr>
              <w:ind w:left="20"/>
              <w:spacing w:after="0"/>
              <w:rPr>
                <w:sz w:val="20"/>
                <w:szCs w:val="20"/>
                <w:color w:val="auto"/>
              </w:rPr>
            </w:pPr>
            <w:r>
              <w:rPr>
                <w:rFonts w:ascii="Arial" w:cs="Arial" w:eastAsia="Arial" w:hAnsi="Arial"/>
                <w:sz w:val="18"/>
                <w:szCs w:val="18"/>
                <w:color w:val="auto"/>
              </w:rPr>
              <w:t>Operations and Technology</w:t>
            </w:r>
          </w:p>
        </w:tc>
        <w:tc>
          <w:tcPr>
            <w:tcW w:w="660" w:type="dxa"/>
            <w:vAlign w:val="bottom"/>
          </w:tcPr>
          <w:p>
            <w:pPr>
              <w:jc w:val="center"/>
              <w:spacing w:after="0"/>
              <w:rPr>
                <w:sz w:val="20"/>
                <w:szCs w:val="20"/>
                <w:color w:val="auto"/>
              </w:rPr>
            </w:pPr>
            <w:r>
              <w:rPr>
                <w:rFonts w:ascii="Arial" w:cs="Arial" w:eastAsia="Arial" w:hAnsi="Arial"/>
                <w:sz w:val="18"/>
                <w:szCs w:val="18"/>
                <w:color w:val="auto"/>
                <w:w w:val="99"/>
              </w:rPr>
              <w:t>2023</w:t>
            </w: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92"/>
              <w:spacing w:after="0"/>
              <w:rPr>
                <w:sz w:val="20"/>
                <w:szCs w:val="20"/>
                <w:color w:val="auto"/>
              </w:rPr>
            </w:pPr>
            <w:r>
              <w:rPr>
                <w:rFonts w:ascii="Arial" w:cs="Arial" w:eastAsia="Arial" w:hAnsi="Arial"/>
                <w:sz w:val="18"/>
                <w:szCs w:val="18"/>
                <w:color w:val="auto"/>
              </w:rPr>
              <w:t>637,500</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55"/>
              <w:spacing w:after="0"/>
              <w:rPr>
                <w:sz w:val="20"/>
                <w:szCs w:val="20"/>
                <w:color w:val="auto"/>
              </w:rPr>
            </w:pPr>
            <w:r>
              <w:rPr>
                <w:rFonts w:ascii="Arial" w:cs="Arial" w:eastAsia="Arial" w:hAnsi="Arial"/>
                <w:sz w:val="18"/>
                <w:szCs w:val="18"/>
                <w:color w:val="auto"/>
              </w:rPr>
              <w:t>5,249,301</w:t>
            </w:r>
          </w:p>
        </w:tc>
        <w:tc>
          <w:tcPr>
            <w:tcW w:w="340" w:type="dxa"/>
            <w:vAlign w:val="bottom"/>
          </w:tcPr>
          <w:p>
            <w:pPr>
              <w:jc w:val="right"/>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72"/>
              <w:spacing w:after="0"/>
              <w:rPr>
                <w:sz w:val="20"/>
                <w:szCs w:val="20"/>
                <w:color w:val="auto"/>
              </w:rPr>
            </w:pPr>
            <w:r>
              <w:rPr>
                <w:rFonts w:ascii="Arial" w:cs="Arial" w:eastAsia="Arial" w:hAnsi="Arial"/>
                <w:sz w:val="18"/>
                <w:szCs w:val="18"/>
                <w:color w:val="auto"/>
                <w:w w:val="97"/>
              </w:rPr>
              <w:t>1,424,075</w:t>
            </w:r>
          </w:p>
        </w:tc>
        <w:tc>
          <w:tcPr>
            <w:tcW w:w="480" w:type="dxa"/>
            <w:vAlign w:val="bottom"/>
          </w:tcPr>
          <w:p>
            <w:pPr>
              <w:jc w:val="right"/>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74"/>
              <w:spacing w:after="0"/>
              <w:rPr>
                <w:sz w:val="20"/>
                <w:szCs w:val="20"/>
                <w:color w:val="auto"/>
              </w:rPr>
            </w:pPr>
            <w:r>
              <w:rPr>
                <w:rFonts w:ascii="Arial" w:cs="Arial" w:eastAsia="Arial" w:hAnsi="Arial"/>
                <w:sz w:val="18"/>
                <w:szCs w:val="18"/>
                <w:color w:val="auto"/>
              </w:rPr>
              <w:t>52,200</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7,363,076</w:t>
            </w:r>
          </w:p>
        </w:tc>
      </w:tr>
      <w:tr>
        <w:trPr>
          <w:trHeight w:val="23"/>
        </w:trPr>
        <w:tc>
          <w:tcPr>
            <w:tcW w:w="3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320" w:type="dxa"/>
            <w:vAlign w:val="bottom"/>
          </w:tcPr>
          <w:p>
            <w:pPr>
              <w:spacing w:after="0"/>
              <w:rPr>
                <w:sz w:val="2"/>
                <w:szCs w:val="2"/>
                <w:color w:val="auto"/>
              </w:rPr>
            </w:pPr>
          </w:p>
        </w:tc>
        <w:tc>
          <w:tcPr>
            <w:tcW w:w="980" w:type="dxa"/>
            <w:vAlign w:val="bottom"/>
          </w:tcPr>
          <w:p>
            <w:pPr>
              <w:spacing w:after="0"/>
              <w:rPr>
                <w:sz w:val="2"/>
                <w:szCs w:val="2"/>
                <w:color w:val="auto"/>
              </w:rPr>
            </w:pPr>
          </w:p>
        </w:tc>
        <w:tc>
          <w:tcPr>
            <w:tcW w:w="220" w:type="dxa"/>
            <w:vAlign w:val="bottom"/>
          </w:tcPr>
          <w:p>
            <w:pPr>
              <w:spacing w:after="0"/>
              <w:rPr>
                <w:sz w:val="2"/>
                <w:szCs w:val="2"/>
                <w:color w:val="auto"/>
              </w:rPr>
            </w:pPr>
          </w:p>
        </w:tc>
        <w:tc>
          <w:tcPr>
            <w:tcW w:w="8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340" w:type="dxa"/>
            <w:vAlign w:val="bottom"/>
          </w:tcPr>
          <w:p>
            <w:pPr>
              <w:spacing w:after="0"/>
              <w:rPr>
                <w:sz w:val="2"/>
                <w:szCs w:val="2"/>
                <w:color w:val="auto"/>
              </w:rPr>
            </w:pPr>
          </w:p>
        </w:tc>
        <w:tc>
          <w:tcPr>
            <w:tcW w:w="960" w:type="dxa"/>
            <w:vAlign w:val="bottom"/>
          </w:tcPr>
          <w:p>
            <w:pPr>
              <w:spacing w:after="0"/>
              <w:rPr>
                <w:sz w:val="2"/>
                <w:szCs w:val="2"/>
                <w:color w:val="auto"/>
              </w:rPr>
            </w:pPr>
          </w:p>
        </w:tc>
        <w:tc>
          <w:tcPr>
            <w:tcW w:w="480" w:type="dxa"/>
            <w:vAlign w:val="bottom"/>
          </w:tcPr>
          <w:p>
            <w:pPr>
              <w:spacing w:after="0"/>
              <w:rPr>
                <w:sz w:val="2"/>
                <w:szCs w:val="2"/>
                <w:color w:val="auto"/>
              </w:rPr>
            </w:pPr>
          </w:p>
        </w:tc>
        <w:tc>
          <w:tcPr>
            <w:tcW w:w="840" w:type="dxa"/>
            <w:vAlign w:val="bottom"/>
          </w:tcPr>
          <w:p>
            <w:pPr>
              <w:spacing w:after="0"/>
              <w:rPr>
                <w:sz w:val="2"/>
                <w:szCs w:val="2"/>
                <w:color w:val="auto"/>
              </w:rPr>
            </w:pPr>
          </w:p>
        </w:tc>
        <w:tc>
          <w:tcPr>
            <w:tcW w:w="24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305"/>
        </w:trPr>
        <w:tc>
          <w:tcPr>
            <w:tcW w:w="3120" w:type="dxa"/>
            <w:vAlign w:val="bottom"/>
            <w:shd w:val="clear" w:color="auto" w:fill="E2E6F4"/>
          </w:tcPr>
          <w:p>
            <w:pPr>
              <w:ind w:left="20"/>
              <w:spacing w:after="0"/>
              <w:rPr>
                <w:sz w:val="20"/>
                <w:szCs w:val="20"/>
                <w:color w:val="auto"/>
              </w:rPr>
            </w:pPr>
            <w:r>
              <w:rPr>
                <w:rFonts w:ascii="Arial" w:cs="Arial" w:eastAsia="Arial" w:hAnsi="Arial"/>
                <w:sz w:val="18"/>
                <w:szCs w:val="18"/>
                <w:color w:val="0067B3"/>
              </w:rPr>
              <w:t>Katsu Nakamura</w:t>
            </w:r>
            <w:r>
              <w:rPr>
                <w:rFonts w:ascii="Arial" w:cs="Arial" w:eastAsia="Arial" w:hAnsi="Arial"/>
                <w:sz w:val="23"/>
                <w:szCs w:val="23"/>
                <w:b w:val="1"/>
                <w:bCs w:val="1"/>
                <w:color w:val="0067B3"/>
                <w:vertAlign w:val="superscript"/>
              </w:rPr>
              <w:t>(7)</w:t>
            </w:r>
          </w:p>
        </w:tc>
        <w:tc>
          <w:tcPr>
            <w:tcW w:w="660" w:type="dxa"/>
            <w:vAlign w:val="bottom"/>
            <w:shd w:val="clear" w:color="auto" w:fill="E2E6F4"/>
          </w:tcPr>
          <w:p>
            <w:pPr>
              <w:jc w:val="center"/>
              <w:spacing w:after="0"/>
              <w:rPr>
                <w:sz w:val="20"/>
                <w:szCs w:val="20"/>
                <w:color w:val="auto"/>
              </w:rPr>
            </w:pPr>
            <w:r>
              <w:rPr>
                <w:rFonts w:ascii="Arial" w:cs="Arial" w:eastAsia="Arial" w:hAnsi="Arial"/>
                <w:sz w:val="18"/>
                <w:szCs w:val="18"/>
                <w:color w:val="auto"/>
                <w:w w:val="99"/>
              </w:rPr>
              <w:t>2025</w:t>
            </w:r>
          </w:p>
        </w:tc>
        <w:tc>
          <w:tcPr>
            <w:tcW w:w="320" w:type="dxa"/>
            <w:vAlign w:val="bottom"/>
            <w:shd w:val="clear" w:color="auto" w:fill="E2E6F4"/>
          </w:tcPr>
          <w:p>
            <w:pPr>
              <w:jc w:val="right"/>
              <w:spacing w:after="0"/>
              <w:rPr>
                <w:sz w:val="20"/>
                <w:szCs w:val="20"/>
                <w:color w:val="auto"/>
              </w:rPr>
            </w:pPr>
            <w:r>
              <w:rPr>
                <w:rFonts w:ascii="Arial" w:cs="Arial" w:eastAsia="Arial" w:hAnsi="Arial"/>
                <w:sz w:val="18"/>
                <w:szCs w:val="18"/>
                <w:color w:val="auto"/>
              </w:rPr>
              <w:t>$</w:t>
            </w:r>
          </w:p>
        </w:tc>
        <w:tc>
          <w:tcPr>
            <w:tcW w:w="980" w:type="dxa"/>
            <w:vAlign w:val="bottom"/>
            <w:shd w:val="clear" w:color="auto" w:fill="E2E6F4"/>
          </w:tcPr>
          <w:p>
            <w:pPr>
              <w:jc w:val="right"/>
              <w:ind w:right="92"/>
              <w:spacing w:after="0"/>
              <w:rPr>
                <w:sz w:val="20"/>
                <w:szCs w:val="20"/>
                <w:color w:val="auto"/>
              </w:rPr>
            </w:pPr>
            <w:r>
              <w:rPr>
                <w:rFonts w:ascii="Arial" w:cs="Arial" w:eastAsia="Arial" w:hAnsi="Arial"/>
                <w:sz w:val="18"/>
                <w:szCs w:val="18"/>
                <w:color w:val="auto"/>
              </w:rPr>
              <w:t>492,386</w:t>
            </w:r>
          </w:p>
        </w:tc>
        <w:tc>
          <w:tcPr>
            <w:tcW w:w="220" w:type="dxa"/>
            <w:vAlign w:val="bottom"/>
            <w:shd w:val="clear" w:color="auto" w:fill="E2E6F4"/>
          </w:tcPr>
          <w:p>
            <w:pPr>
              <w:jc w:val="right"/>
              <w:spacing w:after="0"/>
              <w:rPr>
                <w:sz w:val="20"/>
                <w:szCs w:val="20"/>
                <w:color w:val="auto"/>
              </w:rPr>
            </w:pPr>
            <w:r>
              <w:rPr>
                <w:rFonts w:ascii="Arial" w:cs="Arial" w:eastAsia="Arial" w:hAnsi="Arial"/>
                <w:sz w:val="18"/>
                <w:szCs w:val="18"/>
                <w:color w:val="auto"/>
              </w:rPr>
              <w:t>$</w:t>
            </w:r>
          </w:p>
        </w:tc>
        <w:tc>
          <w:tcPr>
            <w:tcW w:w="840" w:type="dxa"/>
            <w:vAlign w:val="bottom"/>
            <w:shd w:val="clear" w:color="auto" w:fill="E2E6F4"/>
          </w:tcPr>
          <w:p>
            <w:pPr>
              <w:jc w:val="right"/>
              <w:ind w:right="92"/>
              <w:spacing w:after="0"/>
              <w:rPr>
                <w:sz w:val="20"/>
                <w:szCs w:val="20"/>
                <w:color w:val="auto"/>
              </w:rPr>
            </w:pPr>
            <w:r>
              <w:rPr>
                <w:rFonts w:ascii="Arial" w:cs="Arial" w:eastAsia="Arial" w:hAnsi="Arial"/>
                <w:sz w:val="18"/>
                <w:szCs w:val="18"/>
                <w:color w:val="auto"/>
              </w:rPr>
              <w:t>—</w:t>
            </w:r>
          </w:p>
        </w:tc>
        <w:tc>
          <w:tcPr>
            <w:tcW w:w="220" w:type="dxa"/>
            <w:vAlign w:val="bottom"/>
            <w:shd w:val="clear" w:color="auto" w:fill="E2E6F4"/>
          </w:tcPr>
          <w:p>
            <w:pPr>
              <w:jc w:val="right"/>
              <w:spacing w:after="0"/>
              <w:rPr>
                <w:sz w:val="20"/>
                <w:szCs w:val="20"/>
                <w:color w:val="auto"/>
              </w:rPr>
            </w:pPr>
            <w:r>
              <w:rPr>
                <w:rFonts w:ascii="Arial" w:cs="Arial" w:eastAsia="Arial" w:hAnsi="Arial"/>
                <w:sz w:val="18"/>
                <w:szCs w:val="18"/>
                <w:color w:val="auto"/>
              </w:rPr>
              <w:t>$</w:t>
            </w:r>
          </w:p>
        </w:tc>
        <w:tc>
          <w:tcPr>
            <w:tcW w:w="1040" w:type="dxa"/>
            <w:vAlign w:val="bottom"/>
            <w:shd w:val="clear" w:color="auto" w:fill="E2E6F4"/>
          </w:tcPr>
          <w:p>
            <w:pPr>
              <w:jc w:val="right"/>
              <w:ind w:right="55"/>
              <w:spacing w:after="0"/>
              <w:rPr>
                <w:sz w:val="20"/>
                <w:szCs w:val="20"/>
                <w:color w:val="auto"/>
              </w:rPr>
            </w:pPr>
            <w:r>
              <w:rPr>
                <w:rFonts w:ascii="Arial" w:cs="Arial" w:eastAsia="Arial" w:hAnsi="Arial"/>
                <w:sz w:val="18"/>
                <w:szCs w:val="18"/>
                <w:color w:val="auto"/>
              </w:rPr>
              <w:t>3,000,455</w:t>
            </w:r>
          </w:p>
        </w:tc>
        <w:tc>
          <w:tcPr>
            <w:tcW w:w="340" w:type="dxa"/>
            <w:vAlign w:val="bottom"/>
            <w:shd w:val="clear" w:color="auto" w:fill="E2E6F4"/>
          </w:tcPr>
          <w:p>
            <w:pPr>
              <w:jc w:val="right"/>
              <w:spacing w:after="0"/>
              <w:rPr>
                <w:sz w:val="20"/>
                <w:szCs w:val="20"/>
                <w:color w:val="auto"/>
              </w:rPr>
            </w:pPr>
            <w:r>
              <w:rPr>
                <w:rFonts w:ascii="Arial" w:cs="Arial" w:eastAsia="Arial" w:hAnsi="Arial"/>
                <w:sz w:val="18"/>
                <w:szCs w:val="18"/>
                <w:color w:val="auto"/>
              </w:rPr>
              <w:t>$</w:t>
            </w:r>
          </w:p>
        </w:tc>
        <w:tc>
          <w:tcPr>
            <w:tcW w:w="960" w:type="dxa"/>
            <w:vAlign w:val="bottom"/>
            <w:shd w:val="clear" w:color="auto" w:fill="E2E6F4"/>
          </w:tcPr>
          <w:p>
            <w:pPr>
              <w:jc w:val="right"/>
              <w:ind w:right="72"/>
              <w:spacing w:after="0"/>
              <w:rPr>
                <w:sz w:val="20"/>
                <w:szCs w:val="20"/>
                <w:color w:val="auto"/>
              </w:rPr>
            </w:pPr>
            <w:r>
              <w:rPr>
                <w:rFonts w:ascii="Arial" w:cs="Arial" w:eastAsia="Arial" w:hAnsi="Arial"/>
                <w:sz w:val="18"/>
                <w:szCs w:val="18"/>
                <w:color w:val="auto"/>
              </w:rPr>
              <w:t>792,742</w:t>
            </w:r>
          </w:p>
        </w:tc>
        <w:tc>
          <w:tcPr>
            <w:tcW w:w="480" w:type="dxa"/>
            <w:vAlign w:val="bottom"/>
            <w:shd w:val="clear" w:color="auto" w:fill="E2E6F4"/>
          </w:tcPr>
          <w:p>
            <w:pPr>
              <w:jc w:val="right"/>
              <w:spacing w:after="0"/>
              <w:rPr>
                <w:sz w:val="20"/>
                <w:szCs w:val="20"/>
                <w:color w:val="auto"/>
              </w:rPr>
            </w:pPr>
            <w:r>
              <w:rPr>
                <w:rFonts w:ascii="Arial" w:cs="Arial" w:eastAsia="Arial" w:hAnsi="Arial"/>
                <w:sz w:val="18"/>
                <w:szCs w:val="18"/>
                <w:color w:val="auto"/>
              </w:rPr>
              <w:t>$</w:t>
            </w:r>
          </w:p>
        </w:tc>
        <w:tc>
          <w:tcPr>
            <w:tcW w:w="840" w:type="dxa"/>
            <w:vAlign w:val="bottom"/>
            <w:shd w:val="clear" w:color="auto" w:fill="E2E6F4"/>
          </w:tcPr>
          <w:p>
            <w:pPr>
              <w:jc w:val="right"/>
              <w:ind w:right="74"/>
              <w:spacing w:after="0"/>
              <w:rPr>
                <w:sz w:val="20"/>
                <w:szCs w:val="20"/>
                <w:color w:val="auto"/>
              </w:rPr>
            </w:pPr>
            <w:r>
              <w:rPr>
                <w:rFonts w:ascii="Arial" w:cs="Arial" w:eastAsia="Arial" w:hAnsi="Arial"/>
                <w:sz w:val="18"/>
                <w:szCs w:val="18"/>
                <w:color w:val="auto"/>
              </w:rPr>
              <w:t>600,240</w:t>
            </w:r>
          </w:p>
        </w:tc>
        <w:tc>
          <w:tcPr>
            <w:tcW w:w="240" w:type="dxa"/>
            <w:vAlign w:val="bottom"/>
            <w:shd w:val="clear" w:color="auto" w:fill="E2E6F4"/>
          </w:tcPr>
          <w:p>
            <w:pPr>
              <w:jc w:val="right"/>
              <w:spacing w:after="0"/>
              <w:rPr>
                <w:sz w:val="20"/>
                <w:szCs w:val="20"/>
                <w:color w:val="auto"/>
              </w:rPr>
            </w:pPr>
            <w:r>
              <w:rPr>
                <w:rFonts w:ascii="Arial" w:cs="Arial" w:eastAsia="Arial" w:hAnsi="Arial"/>
                <w:sz w:val="18"/>
                <w:szCs w:val="18"/>
                <w:color w:val="auto"/>
              </w:rPr>
              <w:t>$</w:t>
            </w:r>
          </w:p>
        </w:tc>
        <w:tc>
          <w:tcPr>
            <w:tcW w:w="980" w:type="dxa"/>
            <w:vAlign w:val="bottom"/>
            <w:shd w:val="clear" w:color="auto" w:fill="E2E6F4"/>
          </w:tcPr>
          <w:p>
            <w:pPr>
              <w:jc w:val="right"/>
              <w:spacing w:after="0"/>
              <w:rPr>
                <w:sz w:val="20"/>
                <w:szCs w:val="20"/>
                <w:color w:val="auto"/>
              </w:rPr>
            </w:pPr>
            <w:r>
              <w:rPr>
                <w:rFonts w:ascii="Arial" w:cs="Arial" w:eastAsia="Arial" w:hAnsi="Arial"/>
                <w:sz w:val="18"/>
                <w:szCs w:val="18"/>
                <w:color w:val="auto"/>
              </w:rPr>
              <w:t>4,885,823</w:t>
            </w:r>
          </w:p>
        </w:tc>
      </w:tr>
      <w:tr>
        <w:trPr>
          <w:trHeight w:val="239"/>
        </w:trPr>
        <w:tc>
          <w:tcPr>
            <w:tcW w:w="3120" w:type="dxa"/>
            <w:vAlign w:val="bottom"/>
            <w:shd w:val="clear" w:color="auto" w:fill="E2E6F4"/>
          </w:tcPr>
          <w:p>
            <w:pPr>
              <w:ind w:left="20"/>
              <w:spacing w:after="0"/>
              <w:rPr>
                <w:sz w:val="20"/>
                <w:szCs w:val="20"/>
                <w:color w:val="auto"/>
              </w:rPr>
            </w:pPr>
            <w:r>
              <w:rPr>
                <w:rFonts w:ascii="Arial" w:cs="Arial" w:eastAsia="Arial" w:hAnsi="Arial"/>
                <w:sz w:val="18"/>
                <w:szCs w:val="18"/>
                <w:color w:val="auto"/>
              </w:rPr>
              <w:t>Senior Vice President and</w:t>
            </w:r>
          </w:p>
        </w:tc>
        <w:tc>
          <w:tcPr>
            <w:tcW w:w="660" w:type="dxa"/>
            <w:vAlign w:val="bottom"/>
            <w:shd w:val="clear" w:color="auto" w:fill="E2E6F4"/>
          </w:tcPr>
          <w:p>
            <w:pPr>
              <w:spacing w:after="0"/>
              <w:rPr>
                <w:sz w:val="20"/>
                <w:szCs w:val="20"/>
                <w:color w:val="auto"/>
              </w:rPr>
            </w:pPr>
          </w:p>
        </w:tc>
        <w:tc>
          <w:tcPr>
            <w:tcW w:w="320" w:type="dxa"/>
            <w:vAlign w:val="bottom"/>
            <w:shd w:val="clear" w:color="auto" w:fill="E2E6F4"/>
          </w:tcPr>
          <w:p>
            <w:pPr>
              <w:spacing w:after="0"/>
              <w:rPr>
                <w:sz w:val="20"/>
                <w:szCs w:val="20"/>
                <w:color w:val="auto"/>
              </w:rPr>
            </w:pPr>
          </w:p>
        </w:tc>
        <w:tc>
          <w:tcPr>
            <w:tcW w:w="980" w:type="dxa"/>
            <w:vAlign w:val="bottom"/>
            <w:shd w:val="clear" w:color="auto" w:fill="E2E6F4"/>
          </w:tcPr>
          <w:p>
            <w:pPr>
              <w:spacing w:after="0"/>
              <w:rPr>
                <w:sz w:val="20"/>
                <w:szCs w:val="20"/>
                <w:color w:val="auto"/>
              </w:rPr>
            </w:pPr>
          </w:p>
        </w:tc>
        <w:tc>
          <w:tcPr>
            <w:tcW w:w="220" w:type="dxa"/>
            <w:vAlign w:val="bottom"/>
            <w:shd w:val="clear" w:color="auto" w:fill="E2E6F4"/>
          </w:tcPr>
          <w:p>
            <w:pPr>
              <w:spacing w:after="0"/>
              <w:rPr>
                <w:sz w:val="20"/>
                <w:szCs w:val="20"/>
                <w:color w:val="auto"/>
              </w:rPr>
            </w:pPr>
          </w:p>
        </w:tc>
        <w:tc>
          <w:tcPr>
            <w:tcW w:w="840" w:type="dxa"/>
            <w:vAlign w:val="bottom"/>
            <w:shd w:val="clear" w:color="auto" w:fill="E2E6F4"/>
          </w:tcPr>
          <w:p>
            <w:pPr>
              <w:spacing w:after="0"/>
              <w:rPr>
                <w:sz w:val="20"/>
                <w:szCs w:val="20"/>
                <w:color w:val="auto"/>
              </w:rPr>
            </w:pPr>
          </w:p>
        </w:tc>
        <w:tc>
          <w:tcPr>
            <w:tcW w:w="220" w:type="dxa"/>
            <w:vAlign w:val="bottom"/>
            <w:shd w:val="clear" w:color="auto" w:fill="E2E6F4"/>
          </w:tcPr>
          <w:p>
            <w:pPr>
              <w:spacing w:after="0"/>
              <w:rPr>
                <w:sz w:val="20"/>
                <w:szCs w:val="20"/>
                <w:color w:val="auto"/>
              </w:rPr>
            </w:pPr>
          </w:p>
        </w:tc>
        <w:tc>
          <w:tcPr>
            <w:tcW w:w="1040" w:type="dxa"/>
            <w:vAlign w:val="bottom"/>
            <w:shd w:val="clear" w:color="auto" w:fill="E2E6F4"/>
          </w:tcPr>
          <w:p>
            <w:pPr>
              <w:spacing w:after="0"/>
              <w:rPr>
                <w:sz w:val="20"/>
                <w:szCs w:val="20"/>
                <w:color w:val="auto"/>
              </w:rPr>
            </w:pPr>
          </w:p>
        </w:tc>
        <w:tc>
          <w:tcPr>
            <w:tcW w:w="340" w:type="dxa"/>
            <w:vAlign w:val="bottom"/>
            <w:shd w:val="clear" w:color="auto" w:fill="E2E6F4"/>
          </w:tcPr>
          <w:p>
            <w:pPr>
              <w:spacing w:after="0"/>
              <w:rPr>
                <w:sz w:val="20"/>
                <w:szCs w:val="20"/>
                <w:color w:val="auto"/>
              </w:rPr>
            </w:pPr>
          </w:p>
        </w:tc>
        <w:tc>
          <w:tcPr>
            <w:tcW w:w="960" w:type="dxa"/>
            <w:vAlign w:val="bottom"/>
            <w:shd w:val="clear" w:color="auto" w:fill="E2E6F4"/>
          </w:tcPr>
          <w:p>
            <w:pPr>
              <w:spacing w:after="0"/>
              <w:rPr>
                <w:sz w:val="20"/>
                <w:szCs w:val="20"/>
                <w:color w:val="auto"/>
              </w:rPr>
            </w:pPr>
          </w:p>
        </w:tc>
        <w:tc>
          <w:tcPr>
            <w:tcW w:w="480" w:type="dxa"/>
            <w:vAlign w:val="bottom"/>
            <w:shd w:val="clear" w:color="auto" w:fill="E2E6F4"/>
          </w:tcPr>
          <w:p>
            <w:pPr>
              <w:spacing w:after="0"/>
              <w:rPr>
                <w:sz w:val="20"/>
                <w:szCs w:val="20"/>
                <w:color w:val="auto"/>
              </w:rPr>
            </w:pPr>
          </w:p>
        </w:tc>
        <w:tc>
          <w:tcPr>
            <w:tcW w:w="840" w:type="dxa"/>
            <w:vAlign w:val="bottom"/>
            <w:shd w:val="clear" w:color="auto" w:fill="E2E6F4"/>
          </w:tcPr>
          <w:p>
            <w:pPr>
              <w:spacing w:after="0"/>
              <w:rPr>
                <w:sz w:val="20"/>
                <w:szCs w:val="20"/>
                <w:color w:val="auto"/>
              </w:rPr>
            </w:pPr>
          </w:p>
        </w:tc>
        <w:tc>
          <w:tcPr>
            <w:tcW w:w="240" w:type="dxa"/>
            <w:vAlign w:val="bottom"/>
            <w:shd w:val="clear" w:color="auto" w:fill="E2E6F4"/>
          </w:tcPr>
          <w:p>
            <w:pPr>
              <w:spacing w:after="0"/>
              <w:rPr>
                <w:sz w:val="20"/>
                <w:szCs w:val="20"/>
                <w:color w:val="auto"/>
              </w:rPr>
            </w:pPr>
          </w:p>
        </w:tc>
        <w:tc>
          <w:tcPr>
            <w:tcW w:w="980" w:type="dxa"/>
            <w:vAlign w:val="bottom"/>
            <w:shd w:val="clear" w:color="auto" w:fill="E2E6F4"/>
          </w:tcPr>
          <w:p>
            <w:pPr>
              <w:spacing w:after="0"/>
              <w:rPr>
                <w:sz w:val="20"/>
                <w:szCs w:val="20"/>
                <w:color w:val="auto"/>
              </w:rPr>
            </w:pPr>
          </w:p>
        </w:tc>
      </w:tr>
      <w:tr>
        <w:trPr>
          <w:trHeight w:val="246"/>
        </w:trPr>
        <w:tc>
          <w:tcPr>
            <w:tcW w:w="3120" w:type="dxa"/>
            <w:vAlign w:val="bottom"/>
            <w:tcBorders>
              <w:bottom w:val="single" w:sz="8" w:color="E2E6F4"/>
            </w:tcBorders>
            <w:shd w:val="clear" w:color="auto" w:fill="E2E6F4"/>
          </w:tcPr>
          <w:p>
            <w:pPr>
              <w:ind w:left="20"/>
              <w:spacing w:after="0"/>
              <w:rPr>
                <w:sz w:val="20"/>
                <w:szCs w:val="20"/>
                <w:color w:val="auto"/>
              </w:rPr>
            </w:pPr>
            <w:r>
              <w:rPr>
                <w:rFonts w:ascii="Arial" w:cs="Arial" w:eastAsia="Arial" w:hAnsi="Arial"/>
                <w:sz w:val="18"/>
                <w:szCs w:val="18"/>
                <w:color w:val="auto"/>
              </w:rPr>
              <w:t>Chief Customer Officer</w:t>
            </w:r>
          </w:p>
        </w:tc>
        <w:tc>
          <w:tcPr>
            <w:tcW w:w="660" w:type="dxa"/>
            <w:vAlign w:val="bottom"/>
            <w:tcBorders>
              <w:bottom w:val="single" w:sz="8" w:color="E2E6F4"/>
            </w:tcBorders>
            <w:shd w:val="clear" w:color="auto" w:fill="E2E6F4"/>
          </w:tcPr>
          <w:p>
            <w:pPr>
              <w:spacing w:after="0"/>
              <w:rPr>
                <w:sz w:val="21"/>
                <w:szCs w:val="21"/>
                <w:color w:val="auto"/>
              </w:rPr>
            </w:pPr>
          </w:p>
        </w:tc>
        <w:tc>
          <w:tcPr>
            <w:tcW w:w="320" w:type="dxa"/>
            <w:vAlign w:val="bottom"/>
            <w:tcBorders>
              <w:bottom w:val="single" w:sz="8" w:color="E2E6F4"/>
            </w:tcBorders>
            <w:shd w:val="clear" w:color="auto" w:fill="E2E6F4"/>
          </w:tcPr>
          <w:p>
            <w:pPr>
              <w:spacing w:after="0"/>
              <w:rPr>
                <w:sz w:val="21"/>
                <w:szCs w:val="21"/>
                <w:color w:val="auto"/>
              </w:rPr>
            </w:pPr>
          </w:p>
        </w:tc>
        <w:tc>
          <w:tcPr>
            <w:tcW w:w="980" w:type="dxa"/>
            <w:vAlign w:val="bottom"/>
            <w:tcBorders>
              <w:bottom w:val="single" w:sz="8" w:color="E2E6F4"/>
            </w:tcBorders>
            <w:shd w:val="clear" w:color="auto" w:fill="E2E6F4"/>
          </w:tcPr>
          <w:p>
            <w:pPr>
              <w:spacing w:after="0"/>
              <w:rPr>
                <w:sz w:val="21"/>
                <w:szCs w:val="21"/>
                <w:color w:val="auto"/>
              </w:rPr>
            </w:pPr>
          </w:p>
        </w:tc>
        <w:tc>
          <w:tcPr>
            <w:tcW w:w="220" w:type="dxa"/>
            <w:vAlign w:val="bottom"/>
            <w:tcBorders>
              <w:bottom w:val="single" w:sz="8" w:color="E2E6F4"/>
            </w:tcBorders>
            <w:shd w:val="clear" w:color="auto" w:fill="E2E6F4"/>
          </w:tcPr>
          <w:p>
            <w:pPr>
              <w:spacing w:after="0"/>
              <w:rPr>
                <w:sz w:val="21"/>
                <w:szCs w:val="21"/>
                <w:color w:val="auto"/>
              </w:rPr>
            </w:pPr>
          </w:p>
        </w:tc>
        <w:tc>
          <w:tcPr>
            <w:tcW w:w="840" w:type="dxa"/>
            <w:vAlign w:val="bottom"/>
            <w:tcBorders>
              <w:bottom w:val="single" w:sz="8" w:color="E2E6F4"/>
            </w:tcBorders>
            <w:shd w:val="clear" w:color="auto" w:fill="E2E6F4"/>
          </w:tcPr>
          <w:p>
            <w:pPr>
              <w:spacing w:after="0"/>
              <w:rPr>
                <w:sz w:val="21"/>
                <w:szCs w:val="21"/>
                <w:color w:val="auto"/>
              </w:rPr>
            </w:pPr>
          </w:p>
        </w:tc>
        <w:tc>
          <w:tcPr>
            <w:tcW w:w="220" w:type="dxa"/>
            <w:vAlign w:val="bottom"/>
            <w:tcBorders>
              <w:bottom w:val="single" w:sz="8" w:color="E2E6F4"/>
            </w:tcBorders>
            <w:shd w:val="clear" w:color="auto" w:fill="E2E6F4"/>
          </w:tcPr>
          <w:p>
            <w:pPr>
              <w:spacing w:after="0"/>
              <w:rPr>
                <w:sz w:val="21"/>
                <w:szCs w:val="21"/>
                <w:color w:val="auto"/>
              </w:rPr>
            </w:pPr>
          </w:p>
        </w:tc>
        <w:tc>
          <w:tcPr>
            <w:tcW w:w="1040" w:type="dxa"/>
            <w:vAlign w:val="bottom"/>
            <w:tcBorders>
              <w:bottom w:val="single" w:sz="8" w:color="E2E6F4"/>
            </w:tcBorders>
            <w:shd w:val="clear" w:color="auto" w:fill="E2E6F4"/>
          </w:tcPr>
          <w:p>
            <w:pPr>
              <w:spacing w:after="0"/>
              <w:rPr>
                <w:sz w:val="21"/>
                <w:szCs w:val="21"/>
                <w:color w:val="auto"/>
              </w:rPr>
            </w:pPr>
          </w:p>
        </w:tc>
        <w:tc>
          <w:tcPr>
            <w:tcW w:w="340" w:type="dxa"/>
            <w:vAlign w:val="bottom"/>
            <w:tcBorders>
              <w:bottom w:val="single" w:sz="8" w:color="E2E6F4"/>
            </w:tcBorders>
            <w:shd w:val="clear" w:color="auto" w:fill="E2E6F4"/>
          </w:tcPr>
          <w:p>
            <w:pPr>
              <w:spacing w:after="0"/>
              <w:rPr>
                <w:sz w:val="21"/>
                <w:szCs w:val="21"/>
                <w:color w:val="auto"/>
              </w:rPr>
            </w:pPr>
          </w:p>
        </w:tc>
        <w:tc>
          <w:tcPr>
            <w:tcW w:w="960" w:type="dxa"/>
            <w:vAlign w:val="bottom"/>
            <w:tcBorders>
              <w:bottom w:val="single" w:sz="8" w:color="E2E6F4"/>
            </w:tcBorders>
            <w:shd w:val="clear" w:color="auto" w:fill="E2E6F4"/>
          </w:tcPr>
          <w:p>
            <w:pPr>
              <w:spacing w:after="0"/>
              <w:rPr>
                <w:sz w:val="21"/>
                <w:szCs w:val="21"/>
                <w:color w:val="auto"/>
              </w:rPr>
            </w:pPr>
          </w:p>
        </w:tc>
        <w:tc>
          <w:tcPr>
            <w:tcW w:w="480" w:type="dxa"/>
            <w:vAlign w:val="bottom"/>
            <w:tcBorders>
              <w:bottom w:val="single" w:sz="8" w:color="E2E6F4"/>
            </w:tcBorders>
            <w:shd w:val="clear" w:color="auto" w:fill="E2E6F4"/>
          </w:tcPr>
          <w:p>
            <w:pPr>
              <w:spacing w:after="0"/>
              <w:rPr>
                <w:sz w:val="21"/>
                <w:szCs w:val="21"/>
                <w:color w:val="auto"/>
              </w:rPr>
            </w:pPr>
          </w:p>
        </w:tc>
        <w:tc>
          <w:tcPr>
            <w:tcW w:w="840" w:type="dxa"/>
            <w:vAlign w:val="bottom"/>
            <w:tcBorders>
              <w:bottom w:val="single" w:sz="8" w:color="E2E6F4"/>
            </w:tcBorders>
            <w:shd w:val="clear" w:color="auto" w:fill="E2E6F4"/>
          </w:tcPr>
          <w:p>
            <w:pPr>
              <w:spacing w:after="0"/>
              <w:rPr>
                <w:sz w:val="21"/>
                <w:szCs w:val="21"/>
                <w:color w:val="auto"/>
              </w:rPr>
            </w:pPr>
          </w:p>
        </w:tc>
        <w:tc>
          <w:tcPr>
            <w:tcW w:w="240" w:type="dxa"/>
            <w:vAlign w:val="bottom"/>
            <w:tcBorders>
              <w:bottom w:val="single" w:sz="8" w:color="E2E6F4"/>
            </w:tcBorders>
            <w:shd w:val="clear" w:color="auto" w:fill="E2E6F4"/>
          </w:tcPr>
          <w:p>
            <w:pPr>
              <w:spacing w:after="0"/>
              <w:rPr>
                <w:sz w:val="21"/>
                <w:szCs w:val="21"/>
                <w:color w:val="auto"/>
              </w:rPr>
            </w:pPr>
          </w:p>
        </w:tc>
        <w:tc>
          <w:tcPr>
            <w:tcW w:w="980" w:type="dxa"/>
            <w:vAlign w:val="bottom"/>
            <w:tcBorders>
              <w:bottom w:val="single" w:sz="8" w:color="E2E6F4"/>
            </w:tcBorders>
            <w:shd w:val="clear" w:color="auto" w:fill="E2E6F4"/>
          </w:tcPr>
          <w:p>
            <w:pPr>
              <w:spacing w:after="0"/>
              <w:rPr>
                <w:sz w:val="21"/>
                <w:szCs w:val="21"/>
                <w:color w:val="auto"/>
              </w:rPr>
            </w:pPr>
          </w:p>
        </w:tc>
      </w:tr>
      <w:tr>
        <w:trPr>
          <w:trHeight w:val="20"/>
        </w:trPr>
        <w:tc>
          <w:tcPr>
            <w:tcW w:w="3120" w:type="dxa"/>
            <w:vAlign w:val="bottom"/>
            <w:shd w:val="clear" w:color="auto" w:fill="0067B3"/>
          </w:tcPr>
          <w:p>
            <w:pPr>
              <w:spacing w:after="0" w:line="20" w:lineRule="exact"/>
              <w:rPr>
                <w:sz w:val="1"/>
                <w:szCs w:val="1"/>
                <w:color w:val="auto"/>
              </w:rPr>
            </w:pPr>
          </w:p>
        </w:tc>
        <w:tc>
          <w:tcPr>
            <w:tcW w:w="660" w:type="dxa"/>
            <w:vAlign w:val="bottom"/>
            <w:shd w:val="clear" w:color="auto" w:fill="0067B3"/>
          </w:tcPr>
          <w:p>
            <w:pPr>
              <w:spacing w:after="0" w:line="20" w:lineRule="exact"/>
              <w:rPr>
                <w:sz w:val="1"/>
                <w:szCs w:val="1"/>
                <w:color w:val="auto"/>
              </w:rPr>
            </w:pPr>
          </w:p>
        </w:tc>
        <w:tc>
          <w:tcPr>
            <w:tcW w:w="320" w:type="dxa"/>
            <w:vAlign w:val="bottom"/>
            <w:shd w:val="clear" w:color="auto" w:fill="0067B3"/>
          </w:tcPr>
          <w:p>
            <w:pPr>
              <w:spacing w:after="0" w:line="20" w:lineRule="exact"/>
              <w:rPr>
                <w:sz w:val="1"/>
                <w:szCs w:val="1"/>
                <w:color w:val="auto"/>
              </w:rPr>
            </w:pPr>
          </w:p>
        </w:tc>
        <w:tc>
          <w:tcPr>
            <w:tcW w:w="980" w:type="dxa"/>
            <w:vAlign w:val="bottom"/>
            <w:shd w:val="clear" w:color="auto" w:fill="0067B3"/>
          </w:tcPr>
          <w:p>
            <w:pPr>
              <w:spacing w:after="0" w:line="20" w:lineRule="exact"/>
              <w:rPr>
                <w:sz w:val="1"/>
                <w:szCs w:val="1"/>
                <w:color w:val="auto"/>
              </w:rPr>
            </w:pPr>
          </w:p>
        </w:tc>
        <w:tc>
          <w:tcPr>
            <w:tcW w:w="220" w:type="dxa"/>
            <w:vAlign w:val="bottom"/>
            <w:shd w:val="clear" w:color="auto" w:fill="0067B3"/>
          </w:tcPr>
          <w:p>
            <w:pPr>
              <w:spacing w:after="0" w:line="20" w:lineRule="exact"/>
              <w:rPr>
                <w:sz w:val="1"/>
                <w:szCs w:val="1"/>
                <w:color w:val="auto"/>
              </w:rPr>
            </w:pPr>
          </w:p>
        </w:tc>
        <w:tc>
          <w:tcPr>
            <w:tcW w:w="840" w:type="dxa"/>
            <w:vAlign w:val="bottom"/>
            <w:shd w:val="clear" w:color="auto" w:fill="0067B3"/>
          </w:tcPr>
          <w:p>
            <w:pPr>
              <w:spacing w:after="0" w:line="20" w:lineRule="exact"/>
              <w:rPr>
                <w:sz w:val="1"/>
                <w:szCs w:val="1"/>
                <w:color w:val="auto"/>
              </w:rPr>
            </w:pPr>
          </w:p>
        </w:tc>
        <w:tc>
          <w:tcPr>
            <w:tcW w:w="220" w:type="dxa"/>
            <w:vAlign w:val="bottom"/>
            <w:shd w:val="clear" w:color="auto" w:fill="0067B3"/>
          </w:tcPr>
          <w:p>
            <w:pPr>
              <w:spacing w:after="0" w:line="20" w:lineRule="exact"/>
              <w:rPr>
                <w:sz w:val="1"/>
                <w:szCs w:val="1"/>
                <w:color w:val="auto"/>
              </w:rPr>
            </w:pPr>
          </w:p>
        </w:tc>
        <w:tc>
          <w:tcPr>
            <w:tcW w:w="1040" w:type="dxa"/>
            <w:vAlign w:val="bottom"/>
            <w:shd w:val="clear" w:color="auto" w:fill="0067B3"/>
          </w:tcPr>
          <w:p>
            <w:pPr>
              <w:spacing w:after="0" w:line="20" w:lineRule="exact"/>
              <w:rPr>
                <w:sz w:val="1"/>
                <w:szCs w:val="1"/>
                <w:color w:val="auto"/>
              </w:rPr>
            </w:pPr>
          </w:p>
        </w:tc>
        <w:tc>
          <w:tcPr>
            <w:tcW w:w="340" w:type="dxa"/>
            <w:vAlign w:val="bottom"/>
            <w:shd w:val="clear" w:color="auto" w:fill="0067B3"/>
          </w:tcPr>
          <w:p>
            <w:pPr>
              <w:spacing w:after="0" w:line="20" w:lineRule="exact"/>
              <w:rPr>
                <w:sz w:val="1"/>
                <w:szCs w:val="1"/>
                <w:color w:val="auto"/>
              </w:rPr>
            </w:pPr>
          </w:p>
        </w:tc>
        <w:tc>
          <w:tcPr>
            <w:tcW w:w="960" w:type="dxa"/>
            <w:vAlign w:val="bottom"/>
            <w:shd w:val="clear" w:color="auto" w:fill="0067B3"/>
          </w:tcPr>
          <w:p>
            <w:pPr>
              <w:spacing w:after="0" w:line="20" w:lineRule="exact"/>
              <w:rPr>
                <w:sz w:val="1"/>
                <w:szCs w:val="1"/>
                <w:color w:val="auto"/>
              </w:rPr>
            </w:pPr>
          </w:p>
        </w:tc>
        <w:tc>
          <w:tcPr>
            <w:tcW w:w="480" w:type="dxa"/>
            <w:vAlign w:val="bottom"/>
            <w:shd w:val="clear" w:color="auto" w:fill="0067B3"/>
          </w:tcPr>
          <w:p>
            <w:pPr>
              <w:spacing w:after="0" w:line="20" w:lineRule="exact"/>
              <w:rPr>
                <w:sz w:val="1"/>
                <w:szCs w:val="1"/>
                <w:color w:val="auto"/>
              </w:rPr>
            </w:pPr>
          </w:p>
        </w:tc>
        <w:tc>
          <w:tcPr>
            <w:tcW w:w="840" w:type="dxa"/>
            <w:vAlign w:val="bottom"/>
            <w:shd w:val="clear" w:color="auto" w:fill="0067B3"/>
          </w:tcPr>
          <w:p>
            <w:pPr>
              <w:spacing w:after="0" w:line="20" w:lineRule="exact"/>
              <w:rPr>
                <w:sz w:val="1"/>
                <w:szCs w:val="1"/>
                <w:color w:val="auto"/>
              </w:rPr>
            </w:pPr>
          </w:p>
        </w:tc>
        <w:tc>
          <w:tcPr>
            <w:tcW w:w="240" w:type="dxa"/>
            <w:vAlign w:val="bottom"/>
            <w:shd w:val="clear" w:color="auto" w:fill="0067B3"/>
          </w:tcPr>
          <w:p>
            <w:pPr>
              <w:spacing w:after="0" w:line="20" w:lineRule="exact"/>
              <w:rPr>
                <w:sz w:val="1"/>
                <w:szCs w:val="1"/>
                <w:color w:val="auto"/>
              </w:rPr>
            </w:pPr>
          </w:p>
        </w:tc>
        <w:tc>
          <w:tcPr>
            <w:tcW w:w="980" w:type="dxa"/>
            <w:vAlign w:val="bottom"/>
            <w:shd w:val="clear" w:color="auto" w:fill="0067B3"/>
          </w:tcPr>
          <w:p>
            <w:pPr>
              <w:spacing w:after="0" w:line="20" w:lineRule="exact"/>
              <w:rPr>
                <w:sz w:val="1"/>
                <w:szCs w:val="1"/>
                <w:color w:val="auto"/>
              </w:rPr>
            </w:pPr>
          </w:p>
        </w:tc>
      </w:tr>
    </w:tbl>
    <w:p>
      <w:pPr>
        <w:spacing w:after="0" w:line="188" w:lineRule="exact"/>
        <w:rPr>
          <w:sz w:val="20"/>
          <w:szCs w:val="20"/>
          <w:color w:val="auto"/>
        </w:rPr>
      </w:pPr>
    </w:p>
    <w:p>
      <w:pPr>
        <w:ind w:left="200" w:right="260" w:hanging="192"/>
        <w:spacing w:after="0" w:line="227" w:lineRule="auto"/>
        <w:tabs>
          <w:tab w:leader="none" w:pos="215" w:val="left"/>
        </w:tabs>
        <w:numPr>
          <w:ilvl w:val="0"/>
          <w:numId w:val="108"/>
        </w:numPr>
        <w:rPr>
          <w:rFonts w:ascii="Arial" w:cs="Arial" w:eastAsia="Arial" w:hAnsi="Arial"/>
          <w:sz w:val="21"/>
          <w:szCs w:val="21"/>
          <w:color w:val="auto"/>
          <w:vertAlign w:val="superscript"/>
        </w:rPr>
      </w:pPr>
      <w:r>
        <w:rPr>
          <w:rFonts w:ascii="Arial" w:cs="Arial" w:eastAsia="Arial" w:hAnsi="Arial"/>
          <w:sz w:val="16"/>
          <w:szCs w:val="16"/>
          <w:color w:val="auto"/>
        </w:rPr>
        <w:t>For fiscal year 2025, our salary levels were determined in April and became effective May 4, 2025. The amounts represented in this table reflect salary earned during fiscal year 2025.</w:t>
      </w:r>
    </w:p>
    <w:p>
      <w:pPr>
        <w:spacing w:after="0" w:line="56" w:lineRule="exact"/>
        <w:rPr>
          <w:rFonts w:ascii="Arial" w:cs="Arial" w:eastAsia="Arial" w:hAnsi="Arial"/>
          <w:sz w:val="21"/>
          <w:szCs w:val="21"/>
          <w:color w:val="auto"/>
          <w:vertAlign w:val="superscript"/>
        </w:rPr>
      </w:pPr>
    </w:p>
    <w:p>
      <w:pPr>
        <w:ind w:left="200" w:right="40" w:hanging="192"/>
        <w:spacing w:after="0" w:line="250" w:lineRule="auto"/>
        <w:tabs>
          <w:tab w:leader="none" w:pos="215" w:val="left"/>
        </w:tabs>
        <w:numPr>
          <w:ilvl w:val="0"/>
          <w:numId w:val="108"/>
        </w:numPr>
        <w:rPr>
          <w:rFonts w:ascii="Arial" w:cs="Arial" w:eastAsia="Arial" w:hAnsi="Arial"/>
          <w:sz w:val="21"/>
          <w:szCs w:val="21"/>
          <w:color w:val="auto"/>
          <w:vertAlign w:val="superscript"/>
        </w:rPr>
      </w:pPr>
      <w:r>
        <w:rPr>
          <w:rFonts w:ascii="Arial" w:cs="Arial" w:eastAsia="Arial" w:hAnsi="Arial"/>
          <w:sz w:val="16"/>
          <w:szCs w:val="16"/>
          <w:color w:val="auto"/>
        </w:rPr>
        <w:t>Amounts represent the aggregate grant date fair value of time-based RSUs and PRSUs granted in fiscal years 2025, 2024, and 2023. Such amounts do not represent the actual amounts paid to or realized by the NEO for these awards during the respective fiscal years. For Mr. Puccio, the 2024 amount includes a new-hire equity award with a grant date fair value of $9,998,966. We recognize the value as of the grant date for time-based RSUs and PRSUs over the number of days of service required for the grant to become vested in accordance with FASB ASC 718. The grant date fair value of time-based RSUs represents the value of our common stock on the date of grant, reduced by the present value of dividends expected to be paid on our common stock prior to vesting. Further, the grant date fair values of the Relative TSR PRSUs granted as part of our annual compensation program were calculated using the Monte Carlo simulation model, which utilizes multiple input variables that determine the probability of satisfying the performance conditions stipulated in the award grant to calculate the fair market value. The Monte Carlo simulation model also uses stock price volatility and other variables to estimate the probability of satisfying the performance conditions, including the possibility that the market condition may not be satisfied, and the resulting fair value of the award. The grant date fair value of the Financial Metric PRSUs represents the value at the grant date based upon the probable outcome of the performance conditions at the date of grant. For a more detailed description of the assumptions used for purposes of determining grant date fair value, see Note 2r and Note 3 to the Consolidated Financial Statements included in our Annual Report on Form 10-K for the year ended November 1, 2025. The grant date fair value of awards at the maximum level of achievement for PRSUs included in this table for fiscal year 2025 is as follows: Mr. Roche, $33,003,617; Mr. Puccio, $7,346,149; Mr. Cotter, $6,240,758; Mr. Jain, $7,346,149; and Dr. Nakamura, $3,900,686.</w:t>
      </w:r>
    </w:p>
    <w:p>
      <w:pPr>
        <w:spacing w:after="0" w:line="200" w:lineRule="exact"/>
        <w:rPr>
          <w:sz w:val="20"/>
          <w:szCs w:val="20"/>
          <w:color w:val="auto"/>
        </w:rPr>
      </w:pP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78"/>
        </w:trPr>
        <w:tc>
          <w:tcPr>
            <w:tcW w:w="10800" w:type="dxa"/>
            <w:vAlign w:val="bottom"/>
          </w:tcPr>
          <w:p>
            <w:pPr>
              <w:ind w:left="8980"/>
              <w:spacing w:after="0"/>
              <w:rPr>
                <w:sz w:val="20"/>
                <w:szCs w:val="20"/>
                <w:color w:val="auto"/>
              </w:rPr>
            </w:pPr>
            <w:r>
              <w:rPr>
                <w:rFonts w:ascii="Arial" w:cs="Arial" w:eastAsia="Arial" w:hAnsi="Arial"/>
                <w:sz w:val="16"/>
                <w:szCs w:val="16"/>
                <w:color w:val="0067B3"/>
              </w:rPr>
              <w:t>2026 Proxy Statement</w:t>
            </w:r>
          </w:p>
        </w:tc>
        <w:tc>
          <w:tcPr>
            <w:tcW w:w="440" w:type="dxa"/>
            <w:vAlign w:val="bottom"/>
          </w:tcPr>
          <w:p>
            <w:pPr>
              <w:jc w:val="right"/>
              <w:spacing w:after="0"/>
              <w:rPr>
                <w:sz w:val="20"/>
                <w:szCs w:val="20"/>
                <w:color w:val="auto"/>
              </w:rPr>
            </w:pPr>
            <w:r>
              <w:rPr>
                <w:rFonts w:ascii="Arial" w:cs="Arial" w:eastAsia="Arial" w:hAnsi="Arial"/>
                <w:sz w:val="20"/>
                <w:szCs w:val="20"/>
                <w:b w:val="1"/>
                <w:bCs w:val="1"/>
                <w:color w:val="auto"/>
              </w:rPr>
              <w:t>59</w:t>
            </w:r>
          </w:p>
        </w:tc>
      </w:tr>
      <w:tr>
        <w:trPr>
          <w:trHeight w:val="333"/>
        </w:trPr>
        <w:tc>
          <w:tcPr>
            <w:tcW w:w="1080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356" w:right="339" w:bottom="1440" w:gutter="0" w:footer="0" w:header="0"/>
        </w:sectPr>
      </w:pPr>
    </w:p>
    <w:bookmarkStart w:id="67" w:name="page68"/>
    <w:bookmarkEnd w:id="67"/>
    <w:p>
      <w:pPr>
        <w:ind w:left="212" w:hanging="212"/>
        <w:spacing w:after="0"/>
        <w:tabs>
          <w:tab w:leader="none" w:pos="212" w:val="left"/>
        </w:tabs>
        <w:numPr>
          <w:ilvl w:val="0"/>
          <w:numId w:val="109"/>
        </w:numPr>
        <w:rPr>
          <w:rFonts w:ascii="Arial" w:cs="Arial" w:eastAsia="Arial" w:hAnsi="Arial"/>
          <w:sz w:val="21"/>
          <w:szCs w:val="21"/>
          <w:color w:val="auto"/>
          <w:vertAlign w:val="superscript"/>
        </w:rPr>
      </w:pPr>
      <w:r>
        <w:rPr>
          <w:rFonts w:ascii="Arial" w:cs="Arial" w:eastAsia="Arial" w:hAnsi="Arial"/>
          <w:sz w:val="16"/>
          <w:szCs w:val="16"/>
          <w:color w:val="auto"/>
        </w:rPr>
        <w:t>Reflects the amounts earned under our executive performance incentive plan with respect to performance for fiscal years 2025, 2024, and 2023.</w:t>
      </w:r>
    </w:p>
    <w:p>
      <w:pPr>
        <w:spacing w:after="0" w:line="70" w:lineRule="exact"/>
        <w:rPr>
          <w:rFonts w:ascii="Arial" w:cs="Arial" w:eastAsia="Arial" w:hAnsi="Arial"/>
          <w:sz w:val="21"/>
          <w:szCs w:val="21"/>
          <w:color w:val="auto"/>
          <w:vertAlign w:val="superscript"/>
        </w:rPr>
      </w:pPr>
    </w:p>
    <w:p>
      <w:pPr>
        <w:ind w:left="212" w:hanging="212"/>
        <w:spacing w:after="0" w:line="197" w:lineRule="auto"/>
        <w:tabs>
          <w:tab w:leader="none" w:pos="212" w:val="left"/>
        </w:tabs>
        <w:numPr>
          <w:ilvl w:val="0"/>
          <w:numId w:val="109"/>
        </w:numPr>
        <w:rPr>
          <w:rFonts w:ascii="Arial" w:cs="Arial" w:eastAsia="Arial" w:hAnsi="Arial"/>
          <w:sz w:val="21"/>
          <w:szCs w:val="21"/>
          <w:color w:val="auto"/>
          <w:vertAlign w:val="superscript"/>
        </w:rPr>
      </w:pPr>
      <w:r>
        <w:rPr>
          <w:rFonts w:ascii="Arial" w:cs="Arial" w:eastAsia="Arial" w:hAnsi="Arial"/>
          <w:sz w:val="16"/>
          <w:szCs w:val="16"/>
          <w:color w:val="auto"/>
        </w:rPr>
        <w:t>The amounts shown in the “All Other Compensation” column for fiscal year 2025 are comprised of the following:</w:t>
      </w:r>
    </w:p>
    <w:p>
      <w:pPr>
        <w:spacing w:after="0" w:line="246" w:lineRule="exact"/>
        <w:rPr>
          <w:sz w:val="20"/>
          <w:szCs w:val="20"/>
          <w:color w:val="auto"/>
        </w:rPr>
      </w:pPr>
    </w:p>
    <w:tbl>
      <w:tblPr>
        <w:tblLayout w:type="fixed"/>
        <w:tblInd w:w="192" w:type="dxa"/>
        <w:tblCellMar>
          <w:top w:w="0" w:type="dxa"/>
          <w:left w:w="0" w:type="dxa"/>
          <w:bottom w:w="0" w:type="dxa"/>
          <w:right w:w="0" w:type="dxa"/>
        </w:tblCellMar>
      </w:tblPr>
      <w:tr>
        <w:trPr>
          <w:trHeight w:val="180"/>
        </w:trPr>
        <w:tc>
          <w:tcPr>
            <w:tcW w:w="3760" w:type="dxa"/>
            <w:vAlign w:val="bottom"/>
            <w:shd w:val="clear" w:color="auto" w:fill="0067B3"/>
          </w:tcPr>
          <w:p>
            <w:pPr>
              <w:spacing w:after="0"/>
              <w:rPr>
                <w:sz w:val="15"/>
                <w:szCs w:val="15"/>
                <w:color w:val="auto"/>
              </w:rPr>
            </w:pPr>
          </w:p>
        </w:tc>
        <w:tc>
          <w:tcPr>
            <w:tcW w:w="3260" w:type="dxa"/>
            <w:vAlign w:val="bottom"/>
            <w:shd w:val="clear" w:color="auto" w:fill="0067B3"/>
          </w:tcPr>
          <w:p>
            <w:pPr>
              <w:jc w:val="right"/>
              <w:ind w:right="6"/>
              <w:spacing w:after="0"/>
              <w:rPr>
                <w:sz w:val="20"/>
                <w:szCs w:val="20"/>
                <w:color w:val="auto"/>
              </w:rPr>
            </w:pPr>
            <w:r>
              <w:rPr>
                <w:rFonts w:ascii="Arial" w:cs="Arial" w:eastAsia="Arial" w:hAnsi="Arial"/>
                <w:sz w:val="14"/>
                <w:szCs w:val="14"/>
                <w:b w:val="1"/>
                <w:bCs w:val="1"/>
                <w:color w:val="FFFFFF"/>
              </w:rPr>
              <w:t>Company</w:t>
            </w:r>
          </w:p>
        </w:tc>
        <w:tc>
          <w:tcPr>
            <w:tcW w:w="820" w:type="dxa"/>
            <w:vAlign w:val="bottom"/>
            <w:shd w:val="clear" w:color="auto" w:fill="0067B3"/>
          </w:tcPr>
          <w:p>
            <w:pPr>
              <w:jc w:val="right"/>
              <w:spacing w:after="0"/>
              <w:rPr>
                <w:sz w:val="20"/>
                <w:szCs w:val="20"/>
                <w:color w:val="auto"/>
              </w:rPr>
            </w:pPr>
            <w:r>
              <w:rPr>
                <w:rFonts w:ascii="Arial" w:cs="Arial" w:eastAsia="Arial" w:hAnsi="Arial"/>
                <w:sz w:val="14"/>
                <w:szCs w:val="14"/>
                <w:b w:val="1"/>
                <w:bCs w:val="1"/>
                <w:color w:val="FFFFFF"/>
              </w:rPr>
              <w:t>Expatriate</w:t>
            </w:r>
          </w:p>
        </w:tc>
        <w:tc>
          <w:tcPr>
            <w:tcW w:w="1140" w:type="dxa"/>
            <w:vAlign w:val="bottom"/>
            <w:shd w:val="clear" w:color="auto" w:fill="0067B3"/>
          </w:tcPr>
          <w:p>
            <w:pPr>
              <w:spacing w:after="0"/>
              <w:rPr>
                <w:sz w:val="15"/>
                <w:szCs w:val="15"/>
                <w:color w:val="auto"/>
              </w:rPr>
            </w:pPr>
          </w:p>
        </w:tc>
        <w:tc>
          <w:tcPr>
            <w:tcW w:w="940" w:type="dxa"/>
            <w:vAlign w:val="bottom"/>
            <w:shd w:val="clear" w:color="auto" w:fill="0067B3"/>
          </w:tcPr>
          <w:p>
            <w:pPr>
              <w:spacing w:after="0"/>
              <w:rPr>
                <w:sz w:val="15"/>
                <w:szCs w:val="15"/>
                <w:color w:val="auto"/>
              </w:rPr>
            </w:pPr>
          </w:p>
        </w:tc>
        <w:tc>
          <w:tcPr>
            <w:tcW w:w="880" w:type="dxa"/>
            <w:vAlign w:val="bottom"/>
            <w:shd w:val="clear" w:color="auto" w:fill="0067B3"/>
          </w:tcPr>
          <w:p>
            <w:pPr>
              <w:spacing w:after="0"/>
              <w:rPr>
                <w:sz w:val="15"/>
                <w:szCs w:val="15"/>
                <w:color w:val="auto"/>
              </w:rPr>
            </w:pPr>
          </w:p>
        </w:tc>
      </w:tr>
      <w:tr>
        <w:trPr>
          <w:trHeight w:val="176"/>
        </w:trPr>
        <w:tc>
          <w:tcPr>
            <w:tcW w:w="3760" w:type="dxa"/>
            <w:vAlign w:val="bottom"/>
            <w:shd w:val="clear" w:color="auto" w:fill="0067B3"/>
          </w:tcPr>
          <w:p>
            <w:pPr>
              <w:spacing w:after="0"/>
              <w:rPr>
                <w:sz w:val="15"/>
                <w:szCs w:val="15"/>
                <w:color w:val="auto"/>
              </w:rPr>
            </w:pPr>
          </w:p>
        </w:tc>
        <w:tc>
          <w:tcPr>
            <w:tcW w:w="4080" w:type="dxa"/>
            <w:vAlign w:val="bottom"/>
            <w:gridSpan w:val="2"/>
            <w:shd w:val="clear" w:color="auto" w:fill="0067B3"/>
          </w:tcPr>
          <w:p>
            <w:pPr>
              <w:jc w:val="right"/>
              <w:spacing w:after="0"/>
              <w:rPr>
                <w:sz w:val="20"/>
                <w:szCs w:val="20"/>
                <w:color w:val="auto"/>
              </w:rPr>
            </w:pPr>
            <w:r>
              <w:rPr>
                <w:rFonts w:ascii="Arial" w:cs="Arial" w:eastAsia="Arial" w:hAnsi="Arial"/>
                <w:sz w:val="14"/>
                <w:szCs w:val="14"/>
                <w:b w:val="1"/>
                <w:bCs w:val="1"/>
                <w:color w:val="FFFFFF"/>
              </w:rPr>
              <w:t>401(k) and Assignment</w:t>
            </w:r>
          </w:p>
        </w:tc>
        <w:tc>
          <w:tcPr>
            <w:tcW w:w="1140" w:type="dxa"/>
            <w:vAlign w:val="bottom"/>
            <w:shd w:val="clear" w:color="auto" w:fill="0067B3"/>
          </w:tcPr>
          <w:p>
            <w:pPr>
              <w:spacing w:after="0"/>
              <w:rPr>
                <w:sz w:val="15"/>
                <w:szCs w:val="15"/>
                <w:color w:val="auto"/>
              </w:rPr>
            </w:pPr>
          </w:p>
        </w:tc>
        <w:tc>
          <w:tcPr>
            <w:tcW w:w="940" w:type="dxa"/>
            <w:vAlign w:val="bottom"/>
            <w:shd w:val="clear" w:color="auto" w:fill="0067B3"/>
          </w:tcPr>
          <w:p>
            <w:pPr>
              <w:spacing w:after="0"/>
              <w:rPr>
                <w:sz w:val="15"/>
                <w:szCs w:val="15"/>
                <w:color w:val="auto"/>
              </w:rPr>
            </w:pPr>
          </w:p>
        </w:tc>
        <w:tc>
          <w:tcPr>
            <w:tcW w:w="880" w:type="dxa"/>
            <w:vAlign w:val="bottom"/>
            <w:shd w:val="clear" w:color="auto" w:fill="0067B3"/>
          </w:tcPr>
          <w:p>
            <w:pPr>
              <w:spacing w:after="0"/>
              <w:rPr>
                <w:sz w:val="15"/>
                <w:szCs w:val="15"/>
                <w:color w:val="auto"/>
              </w:rPr>
            </w:pPr>
          </w:p>
        </w:tc>
      </w:tr>
      <w:tr>
        <w:trPr>
          <w:trHeight w:val="162"/>
        </w:trPr>
        <w:tc>
          <w:tcPr>
            <w:tcW w:w="3760" w:type="dxa"/>
            <w:vAlign w:val="bottom"/>
            <w:shd w:val="clear" w:color="auto" w:fill="0067B3"/>
          </w:tcPr>
          <w:p>
            <w:pPr>
              <w:spacing w:after="0"/>
              <w:rPr>
                <w:sz w:val="14"/>
                <w:szCs w:val="14"/>
                <w:color w:val="auto"/>
              </w:rPr>
            </w:pPr>
          </w:p>
        </w:tc>
        <w:tc>
          <w:tcPr>
            <w:tcW w:w="3260" w:type="dxa"/>
            <w:vAlign w:val="bottom"/>
            <w:shd w:val="clear" w:color="auto" w:fill="0067B3"/>
          </w:tcPr>
          <w:p>
            <w:pPr>
              <w:jc w:val="right"/>
              <w:ind w:right="6"/>
              <w:spacing w:after="0"/>
              <w:rPr>
                <w:sz w:val="20"/>
                <w:szCs w:val="20"/>
                <w:color w:val="auto"/>
              </w:rPr>
            </w:pPr>
            <w:r>
              <w:rPr>
                <w:rFonts w:ascii="Arial" w:cs="Arial" w:eastAsia="Arial" w:hAnsi="Arial"/>
                <w:sz w:val="14"/>
                <w:szCs w:val="14"/>
                <w:b w:val="1"/>
                <w:bCs w:val="1"/>
                <w:color w:val="FFFFFF"/>
              </w:rPr>
              <w:t>DCP Payments</w:t>
            </w:r>
          </w:p>
        </w:tc>
        <w:tc>
          <w:tcPr>
            <w:tcW w:w="820" w:type="dxa"/>
            <w:vAlign w:val="bottom"/>
            <w:shd w:val="clear" w:color="auto" w:fill="0067B3"/>
          </w:tcPr>
          <w:p>
            <w:pPr>
              <w:jc w:val="right"/>
              <w:spacing w:after="0"/>
              <w:rPr>
                <w:sz w:val="20"/>
                <w:szCs w:val="20"/>
                <w:color w:val="auto"/>
              </w:rPr>
            </w:pPr>
            <w:r>
              <w:rPr>
                <w:rFonts w:ascii="Arial" w:cs="Arial" w:eastAsia="Arial" w:hAnsi="Arial"/>
                <w:sz w:val="14"/>
                <w:szCs w:val="14"/>
                <w:b w:val="1"/>
                <w:bCs w:val="1"/>
                <w:color w:val="FFFFFF"/>
              </w:rPr>
              <w:t>Payments</w:t>
            </w:r>
          </w:p>
        </w:tc>
        <w:tc>
          <w:tcPr>
            <w:tcW w:w="1140" w:type="dxa"/>
            <w:vAlign w:val="bottom"/>
            <w:shd w:val="clear" w:color="auto" w:fill="0067B3"/>
          </w:tcPr>
          <w:p>
            <w:pPr>
              <w:jc w:val="right"/>
              <w:ind w:right="105"/>
              <w:spacing w:after="0"/>
              <w:rPr>
                <w:sz w:val="20"/>
                <w:szCs w:val="20"/>
                <w:color w:val="auto"/>
              </w:rPr>
            </w:pPr>
            <w:r>
              <w:rPr>
                <w:rFonts w:ascii="Arial" w:cs="Arial" w:eastAsia="Arial" w:hAnsi="Arial"/>
                <w:sz w:val="14"/>
                <w:szCs w:val="14"/>
                <w:b w:val="1"/>
                <w:bCs w:val="1"/>
                <w:color w:val="FFFFFF"/>
              </w:rPr>
              <w:t>Corporate</w:t>
            </w:r>
          </w:p>
        </w:tc>
        <w:tc>
          <w:tcPr>
            <w:tcW w:w="940" w:type="dxa"/>
            <w:vAlign w:val="bottom"/>
            <w:shd w:val="clear" w:color="auto" w:fill="0067B3"/>
          </w:tcPr>
          <w:p>
            <w:pPr>
              <w:spacing w:after="0"/>
              <w:rPr>
                <w:sz w:val="14"/>
                <w:szCs w:val="14"/>
                <w:color w:val="auto"/>
              </w:rPr>
            </w:pPr>
          </w:p>
        </w:tc>
        <w:tc>
          <w:tcPr>
            <w:tcW w:w="880" w:type="dxa"/>
            <w:vAlign w:val="bottom"/>
            <w:shd w:val="clear" w:color="auto" w:fill="0067B3"/>
          </w:tcPr>
          <w:p>
            <w:pPr>
              <w:jc w:val="right"/>
              <w:spacing w:after="0"/>
              <w:rPr>
                <w:sz w:val="20"/>
                <w:szCs w:val="20"/>
                <w:color w:val="auto"/>
              </w:rPr>
            </w:pPr>
            <w:r>
              <w:rPr>
                <w:rFonts w:ascii="Arial" w:cs="Arial" w:eastAsia="Arial" w:hAnsi="Arial"/>
                <w:sz w:val="14"/>
                <w:szCs w:val="14"/>
                <w:b w:val="1"/>
                <w:bCs w:val="1"/>
                <w:color w:val="FFFFFF"/>
              </w:rPr>
              <w:t>Total</w:t>
            </w:r>
          </w:p>
        </w:tc>
      </w:tr>
      <w:tr>
        <w:trPr>
          <w:trHeight w:val="225"/>
        </w:trPr>
        <w:tc>
          <w:tcPr>
            <w:tcW w:w="3760" w:type="dxa"/>
            <w:vAlign w:val="bottom"/>
            <w:shd w:val="clear" w:color="auto" w:fill="0067B3"/>
          </w:tcPr>
          <w:p>
            <w:pPr>
              <w:ind w:left="20"/>
              <w:spacing w:after="0"/>
              <w:rPr>
                <w:sz w:val="20"/>
                <w:szCs w:val="20"/>
                <w:color w:val="auto"/>
              </w:rPr>
            </w:pPr>
            <w:r>
              <w:rPr>
                <w:rFonts w:ascii="Arial" w:cs="Arial" w:eastAsia="Arial" w:hAnsi="Arial"/>
                <w:sz w:val="14"/>
                <w:szCs w:val="14"/>
                <w:b w:val="1"/>
                <w:bCs w:val="1"/>
                <w:color w:val="FFFFFF"/>
              </w:rPr>
              <w:t>Name</w:t>
            </w:r>
          </w:p>
        </w:tc>
        <w:tc>
          <w:tcPr>
            <w:tcW w:w="3260" w:type="dxa"/>
            <w:vAlign w:val="bottom"/>
            <w:shd w:val="clear" w:color="auto" w:fill="0067B3"/>
          </w:tcPr>
          <w:p>
            <w:pPr>
              <w:jc w:val="right"/>
              <w:ind w:right="6"/>
              <w:spacing w:after="0"/>
              <w:rPr>
                <w:sz w:val="20"/>
                <w:szCs w:val="20"/>
                <w:color w:val="auto"/>
              </w:rPr>
            </w:pPr>
            <w:r>
              <w:rPr>
                <w:rFonts w:ascii="Arial" w:cs="Arial" w:eastAsia="Arial" w:hAnsi="Arial"/>
                <w:sz w:val="14"/>
                <w:szCs w:val="14"/>
                <w:b w:val="1"/>
                <w:bCs w:val="1"/>
                <w:color w:val="FFFFFF"/>
              </w:rPr>
              <w:t>($)</w:t>
            </w:r>
            <w:r>
              <w:rPr>
                <w:rFonts w:ascii="Arial" w:cs="Arial" w:eastAsia="Arial" w:hAnsi="Arial"/>
                <w:sz w:val="18"/>
                <w:szCs w:val="18"/>
                <w:b w:val="1"/>
                <w:bCs w:val="1"/>
                <w:color w:val="FFFFFF"/>
                <w:vertAlign w:val="superscript"/>
              </w:rPr>
              <w:t>(a)</w:t>
            </w:r>
          </w:p>
        </w:tc>
        <w:tc>
          <w:tcPr>
            <w:tcW w:w="820" w:type="dxa"/>
            <w:vAlign w:val="bottom"/>
            <w:shd w:val="clear" w:color="auto" w:fill="0067B3"/>
          </w:tcPr>
          <w:p>
            <w:pPr>
              <w:jc w:val="right"/>
              <w:spacing w:after="0"/>
              <w:rPr>
                <w:sz w:val="20"/>
                <w:szCs w:val="20"/>
                <w:color w:val="auto"/>
              </w:rPr>
            </w:pPr>
            <w:r>
              <w:rPr>
                <w:rFonts w:ascii="Arial" w:cs="Arial" w:eastAsia="Arial" w:hAnsi="Arial"/>
                <w:sz w:val="14"/>
                <w:szCs w:val="14"/>
                <w:b w:val="1"/>
                <w:bCs w:val="1"/>
                <w:color w:val="FFFFFF"/>
              </w:rPr>
              <w:t>($)</w:t>
            </w:r>
            <w:r>
              <w:rPr>
                <w:rFonts w:ascii="Arial" w:cs="Arial" w:eastAsia="Arial" w:hAnsi="Arial"/>
                <w:sz w:val="18"/>
                <w:szCs w:val="18"/>
                <w:b w:val="1"/>
                <w:bCs w:val="1"/>
                <w:color w:val="FFFFFF"/>
                <w:vertAlign w:val="superscript"/>
              </w:rPr>
              <w:t>(b)</w:t>
            </w:r>
          </w:p>
        </w:tc>
        <w:tc>
          <w:tcPr>
            <w:tcW w:w="1140" w:type="dxa"/>
            <w:vAlign w:val="bottom"/>
            <w:shd w:val="clear" w:color="auto" w:fill="0067B3"/>
          </w:tcPr>
          <w:p>
            <w:pPr>
              <w:jc w:val="right"/>
              <w:ind w:right="105"/>
              <w:spacing w:after="0"/>
              <w:rPr>
                <w:sz w:val="20"/>
                <w:szCs w:val="20"/>
                <w:color w:val="auto"/>
              </w:rPr>
            </w:pPr>
            <w:r>
              <w:rPr>
                <w:rFonts w:ascii="Arial" w:cs="Arial" w:eastAsia="Arial" w:hAnsi="Arial"/>
                <w:sz w:val="14"/>
                <w:szCs w:val="14"/>
                <w:b w:val="1"/>
                <w:bCs w:val="1"/>
                <w:color w:val="FFFFFF"/>
              </w:rPr>
              <w:t>Aircraft Use</w:t>
            </w:r>
            <w:r>
              <w:rPr>
                <w:rFonts w:ascii="Arial" w:cs="Arial" w:eastAsia="Arial" w:hAnsi="Arial"/>
                <w:sz w:val="9"/>
                <w:szCs w:val="9"/>
                <w:b w:val="1"/>
                <w:bCs w:val="1"/>
                <w:color w:val="FFFFFF"/>
              </w:rPr>
              <w:t>(c)</w:t>
            </w:r>
          </w:p>
        </w:tc>
        <w:tc>
          <w:tcPr>
            <w:tcW w:w="940" w:type="dxa"/>
            <w:vAlign w:val="bottom"/>
            <w:shd w:val="clear" w:color="auto" w:fill="0067B3"/>
          </w:tcPr>
          <w:p>
            <w:pPr>
              <w:jc w:val="right"/>
              <w:ind w:right="164"/>
              <w:spacing w:after="0"/>
              <w:rPr>
                <w:sz w:val="20"/>
                <w:szCs w:val="20"/>
                <w:color w:val="auto"/>
              </w:rPr>
            </w:pPr>
            <w:r>
              <w:rPr>
                <w:rFonts w:ascii="Arial" w:cs="Arial" w:eastAsia="Arial" w:hAnsi="Arial"/>
                <w:sz w:val="14"/>
                <w:szCs w:val="14"/>
                <w:b w:val="1"/>
                <w:bCs w:val="1"/>
                <w:color w:val="FFFFFF"/>
              </w:rPr>
              <w:t>Other</w:t>
            </w:r>
            <w:r>
              <w:rPr>
                <w:rFonts w:ascii="Arial" w:cs="Arial" w:eastAsia="Arial" w:hAnsi="Arial"/>
                <w:sz w:val="9"/>
                <w:szCs w:val="9"/>
                <w:b w:val="1"/>
                <w:bCs w:val="1"/>
                <w:color w:val="FFFFFF"/>
              </w:rPr>
              <w:t>(d)</w:t>
            </w:r>
          </w:p>
        </w:tc>
        <w:tc>
          <w:tcPr>
            <w:tcW w:w="880" w:type="dxa"/>
            <w:vAlign w:val="bottom"/>
            <w:shd w:val="clear" w:color="auto" w:fill="0067B3"/>
          </w:tcPr>
          <w:p>
            <w:pPr>
              <w:jc w:val="right"/>
              <w:spacing w:after="0"/>
              <w:rPr>
                <w:sz w:val="20"/>
                <w:szCs w:val="20"/>
                <w:color w:val="auto"/>
              </w:rPr>
            </w:pPr>
            <w:r>
              <w:rPr>
                <w:rFonts w:ascii="Arial" w:cs="Arial" w:eastAsia="Arial" w:hAnsi="Arial"/>
                <w:sz w:val="14"/>
                <w:szCs w:val="14"/>
                <w:b w:val="1"/>
                <w:bCs w:val="1"/>
                <w:color w:val="FFFFFF"/>
              </w:rPr>
              <w:t>($)</w:t>
            </w:r>
          </w:p>
        </w:tc>
      </w:tr>
      <w:tr>
        <w:trPr>
          <w:trHeight w:val="223"/>
        </w:trPr>
        <w:tc>
          <w:tcPr>
            <w:tcW w:w="3760" w:type="dxa"/>
            <w:vAlign w:val="bottom"/>
            <w:tcBorders>
              <w:bottom w:val="single" w:sz="8" w:color="E2E6F4"/>
            </w:tcBorders>
            <w:shd w:val="clear" w:color="auto" w:fill="E2E6F4"/>
          </w:tcPr>
          <w:p>
            <w:pPr>
              <w:ind w:left="20"/>
              <w:spacing w:after="0"/>
              <w:rPr>
                <w:sz w:val="20"/>
                <w:szCs w:val="20"/>
                <w:color w:val="auto"/>
              </w:rPr>
            </w:pPr>
            <w:r>
              <w:rPr>
                <w:rFonts w:ascii="Arial" w:cs="Arial" w:eastAsia="Arial" w:hAnsi="Arial"/>
                <w:sz w:val="15"/>
                <w:szCs w:val="15"/>
                <w:b w:val="1"/>
                <w:bCs w:val="1"/>
                <w:color w:val="0067B3"/>
              </w:rPr>
              <w:t>Vincent Roche</w:t>
            </w:r>
          </w:p>
        </w:tc>
        <w:tc>
          <w:tcPr>
            <w:tcW w:w="3260" w:type="dxa"/>
            <w:vAlign w:val="bottom"/>
            <w:tcBorders>
              <w:bottom w:val="single" w:sz="8" w:color="E2E6F4"/>
            </w:tcBorders>
            <w:shd w:val="clear" w:color="auto" w:fill="E2E6F4"/>
          </w:tcPr>
          <w:p>
            <w:pPr>
              <w:jc w:val="right"/>
              <w:ind w:right="66"/>
              <w:spacing w:after="0"/>
              <w:rPr>
                <w:sz w:val="20"/>
                <w:szCs w:val="20"/>
                <w:color w:val="auto"/>
              </w:rPr>
            </w:pPr>
            <w:r>
              <w:rPr>
                <w:rFonts w:ascii="Arial" w:cs="Arial" w:eastAsia="Arial" w:hAnsi="Arial"/>
                <w:sz w:val="15"/>
                <w:szCs w:val="15"/>
                <w:color w:val="auto"/>
              </w:rPr>
              <w:t>96,000</w:t>
            </w:r>
          </w:p>
        </w:tc>
        <w:tc>
          <w:tcPr>
            <w:tcW w:w="820" w:type="dxa"/>
            <w:vAlign w:val="bottom"/>
            <w:tcBorders>
              <w:bottom w:val="single" w:sz="8" w:color="E2E6F4"/>
            </w:tcBorders>
            <w:shd w:val="clear" w:color="auto" w:fill="E2E6F4"/>
          </w:tcPr>
          <w:p>
            <w:pPr>
              <w:jc w:val="right"/>
              <w:ind w:right="25"/>
              <w:spacing w:after="0"/>
              <w:rPr>
                <w:sz w:val="20"/>
                <w:szCs w:val="20"/>
                <w:color w:val="auto"/>
              </w:rPr>
            </w:pPr>
            <w:r>
              <w:rPr>
                <w:rFonts w:ascii="Arial" w:cs="Arial" w:eastAsia="Arial" w:hAnsi="Arial"/>
                <w:sz w:val="15"/>
                <w:szCs w:val="15"/>
                <w:color w:val="auto"/>
              </w:rPr>
              <w:t>—</w:t>
            </w:r>
          </w:p>
        </w:tc>
        <w:tc>
          <w:tcPr>
            <w:tcW w:w="1140" w:type="dxa"/>
            <w:vAlign w:val="bottom"/>
            <w:tcBorders>
              <w:bottom w:val="single" w:sz="8" w:color="E2E6F4"/>
            </w:tcBorders>
            <w:shd w:val="clear" w:color="auto" w:fill="E2E6F4"/>
          </w:tcPr>
          <w:p>
            <w:pPr>
              <w:jc w:val="right"/>
              <w:ind w:right="165"/>
              <w:spacing w:after="0"/>
              <w:rPr>
                <w:sz w:val="20"/>
                <w:szCs w:val="20"/>
                <w:color w:val="auto"/>
              </w:rPr>
            </w:pPr>
            <w:r>
              <w:rPr>
                <w:rFonts w:ascii="Arial" w:cs="Arial" w:eastAsia="Arial" w:hAnsi="Arial"/>
                <w:sz w:val="15"/>
                <w:szCs w:val="15"/>
                <w:color w:val="auto"/>
              </w:rPr>
              <w:t>267,073</w:t>
            </w:r>
          </w:p>
        </w:tc>
        <w:tc>
          <w:tcPr>
            <w:tcW w:w="940" w:type="dxa"/>
            <w:vAlign w:val="bottom"/>
            <w:tcBorders>
              <w:bottom w:val="single" w:sz="8" w:color="E2E6F4"/>
            </w:tcBorders>
            <w:shd w:val="clear" w:color="auto" w:fill="E2E6F4"/>
          </w:tcPr>
          <w:p>
            <w:pPr>
              <w:jc w:val="right"/>
              <w:ind w:right="224"/>
              <w:spacing w:after="0"/>
              <w:rPr>
                <w:sz w:val="20"/>
                <w:szCs w:val="20"/>
                <w:color w:val="auto"/>
              </w:rPr>
            </w:pPr>
            <w:r>
              <w:rPr>
                <w:rFonts w:ascii="Arial" w:cs="Arial" w:eastAsia="Arial" w:hAnsi="Arial"/>
                <w:sz w:val="15"/>
                <w:szCs w:val="15"/>
                <w:color w:val="auto"/>
              </w:rPr>
              <w:t>26,913</w:t>
            </w:r>
          </w:p>
        </w:tc>
        <w:tc>
          <w:tcPr>
            <w:tcW w:w="880" w:type="dxa"/>
            <w:vAlign w:val="bottom"/>
            <w:tcBorders>
              <w:bottom w:val="single" w:sz="8" w:color="E2E6F4"/>
            </w:tcBorders>
            <w:shd w:val="clear" w:color="auto" w:fill="E2E6F4"/>
          </w:tcPr>
          <w:p>
            <w:pPr>
              <w:jc w:val="right"/>
              <w:spacing w:after="0"/>
              <w:rPr>
                <w:sz w:val="20"/>
                <w:szCs w:val="20"/>
                <w:color w:val="auto"/>
              </w:rPr>
            </w:pPr>
            <w:r>
              <w:rPr>
                <w:rFonts w:ascii="Arial" w:cs="Arial" w:eastAsia="Arial" w:hAnsi="Arial"/>
                <w:sz w:val="15"/>
                <w:szCs w:val="15"/>
                <w:color w:val="auto"/>
              </w:rPr>
              <w:t>389,986</w:t>
            </w:r>
          </w:p>
        </w:tc>
      </w:tr>
      <w:tr>
        <w:trPr>
          <w:trHeight w:val="218"/>
        </w:trPr>
        <w:tc>
          <w:tcPr>
            <w:tcW w:w="3760" w:type="dxa"/>
            <w:vAlign w:val="bottom"/>
          </w:tcPr>
          <w:p>
            <w:pPr>
              <w:ind w:left="20"/>
              <w:spacing w:after="0"/>
              <w:rPr>
                <w:sz w:val="20"/>
                <w:szCs w:val="20"/>
                <w:color w:val="auto"/>
              </w:rPr>
            </w:pPr>
            <w:r>
              <w:rPr>
                <w:rFonts w:ascii="Arial" w:cs="Arial" w:eastAsia="Arial" w:hAnsi="Arial"/>
                <w:sz w:val="15"/>
                <w:szCs w:val="15"/>
                <w:b w:val="1"/>
                <w:bCs w:val="1"/>
                <w:color w:val="0067B3"/>
              </w:rPr>
              <w:t>Richard C. Puccio, Jr.</w:t>
            </w:r>
          </w:p>
        </w:tc>
        <w:tc>
          <w:tcPr>
            <w:tcW w:w="3260" w:type="dxa"/>
            <w:vAlign w:val="bottom"/>
          </w:tcPr>
          <w:p>
            <w:pPr>
              <w:jc w:val="right"/>
              <w:ind w:right="66"/>
              <w:spacing w:after="0"/>
              <w:rPr>
                <w:sz w:val="20"/>
                <w:szCs w:val="20"/>
                <w:color w:val="auto"/>
              </w:rPr>
            </w:pPr>
            <w:r>
              <w:rPr>
                <w:rFonts w:ascii="Arial" w:cs="Arial" w:eastAsia="Arial" w:hAnsi="Arial"/>
                <w:sz w:val="15"/>
                <w:szCs w:val="15"/>
                <w:color w:val="auto"/>
              </w:rPr>
              <w:t>54,673</w:t>
            </w:r>
          </w:p>
        </w:tc>
        <w:tc>
          <w:tcPr>
            <w:tcW w:w="820" w:type="dxa"/>
            <w:vAlign w:val="bottom"/>
          </w:tcPr>
          <w:p>
            <w:pPr>
              <w:jc w:val="right"/>
              <w:ind w:right="25"/>
              <w:spacing w:after="0"/>
              <w:rPr>
                <w:sz w:val="20"/>
                <w:szCs w:val="20"/>
                <w:color w:val="auto"/>
              </w:rPr>
            </w:pPr>
            <w:r>
              <w:rPr>
                <w:rFonts w:ascii="Arial" w:cs="Arial" w:eastAsia="Arial" w:hAnsi="Arial"/>
                <w:sz w:val="15"/>
                <w:szCs w:val="15"/>
                <w:color w:val="auto"/>
              </w:rPr>
              <w:t>—</w:t>
            </w:r>
          </w:p>
        </w:tc>
        <w:tc>
          <w:tcPr>
            <w:tcW w:w="1140" w:type="dxa"/>
            <w:vAlign w:val="bottom"/>
          </w:tcPr>
          <w:p>
            <w:pPr>
              <w:jc w:val="right"/>
              <w:ind w:right="165"/>
              <w:spacing w:after="0"/>
              <w:rPr>
                <w:sz w:val="20"/>
                <w:szCs w:val="20"/>
                <w:color w:val="auto"/>
              </w:rPr>
            </w:pPr>
            <w:r>
              <w:rPr>
                <w:rFonts w:ascii="Arial" w:cs="Arial" w:eastAsia="Arial" w:hAnsi="Arial"/>
                <w:sz w:val="15"/>
                <w:szCs w:val="15"/>
                <w:color w:val="auto"/>
              </w:rPr>
              <w:t>—</w:t>
            </w:r>
          </w:p>
        </w:tc>
        <w:tc>
          <w:tcPr>
            <w:tcW w:w="940" w:type="dxa"/>
            <w:vAlign w:val="bottom"/>
          </w:tcPr>
          <w:p>
            <w:pPr>
              <w:jc w:val="right"/>
              <w:ind w:right="224"/>
              <w:spacing w:after="0"/>
              <w:rPr>
                <w:sz w:val="20"/>
                <w:szCs w:val="20"/>
                <w:color w:val="auto"/>
              </w:rPr>
            </w:pPr>
            <w:r>
              <w:rPr>
                <w:rFonts w:ascii="Arial" w:cs="Arial" w:eastAsia="Arial" w:hAnsi="Arial"/>
                <w:sz w:val="15"/>
                <w:szCs w:val="15"/>
                <w:color w:val="auto"/>
              </w:rPr>
              <w:t>5,000</w:t>
            </w:r>
          </w:p>
        </w:tc>
        <w:tc>
          <w:tcPr>
            <w:tcW w:w="880" w:type="dxa"/>
            <w:vAlign w:val="bottom"/>
          </w:tcPr>
          <w:p>
            <w:pPr>
              <w:jc w:val="right"/>
              <w:spacing w:after="0"/>
              <w:rPr>
                <w:sz w:val="20"/>
                <w:szCs w:val="20"/>
                <w:color w:val="auto"/>
              </w:rPr>
            </w:pPr>
            <w:r>
              <w:rPr>
                <w:rFonts w:ascii="Arial" w:cs="Arial" w:eastAsia="Arial" w:hAnsi="Arial"/>
                <w:sz w:val="15"/>
                <w:szCs w:val="15"/>
                <w:color w:val="auto"/>
              </w:rPr>
              <w:t>59,673</w:t>
            </w:r>
          </w:p>
        </w:tc>
      </w:tr>
      <w:tr>
        <w:trPr>
          <w:trHeight w:val="25"/>
        </w:trPr>
        <w:tc>
          <w:tcPr>
            <w:tcW w:w="3760" w:type="dxa"/>
            <w:vAlign w:val="bottom"/>
          </w:tcPr>
          <w:p>
            <w:pPr>
              <w:spacing w:after="0"/>
              <w:rPr>
                <w:sz w:val="2"/>
                <w:szCs w:val="2"/>
                <w:color w:val="auto"/>
              </w:rPr>
            </w:pPr>
          </w:p>
        </w:tc>
        <w:tc>
          <w:tcPr>
            <w:tcW w:w="32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94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23"/>
        </w:trPr>
        <w:tc>
          <w:tcPr>
            <w:tcW w:w="3760" w:type="dxa"/>
            <w:vAlign w:val="bottom"/>
            <w:tcBorders>
              <w:bottom w:val="single" w:sz="8" w:color="E2E6F4"/>
            </w:tcBorders>
            <w:shd w:val="clear" w:color="auto" w:fill="E2E6F4"/>
          </w:tcPr>
          <w:p>
            <w:pPr>
              <w:ind w:left="20"/>
              <w:spacing w:after="0"/>
              <w:rPr>
                <w:sz w:val="20"/>
                <w:szCs w:val="20"/>
                <w:color w:val="auto"/>
              </w:rPr>
            </w:pPr>
            <w:r>
              <w:rPr>
                <w:rFonts w:ascii="Arial" w:cs="Arial" w:eastAsia="Arial" w:hAnsi="Arial"/>
                <w:sz w:val="15"/>
                <w:szCs w:val="15"/>
                <w:b w:val="1"/>
                <w:bCs w:val="1"/>
                <w:color w:val="0067B3"/>
              </w:rPr>
              <w:t>Martin Cotter</w:t>
            </w:r>
          </w:p>
        </w:tc>
        <w:tc>
          <w:tcPr>
            <w:tcW w:w="3260" w:type="dxa"/>
            <w:vAlign w:val="bottom"/>
            <w:tcBorders>
              <w:bottom w:val="single" w:sz="8" w:color="E2E6F4"/>
            </w:tcBorders>
            <w:shd w:val="clear" w:color="auto" w:fill="E2E6F4"/>
          </w:tcPr>
          <w:p>
            <w:pPr>
              <w:jc w:val="right"/>
              <w:ind w:right="66"/>
              <w:spacing w:after="0"/>
              <w:rPr>
                <w:sz w:val="20"/>
                <w:szCs w:val="20"/>
                <w:color w:val="auto"/>
              </w:rPr>
            </w:pPr>
            <w:r>
              <w:rPr>
                <w:rFonts w:ascii="Arial" w:cs="Arial" w:eastAsia="Arial" w:hAnsi="Arial"/>
                <w:sz w:val="15"/>
                <w:szCs w:val="15"/>
                <w:color w:val="auto"/>
              </w:rPr>
              <w:t>47,769</w:t>
            </w:r>
          </w:p>
        </w:tc>
        <w:tc>
          <w:tcPr>
            <w:tcW w:w="820" w:type="dxa"/>
            <w:vAlign w:val="bottom"/>
            <w:tcBorders>
              <w:bottom w:val="single" w:sz="8" w:color="E2E6F4"/>
            </w:tcBorders>
            <w:shd w:val="clear" w:color="auto" w:fill="E2E6F4"/>
          </w:tcPr>
          <w:p>
            <w:pPr>
              <w:jc w:val="right"/>
              <w:ind w:right="25"/>
              <w:spacing w:after="0"/>
              <w:rPr>
                <w:sz w:val="20"/>
                <w:szCs w:val="20"/>
                <w:color w:val="auto"/>
              </w:rPr>
            </w:pPr>
            <w:r>
              <w:rPr>
                <w:rFonts w:ascii="Arial" w:cs="Arial" w:eastAsia="Arial" w:hAnsi="Arial"/>
                <w:sz w:val="15"/>
                <w:szCs w:val="15"/>
                <w:color w:val="auto"/>
              </w:rPr>
              <w:t>—</w:t>
            </w:r>
          </w:p>
        </w:tc>
        <w:tc>
          <w:tcPr>
            <w:tcW w:w="1140" w:type="dxa"/>
            <w:vAlign w:val="bottom"/>
            <w:tcBorders>
              <w:bottom w:val="single" w:sz="8" w:color="E2E6F4"/>
            </w:tcBorders>
            <w:shd w:val="clear" w:color="auto" w:fill="E2E6F4"/>
          </w:tcPr>
          <w:p>
            <w:pPr>
              <w:jc w:val="right"/>
              <w:ind w:right="165"/>
              <w:spacing w:after="0"/>
              <w:rPr>
                <w:sz w:val="20"/>
                <w:szCs w:val="20"/>
                <w:color w:val="auto"/>
              </w:rPr>
            </w:pPr>
            <w:r>
              <w:rPr>
                <w:rFonts w:ascii="Arial" w:cs="Arial" w:eastAsia="Arial" w:hAnsi="Arial"/>
                <w:sz w:val="15"/>
                <w:szCs w:val="15"/>
                <w:color w:val="auto"/>
              </w:rPr>
              <w:t>—</w:t>
            </w:r>
          </w:p>
        </w:tc>
        <w:tc>
          <w:tcPr>
            <w:tcW w:w="940" w:type="dxa"/>
            <w:vAlign w:val="bottom"/>
            <w:tcBorders>
              <w:bottom w:val="single" w:sz="8" w:color="E2E6F4"/>
            </w:tcBorders>
            <w:shd w:val="clear" w:color="auto" w:fill="E2E6F4"/>
          </w:tcPr>
          <w:p>
            <w:pPr>
              <w:jc w:val="right"/>
              <w:ind w:right="224"/>
              <w:spacing w:after="0"/>
              <w:rPr>
                <w:sz w:val="20"/>
                <w:szCs w:val="20"/>
                <w:color w:val="auto"/>
              </w:rPr>
            </w:pPr>
            <w:r>
              <w:rPr>
                <w:rFonts w:ascii="Arial" w:cs="Arial" w:eastAsia="Arial" w:hAnsi="Arial"/>
                <w:sz w:val="15"/>
                <w:szCs w:val="15"/>
                <w:color w:val="auto"/>
              </w:rPr>
              <w:t>5,000</w:t>
            </w:r>
          </w:p>
        </w:tc>
        <w:tc>
          <w:tcPr>
            <w:tcW w:w="880" w:type="dxa"/>
            <w:vAlign w:val="bottom"/>
            <w:tcBorders>
              <w:bottom w:val="single" w:sz="8" w:color="E2E6F4"/>
            </w:tcBorders>
            <w:shd w:val="clear" w:color="auto" w:fill="E2E6F4"/>
          </w:tcPr>
          <w:p>
            <w:pPr>
              <w:jc w:val="right"/>
              <w:spacing w:after="0"/>
              <w:rPr>
                <w:sz w:val="20"/>
                <w:szCs w:val="20"/>
                <w:color w:val="auto"/>
              </w:rPr>
            </w:pPr>
            <w:r>
              <w:rPr>
                <w:rFonts w:ascii="Arial" w:cs="Arial" w:eastAsia="Arial" w:hAnsi="Arial"/>
                <w:sz w:val="15"/>
                <w:szCs w:val="15"/>
                <w:color w:val="auto"/>
              </w:rPr>
              <w:t>52,769</w:t>
            </w:r>
          </w:p>
        </w:tc>
      </w:tr>
      <w:tr>
        <w:trPr>
          <w:trHeight w:val="218"/>
        </w:trPr>
        <w:tc>
          <w:tcPr>
            <w:tcW w:w="3760" w:type="dxa"/>
            <w:vAlign w:val="bottom"/>
          </w:tcPr>
          <w:p>
            <w:pPr>
              <w:ind w:left="20"/>
              <w:spacing w:after="0"/>
              <w:rPr>
                <w:sz w:val="20"/>
                <w:szCs w:val="20"/>
                <w:color w:val="auto"/>
              </w:rPr>
            </w:pPr>
            <w:r>
              <w:rPr>
                <w:rFonts w:ascii="Arial" w:cs="Arial" w:eastAsia="Arial" w:hAnsi="Arial"/>
                <w:sz w:val="15"/>
                <w:szCs w:val="15"/>
                <w:b w:val="1"/>
                <w:bCs w:val="1"/>
                <w:color w:val="0067B3"/>
              </w:rPr>
              <w:t>Vivek Jain</w:t>
            </w:r>
          </w:p>
        </w:tc>
        <w:tc>
          <w:tcPr>
            <w:tcW w:w="3260" w:type="dxa"/>
            <w:vAlign w:val="bottom"/>
          </w:tcPr>
          <w:p>
            <w:pPr>
              <w:jc w:val="right"/>
              <w:ind w:right="66"/>
              <w:spacing w:after="0"/>
              <w:rPr>
                <w:sz w:val="20"/>
                <w:szCs w:val="20"/>
                <w:color w:val="auto"/>
              </w:rPr>
            </w:pPr>
            <w:r>
              <w:rPr>
                <w:rFonts w:ascii="Arial" w:cs="Arial" w:eastAsia="Arial" w:hAnsi="Arial"/>
                <w:sz w:val="15"/>
                <w:szCs w:val="15"/>
                <w:color w:val="auto"/>
              </w:rPr>
              <w:t>53,847</w:t>
            </w:r>
          </w:p>
        </w:tc>
        <w:tc>
          <w:tcPr>
            <w:tcW w:w="820" w:type="dxa"/>
            <w:vAlign w:val="bottom"/>
          </w:tcPr>
          <w:p>
            <w:pPr>
              <w:jc w:val="right"/>
              <w:ind w:right="25"/>
              <w:spacing w:after="0"/>
              <w:rPr>
                <w:sz w:val="20"/>
                <w:szCs w:val="20"/>
                <w:color w:val="auto"/>
              </w:rPr>
            </w:pPr>
            <w:r>
              <w:rPr>
                <w:rFonts w:ascii="Arial" w:cs="Arial" w:eastAsia="Arial" w:hAnsi="Arial"/>
                <w:sz w:val="15"/>
                <w:szCs w:val="15"/>
                <w:color w:val="auto"/>
              </w:rPr>
              <w:t>—</w:t>
            </w:r>
          </w:p>
        </w:tc>
        <w:tc>
          <w:tcPr>
            <w:tcW w:w="1140" w:type="dxa"/>
            <w:vAlign w:val="bottom"/>
          </w:tcPr>
          <w:p>
            <w:pPr>
              <w:jc w:val="right"/>
              <w:ind w:right="165"/>
              <w:spacing w:after="0"/>
              <w:rPr>
                <w:sz w:val="20"/>
                <w:szCs w:val="20"/>
                <w:color w:val="auto"/>
              </w:rPr>
            </w:pPr>
            <w:r>
              <w:rPr>
                <w:rFonts w:ascii="Arial" w:cs="Arial" w:eastAsia="Arial" w:hAnsi="Arial"/>
                <w:sz w:val="15"/>
                <w:szCs w:val="15"/>
                <w:color w:val="auto"/>
              </w:rPr>
              <w:t>—</w:t>
            </w:r>
          </w:p>
        </w:tc>
        <w:tc>
          <w:tcPr>
            <w:tcW w:w="940" w:type="dxa"/>
            <w:vAlign w:val="bottom"/>
          </w:tcPr>
          <w:p>
            <w:pPr>
              <w:jc w:val="right"/>
              <w:ind w:right="224"/>
              <w:spacing w:after="0"/>
              <w:rPr>
                <w:sz w:val="20"/>
                <w:szCs w:val="20"/>
                <w:color w:val="auto"/>
              </w:rPr>
            </w:pPr>
            <w:r>
              <w:rPr>
                <w:rFonts w:ascii="Arial" w:cs="Arial" w:eastAsia="Arial" w:hAnsi="Arial"/>
                <w:sz w:val="15"/>
                <w:szCs w:val="15"/>
                <w:color w:val="auto"/>
              </w:rPr>
              <w:t>16,200</w:t>
            </w:r>
          </w:p>
        </w:tc>
        <w:tc>
          <w:tcPr>
            <w:tcW w:w="880" w:type="dxa"/>
            <w:vAlign w:val="bottom"/>
          </w:tcPr>
          <w:p>
            <w:pPr>
              <w:jc w:val="right"/>
              <w:spacing w:after="0"/>
              <w:rPr>
                <w:sz w:val="20"/>
                <w:szCs w:val="20"/>
                <w:color w:val="auto"/>
              </w:rPr>
            </w:pPr>
            <w:r>
              <w:rPr>
                <w:rFonts w:ascii="Arial" w:cs="Arial" w:eastAsia="Arial" w:hAnsi="Arial"/>
                <w:sz w:val="15"/>
                <w:szCs w:val="15"/>
                <w:color w:val="auto"/>
              </w:rPr>
              <w:t>70,047</w:t>
            </w:r>
          </w:p>
        </w:tc>
      </w:tr>
      <w:tr>
        <w:trPr>
          <w:trHeight w:val="25"/>
        </w:trPr>
        <w:tc>
          <w:tcPr>
            <w:tcW w:w="3760" w:type="dxa"/>
            <w:vAlign w:val="bottom"/>
          </w:tcPr>
          <w:p>
            <w:pPr>
              <w:spacing w:after="0"/>
              <w:rPr>
                <w:sz w:val="2"/>
                <w:szCs w:val="2"/>
                <w:color w:val="auto"/>
              </w:rPr>
            </w:pPr>
          </w:p>
        </w:tc>
        <w:tc>
          <w:tcPr>
            <w:tcW w:w="32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94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23"/>
        </w:trPr>
        <w:tc>
          <w:tcPr>
            <w:tcW w:w="3760" w:type="dxa"/>
            <w:vAlign w:val="bottom"/>
            <w:tcBorders>
              <w:bottom w:val="single" w:sz="8" w:color="E2E6F4"/>
            </w:tcBorders>
            <w:shd w:val="clear" w:color="auto" w:fill="E2E6F4"/>
          </w:tcPr>
          <w:p>
            <w:pPr>
              <w:ind w:left="20"/>
              <w:spacing w:after="0"/>
              <w:rPr>
                <w:sz w:val="20"/>
                <w:szCs w:val="20"/>
                <w:color w:val="auto"/>
              </w:rPr>
            </w:pPr>
            <w:r>
              <w:rPr>
                <w:rFonts w:ascii="Arial" w:cs="Arial" w:eastAsia="Arial" w:hAnsi="Arial"/>
                <w:sz w:val="15"/>
                <w:szCs w:val="15"/>
                <w:b w:val="1"/>
                <w:bCs w:val="1"/>
                <w:color w:val="0067B3"/>
              </w:rPr>
              <w:t>Katsu Nakamura</w:t>
            </w:r>
          </w:p>
        </w:tc>
        <w:tc>
          <w:tcPr>
            <w:tcW w:w="3260" w:type="dxa"/>
            <w:vAlign w:val="bottom"/>
            <w:tcBorders>
              <w:bottom w:val="single" w:sz="8" w:color="E2E6F4"/>
            </w:tcBorders>
            <w:shd w:val="clear" w:color="auto" w:fill="E2E6F4"/>
          </w:tcPr>
          <w:p>
            <w:pPr>
              <w:jc w:val="right"/>
              <w:ind w:right="66"/>
              <w:spacing w:after="0"/>
              <w:rPr>
                <w:sz w:val="20"/>
                <w:szCs w:val="20"/>
                <w:color w:val="auto"/>
              </w:rPr>
            </w:pPr>
            <w:r>
              <w:rPr>
                <w:rFonts w:ascii="Arial" w:cs="Arial" w:eastAsia="Arial" w:hAnsi="Arial"/>
                <w:sz w:val="15"/>
                <w:szCs w:val="15"/>
                <w:color w:val="auto"/>
              </w:rPr>
              <w:t>39,391</w:t>
            </w:r>
          </w:p>
        </w:tc>
        <w:tc>
          <w:tcPr>
            <w:tcW w:w="820" w:type="dxa"/>
            <w:vAlign w:val="bottom"/>
            <w:tcBorders>
              <w:bottom w:val="single" w:sz="8" w:color="E2E6F4"/>
            </w:tcBorders>
            <w:shd w:val="clear" w:color="auto" w:fill="E2E6F4"/>
          </w:tcPr>
          <w:p>
            <w:pPr>
              <w:jc w:val="right"/>
              <w:ind w:right="25"/>
              <w:spacing w:after="0"/>
              <w:rPr>
                <w:sz w:val="20"/>
                <w:szCs w:val="20"/>
                <w:color w:val="auto"/>
              </w:rPr>
            </w:pPr>
            <w:r>
              <w:rPr>
                <w:rFonts w:ascii="Arial" w:cs="Arial" w:eastAsia="Arial" w:hAnsi="Arial"/>
                <w:sz w:val="15"/>
                <w:szCs w:val="15"/>
                <w:color w:val="auto"/>
              </w:rPr>
              <w:t>554,649</w:t>
            </w:r>
          </w:p>
        </w:tc>
        <w:tc>
          <w:tcPr>
            <w:tcW w:w="1140" w:type="dxa"/>
            <w:vAlign w:val="bottom"/>
            <w:tcBorders>
              <w:bottom w:val="single" w:sz="8" w:color="E2E6F4"/>
            </w:tcBorders>
            <w:shd w:val="clear" w:color="auto" w:fill="E2E6F4"/>
          </w:tcPr>
          <w:p>
            <w:pPr>
              <w:jc w:val="right"/>
              <w:ind w:right="165"/>
              <w:spacing w:after="0"/>
              <w:rPr>
                <w:sz w:val="20"/>
                <w:szCs w:val="20"/>
                <w:color w:val="auto"/>
              </w:rPr>
            </w:pPr>
            <w:r>
              <w:rPr>
                <w:rFonts w:ascii="Arial" w:cs="Arial" w:eastAsia="Arial" w:hAnsi="Arial"/>
                <w:sz w:val="15"/>
                <w:szCs w:val="15"/>
                <w:color w:val="auto"/>
              </w:rPr>
              <w:t>—</w:t>
            </w:r>
          </w:p>
        </w:tc>
        <w:tc>
          <w:tcPr>
            <w:tcW w:w="940" w:type="dxa"/>
            <w:vAlign w:val="bottom"/>
            <w:tcBorders>
              <w:bottom w:val="single" w:sz="8" w:color="E2E6F4"/>
            </w:tcBorders>
            <w:shd w:val="clear" w:color="auto" w:fill="E2E6F4"/>
          </w:tcPr>
          <w:p>
            <w:pPr>
              <w:jc w:val="right"/>
              <w:ind w:right="224"/>
              <w:spacing w:after="0"/>
              <w:rPr>
                <w:sz w:val="20"/>
                <w:szCs w:val="20"/>
                <w:color w:val="auto"/>
              </w:rPr>
            </w:pPr>
            <w:r>
              <w:rPr>
                <w:rFonts w:ascii="Arial" w:cs="Arial" w:eastAsia="Arial" w:hAnsi="Arial"/>
                <w:sz w:val="15"/>
                <w:szCs w:val="15"/>
                <w:color w:val="auto"/>
              </w:rPr>
              <w:t>6,200</w:t>
            </w:r>
          </w:p>
        </w:tc>
        <w:tc>
          <w:tcPr>
            <w:tcW w:w="880" w:type="dxa"/>
            <w:vAlign w:val="bottom"/>
            <w:tcBorders>
              <w:bottom w:val="single" w:sz="8" w:color="E2E6F4"/>
            </w:tcBorders>
            <w:shd w:val="clear" w:color="auto" w:fill="E2E6F4"/>
          </w:tcPr>
          <w:p>
            <w:pPr>
              <w:jc w:val="right"/>
              <w:spacing w:after="0"/>
              <w:rPr>
                <w:sz w:val="20"/>
                <w:szCs w:val="20"/>
                <w:color w:val="auto"/>
              </w:rPr>
            </w:pPr>
            <w:r>
              <w:rPr>
                <w:rFonts w:ascii="Arial" w:cs="Arial" w:eastAsia="Arial" w:hAnsi="Arial"/>
                <w:sz w:val="15"/>
                <w:szCs w:val="15"/>
                <w:color w:val="auto"/>
              </w:rPr>
              <w:t>600,240</w:t>
            </w:r>
          </w:p>
        </w:tc>
      </w:tr>
      <w:tr>
        <w:trPr>
          <w:trHeight w:val="20"/>
        </w:trPr>
        <w:tc>
          <w:tcPr>
            <w:tcW w:w="3760" w:type="dxa"/>
            <w:vAlign w:val="bottom"/>
            <w:shd w:val="clear" w:color="auto" w:fill="0067B3"/>
          </w:tcPr>
          <w:p>
            <w:pPr>
              <w:spacing w:after="0" w:line="20" w:lineRule="exact"/>
              <w:rPr>
                <w:sz w:val="1"/>
                <w:szCs w:val="1"/>
                <w:color w:val="auto"/>
              </w:rPr>
            </w:pPr>
          </w:p>
        </w:tc>
        <w:tc>
          <w:tcPr>
            <w:tcW w:w="3260" w:type="dxa"/>
            <w:vAlign w:val="bottom"/>
            <w:shd w:val="clear" w:color="auto" w:fill="0067B3"/>
          </w:tcPr>
          <w:p>
            <w:pPr>
              <w:spacing w:after="0" w:line="20" w:lineRule="exact"/>
              <w:rPr>
                <w:sz w:val="1"/>
                <w:szCs w:val="1"/>
                <w:color w:val="auto"/>
              </w:rPr>
            </w:pPr>
          </w:p>
        </w:tc>
        <w:tc>
          <w:tcPr>
            <w:tcW w:w="820" w:type="dxa"/>
            <w:vAlign w:val="bottom"/>
            <w:shd w:val="clear" w:color="auto" w:fill="0067B3"/>
          </w:tcPr>
          <w:p>
            <w:pPr>
              <w:spacing w:after="0" w:line="20" w:lineRule="exact"/>
              <w:rPr>
                <w:sz w:val="1"/>
                <w:szCs w:val="1"/>
                <w:color w:val="auto"/>
              </w:rPr>
            </w:pPr>
          </w:p>
        </w:tc>
        <w:tc>
          <w:tcPr>
            <w:tcW w:w="1140" w:type="dxa"/>
            <w:vAlign w:val="bottom"/>
            <w:shd w:val="clear" w:color="auto" w:fill="0067B3"/>
          </w:tcPr>
          <w:p>
            <w:pPr>
              <w:spacing w:after="0" w:line="20" w:lineRule="exact"/>
              <w:rPr>
                <w:sz w:val="1"/>
                <w:szCs w:val="1"/>
                <w:color w:val="auto"/>
              </w:rPr>
            </w:pPr>
          </w:p>
        </w:tc>
        <w:tc>
          <w:tcPr>
            <w:tcW w:w="940" w:type="dxa"/>
            <w:vAlign w:val="bottom"/>
            <w:shd w:val="clear" w:color="auto" w:fill="0067B3"/>
          </w:tcPr>
          <w:p>
            <w:pPr>
              <w:spacing w:after="0" w:line="20" w:lineRule="exact"/>
              <w:rPr>
                <w:sz w:val="1"/>
                <w:szCs w:val="1"/>
                <w:color w:val="auto"/>
              </w:rPr>
            </w:pPr>
          </w:p>
        </w:tc>
        <w:tc>
          <w:tcPr>
            <w:tcW w:w="880" w:type="dxa"/>
            <w:vAlign w:val="bottom"/>
            <w:shd w:val="clear" w:color="auto" w:fill="0067B3"/>
          </w:tcPr>
          <w:p>
            <w:pPr>
              <w:spacing w:after="0" w:line="20" w:lineRule="exact"/>
              <w:rPr>
                <w:sz w:val="1"/>
                <w:szCs w:val="1"/>
                <w:color w:val="auto"/>
              </w:rPr>
            </w:pPr>
          </w:p>
        </w:tc>
      </w:tr>
    </w:tbl>
    <w:p>
      <w:pPr>
        <w:spacing w:after="0" w:line="175" w:lineRule="exact"/>
        <w:rPr>
          <w:sz w:val="20"/>
          <w:szCs w:val="20"/>
          <w:color w:val="auto"/>
        </w:rPr>
      </w:pPr>
    </w:p>
    <w:p>
      <w:pPr>
        <w:ind w:left="392" w:hanging="198"/>
        <w:spacing w:after="0"/>
        <w:tabs>
          <w:tab w:leader="none" w:pos="407" w:val="left"/>
        </w:tabs>
        <w:numPr>
          <w:ilvl w:val="1"/>
          <w:numId w:val="110"/>
        </w:numPr>
        <w:rPr>
          <w:rFonts w:ascii="Arial" w:cs="Arial" w:eastAsia="Arial" w:hAnsi="Arial"/>
          <w:sz w:val="21"/>
          <w:szCs w:val="21"/>
          <w:color w:val="auto"/>
          <w:vertAlign w:val="superscript"/>
        </w:rPr>
      </w:pPr>
      <w:r>
        <w:rPr>
          <w:rFonts w:ascii="Arial" w:cs="Arial" w:eastAsia="Arial" w:hAnsi="Arial"/>
          <w:sz w:val="16"/>
          <w:szCs w:val="16"/>
          <w:color w:val="auto"/>
        </w:rPr>
        <w:t>Includes the value of 401(k) matching contributions plus the matching contribution made by ADI for DCP payments, if applicable, together with the amount paid by ADI for TIP Restoration. Such amounts for each NEO for fiscal year 2025 were as follows: Messrs. Roche ($27,175, $7,680, and $61,145, respectively), Puccio ($25,200, $5,471, and $24,002, respectively), Cotter ($6,184, $33,817, and $7,769, respectively), and Jain ($28,000, $0, and $25,846, respectively), and Dr. Nakamura ($25,785, $7,202, and $6,404, respectively).</w:t>
      </w:r>
    </w:p>
    <w:p>
      <w:pPr>
        <w:spacing w:after="0" w:line="20" w:lineRule="exact"/>
        <w:rPr>
          <w:rFonts w:ascii="Arial" w:cs="Arial" w:eastAsia="Arial" w:hAnsi="Arial"/>
          <w:sz w:val="21"/>
          <w:szCs w:val="21"/>
          <w:color w:val="auto"/>
          <w:vertAlign w:val="superscript"/>
        </w:rPr>
      </w:pPr>
    </w:p>
    <w:p>
      <w:pPr>
        <w:ind w:left="412" w:hanging="218"/>
        <w:spacing w:after="0"/>
        <w:tabs>
          <w:tab w:leader="none" w:pos="412" w:val="left"/>
        </w:tabs>
        <w:numPr>
          <w:ilvl w:val="1"/>
          <w:numId w:val="110"/>
        </w:numPr>
        <w:rPr>
          <w:rFonts w:ascii="Arial" w:cs="Arial" w:eastAsia="Arial" w:hAnsi="Arial"/>
          <w:sz w:val="21"/>
          <w:szCs w:val="21"/>
          <w:color w:val="auto"/>
          <w:vertAlign w:val="superscript"/>
        </w:rPr>
      </w:pPr>
      <w:r>
        <w:rPr>
          <w:rFonts w:ascii="Arial" w:cs="Arial" w:eastAsia="Arial" w:hAnsi="Arial"/>
          <w:sz w:val="16"/>
          <w:szCs w:val="16"/>
          <w:color w:val="auto"/>
        </w:rPr>
        <w:t>Amounts paid to Dr. Nakamura in fiscal year 2025 in connection with his expatriate assignment included: $10,677 for vehicle and parking lease fees;</w:t>
      </w:r>
    </w:p>
    <w:p>
      <w:pPr>
        <w:ind w:left="392"/>
        <w:spacing w:after="0" w:line="283" w:lineRule="auto"/>
        <w:rPr>
          <w:rFonts w:ascii="Arial" w:cs="Arial" w:eastAsia="Arial" w:hAnsi="Arial"/>
          <w:sz w:val="21"/>
          <w:szCs w:val="21"/>
          <w:color w:val="auto"/>
          <w:vertAlign w:val="superscript"/>
        </w:rPr>
      </w:pPr>
      <w:r>
        <w:rPr>
          <w:rFonts w:ascii="Arial" w:cs="Arial" w:eastAsia="Arial" w:hAnsi="Arial"/>
          <w:sz w:val="16"/>
          <w:szCs w:val="16"/>
          <w:color w:val="auto"/>
        </w:rPr>
        <w:t>$47,283 for housing expenses; $38,794 for tax services; $372,722 for tax equalization payments; $53,873 for tax gross-ups; $10,923 for spousal travel; $14,675 for cost of living allowance; and $5,702 for other miscellaneous expenses.</w:t>
      </w:r>
    </w:p>
    <w:p>
      <w:pPr>
        <w:spacing w:after="0" w:line="22" w:lineRule="exact"/>
        <w:rPr>
          <w:rFonts w:ascii="Arial" w:cs="Arial" w:eastAsia="Arial" w:hAnsi="Arial"/>
          <w:sz w:val="21"/>
          <w:szCs w:val="21"/>
          <w:color w:val="auto"/>
          <w:vertAlign w:val="superscript"/>
        </w:rPr>
      </w:pPr>
    </w:p>
    <w:p>
      <w:pPr>
        <w:ind w:left="392" w:right="60" w:hanging="198"/>
        <w:spacing w:after="0" w:line="242" w:lineRule="auto"/>
        <w:tabs>
          <w:tab w:leader="none" w:pos="401" w:val="left"/>
        </w:tabs>
        <w:numPr>
          <w:ilvl w:val="1"/>
          <w:numId w:val="110"/>
        </w:numPr>
        <w:rPr>
          <w:rFonts w:ascii="Arial" w:cs="Arial" w:eastAsia="Arial" w:hAnsi="Arial"/>
          <w:sz w:val="21"/>
          <w:szCs w:val="21"/>
          <w:color w:val="auto"/>
          <w:vertAlign w:val="superscript"/>
        </w:rPr>
      </w:pPr>
      <w:r>
        <w:rPr>
          <w:rFonts w:ascii="Arial" w:cs="Arial" w:eastAsia="Arial" w:hAnsi="Arial"/>
          <w:sz w:val="16"/>
          <w:szCs w:val="16"/>
          <w:color w:val="auto"/>
        </w:rPr>
        <w:t>Amounts for personal use of the leased aircraft by Mr. Roche. This amount represents the aggregate incremental cost to us for the personal use of our corporate aircraft by Mr. Roche and certain of his guests, as applicable, for each use. We determine the incremental cost of the personal use of our leased corporate aircraft based on the actual invoiced amount from ADI’s third-party provider for the variable costs incurred on each trip, such as billed hourly fees, fuel costs, etc. The aggregate incremental cost does not include certain fixed costs that do not change based on usage, such as monthly lease expenses, that are billed regardless of usage, and the aircraft lease deposit amount.</w:t>
      </w:r>
    </w:p>
    <w:p>
      <w:pPr>
        <w:spacing w:after="0" w:line="53" w:lineRule="exact"/>
        <w:rPr>
          <w:rFonts w:ascii="Arial" w:cs="Arial" w:eastAsia="Arial" w:hAnsi="Arial"/>
          <w:sz w:val="21"/>
          <w:szCs w:val="21"/>
          <w:color w:val="auto"/>
          <w:vertAlign w:val="superscript"/>
        </w:rPr>
      </w:pPr>
    </w:p>
    <w:p>
      <w:pPr>
        <w:ind w:left="392" w:right="180" w:hanging="198"/>
        <w:spacing w:after="0" w:line="227" w:lineRule="auto"/>
        <w:tabs>
          <w:tab w:leader="none" w:pos="407" w:val="left"/>
        </w:tabs>
        <w:numPr>
          <w:ilvl w:val="1"/>
          <w:numId w:val="110"/>
        </w:numPr>
        <w:rPr>
          <w:rFonts w:ascii="Arial" w:cs="Arial" w:eastAsia="Arial" w:hAnsi="Arial"/>
          <w:sz w:val="21"/>
          <w:szCs w:val="21"/>
          <w:color w:val="auto"/>
          <w:vertAlign w:val="superscript"/>
        </w:rPr>
      </w:pPr>
      <w:r>
        <w:rPr>
          <w:rFonts w:ascii="Arial" w:cs="Arial" w:eastAsia="Arial" w:hAnsi="Arial"/>
          <w:sz w:val="16"/>
          <w:szCs w:val="16"/>
          <w:color w:val="auto"/>
        </w:rPr>
        <w:t>Amounts paid for a healthcare savings account for Mr. Jain and Dr. Nakamura, financial and tax planning services for Messrs. Roche and Jain, cyber and data privacy protection services for Messrs. Roche, Puccio, Cotter, Jain and Dr. Nakamura, and executive security for Mr. Roche.</w:t>
      </w:r>
    </w:p>
    <w:p>
      <w:pPr>
        <w:spacing w:after="0" w:line="29" w:lineRule="exact"/>
        <w:rPr>
          <w:rFonts w:ascii="Arial" w:cs="Arial" w:eastAsia="Arial" w:hAnsi="Arial"/>
          <w:sz w:val="21"/>
          <w:szCs w:val="21"/>
          <w:color w:val="auto"/>
          <w:vertAlign w:val="superscript"/>
        </w:rPr>
      </w:pPr>
    </w:p>
    <w:p>
      <w:pPr>
        <w:ind w:left="212" w:hanging="212"/>
        <w:spacing w:after="0"/>
        <w:tabs>
          <w:tab w:leader="none" w:pos="212" w:val="left"/>
        </w:tabs>
        <w:numPr>
          <w:ilvl w:val="0"/>
          <w:numId w:val="111"/>
        </w:numPr>
        <w:rPr>
          <w:rFonts w:ascii="Arial" w:cs="Arial" w:eastAsia="Arial" w:hAnsi="Arial"/>
          <w:sz w:val="21"/>
          <w:szCs w:val="21"/>
          <w:color w:val="auto"/>
          <w:vertAlign w:val="superscript"/>
        </w:rPr>
      </w:pPr>
      <w:r>
        <w:rPr>
          <w:rFonts w:ascii="Arial" w:cs="Arial" w:eastAsia="Arial" w:hAnsi="Arial"/>
          <w:sz w:val="16"/>
          <w:szCs w:val="16"/>
          <w:color w:val="auto"/>
        </w:rPr>
        <w:t>Mr. Puccio joined ADI as Executive Vice President and Chief Financial Officer, effective February 5, 2024.</w:t>
      </w:r>
    </w:p>
    <w:p>
      <w:pPr>
        <w:spacing w:after="0" w:line="70" w:lineRule="exact"/>
        <w:rPr>
          <w:rFonts w:ascii="Arial" w:cs="Arial" w:eastAsia="Arial" w:hAnsi="Arial"/>
          <w:sz w:val="21"/>
          <w:szCs w:val="21"/>
          <w:color w:val="auto"/>
          <w:vertAlign w:val="superscript"/>
        </w:rPr>
      </w:pPr>
    </w:p>
    <w:p>
      <w:pPr>
        <w:ind w:left="212" w:hanging="212"/>
        <w:spacing w:after="0" w:line="197" w:lineRule="auto"/>
        <w:tabs>
          <w:tab w:leader="none" w:pos="212" w:val="left"/>
        </w:tabs>
        <w:numPr>
          <w:ilvl w:val="0"/>
          <w:numId w:val="111"/>
        </w:numPr>
        <w:rPr>
          <w:rFonts w:ascii="Arial" w:cs="Arial" w:eastAsia="Arial" w:hAnsi="Arial"/>
          <w:sz w:val="21"/>
          <w:szCs w:val="21"/>
          <w:color w:val="auto"/>
          <w:vertAlign w:val="superscript"/>
        </w:rPr>
      </w:pPr>
      <w:r>
        <w:rPr>
          <w:rFonts w:ascii="Arial" w:cs="Arial" w:eastAsia="Arial" w:hAnsi="Arial"/>
          <w:sz w:val="16"/>
          <w:szCs w:val="16"/>
          <w:color w:val="auto"/>
        </w:rPr>
        <w:t>Mr. Cotter was appointed as Senior Vice President, Vertical Business Units. effective December 1, 2024 and was not an NEO in fiscal year 2024 or 2023.</w:t>
      </w:r>
    </w:p>
    <w:p>
      <w:pPr>
        <w:spacing w:after="0" w:line="58" w:lineRule="exact"/>
        <w:rPr>
          <w:rFonts w:ascii="Arial" w:cs="Arial" w:eastAsia="Arial" w:hAnsi="Arial"/>
          <w:sz w:val="21"/>
          <w:szCs w:val="21"/>
          <w:color w:val="auto"/>
          <w:vertAlign w:val="superscript"/>
        </w:rPr>
      </w:pPr>
    </w:p>
    <w:p>
      <w:pPr>
        <w:ind w:left="192" w:right="140" w:hanging="192"/>
        <w:spacing w:after="0" w:line="226" w:lineRule="auto"/>
        <w:tabs>
          <w:tab w:leader="none" w:pos="207" w:val="left"/>
        </w:tabs>
        <w:numPr>
          <w:ilvl w:val="0"/>
          <w:numId w:val="111"/>
        </w:numPr>
        <w:rPr>
          <w:rFonts w:ascii="Arial" w:cs="Arial" w:eastAsia="Arial" w:hAnsi="Arial"/>
          <w:sz w:val="21"/>
          <w:szCs w:val="21"/>
          <w:color w:val="auto"/>
          <w:vertAlign w:val="superscript"/>
        </w:rPr>
      </w:pPr>
      <w:r>
        <w:rPr>
          <w:rFonts w:ascii="Arial" w:cs="Arial" w:eastAsia="Arial" w:hAnsi="Arial"/>
          <w:sz w:val="16"/>
          <w:szCs w:val="16"/>
          <w:color w:val="auto"/>
        </w:rPr>
        <w:t>Dr. Nakamura was appointed as Senior Vice President and Chief Customer Officer, effective November 3, 2024 and was not an NEO in fiscal year 2024 or 2023.</w:t>
      </w:r>
    </w:p>
    <w:p>
      <w:pPr>
        <w:spacing w:after="0" w:line="200" w:lineRule="exact"/>
        <w:rPr>
          <w:sz w:val="20"/>
          <w:szCs w:val="20"/>
          <w:color w:val="auto"/>
        </w:rPr>
      </w:pPr>
    </w:p>
    <w:p>
      <w:pPr>
        <w:spacing w:after="0" w:line="259" w:lineRule="exact"/>
        <w:rPr>
          <w:sz w:val="20"/>
          <w:szCs w:val="20"/>
          <w:color w:val="auto"/>
        </w:rPr>
      </w:pPr>
    </w:p>
    <w:p>
      <w:pPr>
        <w:ind w:left="632" w:hanging="614"/>
        <w:spacing w:after="0"/>
        <w:tabs>
          <w:tab w:leader="none" w:pos="632" w:val="left"/>
        </w:tabs>
        <w:numPr>
          <w:ilvl w:val="0"/>
          <w:numId w:val="112"/>
        </w:numPr>
        <w:rPr>
          <w:rFonts w:ascii="Arial" w:cs="Arial" w:eastAsia="Arial" w:hAnsi="Arial"/>
          <w:sz w:val="20"/>
          <w:szCs w:val="20"/>
          <w:b w:val="1"/>
          <w:bCs w:val="1"/>
          <w:color w:val="auto"/>
        </w:rPr>
      </w:pPr>
      <w:r>
        <w:rPr>
          <w:rFonts w:ascii="Arial" w:cs="Arial" w:eastAsia="Arial" w:hAnsi="Arial"/>
          <w:sz w:val="16"/>
          <w:szCs w:val="16"/>
          <w:color w:val="6D6E71"/>
        </w:rPr>
        <w:t>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194310</wp:posOffset>
            </wp:positionV>
            <wp:extent cx="7157720" cy="42545"/>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12"/>
          </w:cols>
          <w:pgMar w:left="328" w:top="1152" w:right="359" w:bottom="1440" w:gutter="0" w:footer="0" w:header="0"/>
        </w:sectPr>
      </w:pPr>
    </w:p>
    <w:bookmarkStart w:id="68" w:name="page69"/>
    <w:bookmarkEnd w:id="68"/>
    <w:p>
      <w:pPr>
        <w:spacing w:after="0"/>
        <w:rPr>
          <w:sz w:val="20"/>
          <w:szCs w:val="20"/>
          <w:color w:val="auto"/>
        </w:rPr>
      </w:pPr>
      <w:r>
        <w:rPr>
          <w:rFonts w:ascii="Arial" w:cs="Arial" w:eastAsia="Arial" w:hAnsi="Arial"/>
          <w:sz w:val="32"/>
          <w:szCs w:val="32"/>
          <w:b w:val="1"/>
          <w:bCs w:val="1"/>
          <w:color w:val="auto"/>
        </w:rPr>
        <w:t>Grants of Plan-Based Awards in Fiscal Year 2025</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information on plan-based awards granted in fiscal year 2025 to our NEOs:</w:t>
      </w: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242"/>
        </w:trPr>
        <w:tc>
          <w:tcPr>
            <w:tcW w:w="1980" w:type="dxa"/>
            <w:vAlign w:val="bottom"/>
            <w:shd w:val="clear" w:color="auto" w:fill="0067B3"/>
          </w:tcPr>
          <w:p>
            <w:pPr>
              <w:spacing w:after="0"/>
              <w:rPr>
                <w:sz w:val="21"/>
                <w:szCs w:val="21"/>
                <w:color w:val="auto"/>
              </w:rPr>
            </w:pPr>
          </w:p>
        </w:tc>
        <w:tc>
          <w:tcPr>
            <w:tcW w:w="1060" w:type="dxa"/>
            <w:vAlign w:val="bottom"/>
            <w:shd w:val="clear" w:color="auto" w:fill="0067B3"/>
          </w:tcPr>
          <w:p>
            <w:pPr>
              <w:spacing w:after="0"/>
              <w:rPr>
                <w:sz w:val="21"/>
                <w:szCs w:val="21"/>
                <w:color w:val="auto"/>
              </w:rPr>
            </w:pPr>
          </w:p>
        </w:tc>
        <w:tc>
          <w:tcPr>
            <w:tcW w:w="2860" w:type="dxa"/>
            <w:vAlign w:val="bottom"/>
            <w:gridSpan w:val="4"/>
            <w:vMerge w:val="restart"/>
            <w:shd w:val="clear" w:color="auto" w:fill="0067B3"/>
          </w:tcPr>
          <w:p>
            <w:pPr>
              <w:jc w:val="right"/>
              <w:ind w:right="31"/>
              <w:spacing w:after="0"/>
              <w:rPr>
                <w:sz w:val="20"/>
                <w:szCs w:val="20"/>
                <w:color w:val="auto"/>
              </w:rPr>
            </w:pPr>
            <w:r>
              <w:rPr>
                <w:rFonts w:ascii="Arial" w:cs="Arial" w:eastAsia="Arial" w:hAnsi="Arial"/>
                <w:sz w:val="16"/>
                <w:szCs w:val="16"/>
                <w:b w:val="1"/>
                <w:bCs w:val="1"/>
                <w:color w:val="FFFFFF"/>
              </w:rPr>
              <w:t>Estimated Possible Payouts Under</w:t>
            </w:r>
          </w:p>
        </w:tc>
        <w:tc>
          <w:tcPr>
            <w:tcW w:w="2620" w:type="dxa"/>
            <w:vAlign w:val="bottom"/>
            <w:gridSpan w:val="3"/>
            <w:vMerge w:val="restart"/>
            <w:shd w:val="clear" w:color="auto" w:fill="0067B3"/>
          </w:tcPr>
          <w:p>
            <w:pPr>
              <w:ind w:left="60"/>
              <w:spacing w:after="0"/>
              <w:rPr>
                <w:sz w:val="20"/>
                <w:szCs w:val="20"/>
                <w:color w:val="auto"/>
              </w:rPr>
            </w:pPr>
            <w:r>
              <w:rPr>
                <w:rFonts w:ascii="Arial" w:cs="Arial" w:eastAsia="Arial" w:hAnsi="Arial"/>
                <w:sz w:val="16"/>
                <w:szCs w:val="16"/>
                <w:b w:val="1"/>
                <w:bCs w:val="1"/>
                <w:color w:val="FFFFFF"/>
              </w:rPr>
              <w:t>Estimated Future Payouts Under</w:t>
            </w:r>
          </w:p>
        </w:tc>
        <w:tc>
          <w:tcPr>
            <w:tcW w:w="1440" w:type="dxa"/>
            <w:vAlign w:val="bottom"/>
            <w:shd w:val="clear" w:color="auto" w:fill="0067B3"/>
          </w:tcPr>
          <w:p>
            <w:pPr>
              <w:jc w:val="right"/>
              <w:ind w:right="12"/>
              <w:spacing w:after="0"/>
              <w:rPr>
                <w:sz w:val="20"/>
                <w:szCs w:val="20"/>
                <w:color w:val="auto"/>
              </w:rPr>
            </w:pPr>
            <w:r>
              <w:rPr>
                <w:rFonts w:ascii="Arial" w:cs="Arial" w:eastAsia="Arial" w:hAnsi="Arial"/>
                <w:sz w:val="16"/>
                <w:szCs w:val="16"/>
                <w:b w:val="1"/>
                <w:bCs w:val="1"/>
                <w:color w:val="FFFFFF"/>
              </w:rPr>
              <w:t>All Other</w:t>
            </w:r>
          </w:p>
        </w:tc>
        <w:tc>
          <w:tcPr>
            <w:tcW w:w="1280" w:type="dxa"/>
            <w:vAlign w:val="bottom"/>
            <w:vMerge w:val="restart"/>
            <w:shd w:val="clear" w:color="auto" w:fill="0067B3"/>
          </w:tcPr>
          <w:p>
            <w:pPr>
              <w:jc w:val="right"/>
              <w:spacing w:after="0"/>
              <w:rPr>
                <w:sz w:val="20"/>
                <w:szCs w:val="20"/>
                <w:color w:val="auto"/>
              </w:rPr>
            </w:pPr>
            <w:r>
              <w:rPr>
                <w:rFonts w:ascii="Arial" w:cs="Arial" w:eastAsia="Arial" w:hAnsi="Arial"/>
                <w:sz w:val="16"/>
                <w:szCs w:val="16"/>
                <w:b w:val="1"/>
                <w:bCs w:val="1"/>
                <w:color w:val="FFFFFF"/>
              </w:rPr>
              <w:t>Grant Date Fair</w:t>
            </w:r>
          </w:p>
        </w:tc>
        <w:tc>
          <w:tcPr>
            <w:tcW w:w="0" w:type="dxa"/>
            <w:vAlign w:val="bottom"/>
          </w:tcPr>
          <w:p>
            <w:pPr>
              <w:spacing w:after="0"/>
              <w:rPr>
                <w:sz w:val="1"/>
                <w:szCs w:val="1"/>
                <w:color w:val="auto"/>
              </w:rPr>
            </w:pPr>
          </w:p>
        </w:tc>
      </w:tr>
      <w:tr>
        <w:trPr>
          <w:trHeight w:val="108"/>
        </w:trPr>
        <w:tc>
          <w:tcPr>
            <w:tcW w:w="1980" w:type="dxa"/>
            <w:vAlign w:val="bottom"/>
            <w:shd w:val="clear" w:color="auto" w:fill="0067B3"/>
          </w:tcPr>
          <w:p>
            <w:pPr>
              <w:spacing w:after="0"/>
              <w:rPr>
                <w:sz w:val="9"/>
                <w:szCs w:val="9"/>
                <w:color w:val="auto"/>
              </w:rPr>
            </w:pPr>
          </w:p>
        </w:tc>
        <w:tc>
          <w:tcPr>
            <w:tcW w:w="1060" w:type="dxa"/>
            <w:vAlign w:val="bottom"/>
            <w:shd w:val="clear" w:color="auto" w:fill="0067B3"/>
          </w:tcPr>
          <w:p>
            <w:pPr>
              <w:spacing w:after="0"/>
              <w:rPr>
                <w:sz w:val="9"/>
                <w:szCs w:val="9"/>
                <w:color w:val="auto"/>
              </w:rPr>
            </w:pPr>
          </w:p>
        </w:tc>
        <w:tc>
          <w:tcPr>
            <w:tcW w:w="2860" w:type="dxa"/>
            <w:vAlign w:val="bottom"/>
            <w:gridSpan w:val="4"/>
            <w:vMerge w:val="continue"/>
            <w:shd w:val="clear" w:color="auto" w:fill="0067B3"/>
          </w:tcPr>
          <w:p>
            <w:pPr>
              <w:spacing w:after="0"/>
              <w:rPr>
                <w:sz w:val="9"/>
                <w:szCs w:val="9"/>
                <w:color w:val="auto"/>
              </w:rPr>
            </w:pPr>
          </w:p>
        </w:tc>
        <w:tc>
          <w:tcPr>
            <w:tcW w:w="2620" w:type="dxa"/>
            <w:vAlign w:val="bottom"/>
            <w:gridSpan w:val="3"/>
            <w:vMerge w:val="continue"/>
            <w:shd w:val="clear" w:color="auto" w:fill="0067B3"/>
          </w:tcPr>
          <w:p>
            <w:pPr>
              <w:spacing w:after="0"/>
              <w:rPr>
                <w:sz w:val="9"/>
                <w:szCs w:val="9"/>
                <w:color w:val="auto"/>
              </w:rPr>
            </w:pPr>
          </w:p>
        </w:tc>
        <w:tc>
          <w:tcPr>
            <w:tcW w:w="1440" w:type="dxa"/>
            <w:vAlign w:val="bottom"/>
            <w:vMerge w:val="restart"/>
            <w:shd w:val="clear" w:color="auto" w:fill="0067B3"/>
          </w:tcPr>
          <w:p>
            <w:pPr>
              <w:jc w:val="right"/>
              <w:ind w:right="12"/>
              <w:spacing w:after="0" w:line="175" w:lineRule="exact"/>
              <w:rPr>
                <w:sz w:val="20"/>
                <w:szCs w:val="20"/>
                <w:color w:val="auto"/>
              </w:rPr>
            </w:pPr>
            <w:r>
              <w:rPr>
                <w:rFonts w:ascii="Arial" w:cs="Arial" w:eastAsia="Arial" w:hAnsi="Arial"/>
                <w:sz w:val="16"/>
                <w:szCs w:val="16"/>
                <w:b w:val="1"/>
                <w:bCs w:val="1"/>
                <w:color w:val="FFFFFF"/>
              </w:rPr>
              <w:t>Stock Awards:</w:t>
            </w:r>
          </w:p>
        </w:tc>
        <w:tc>
          <w:tcPr>
            <w:tcW w:w="1280" w:type="dxa"/>
            <w:vAlign w:val="bottom"/>
            <w:vMerge w:val="continue"/>
            <w:shd w:val="clear" w:color="auto" w:fill="0067B3"/>
          </w:tcPr>
          <w:p>
            <w:pPr>
              <w:spacing w:after="0"/>
              <w:rPr>
                <w:sz w:val="9"/>
                <w:szCs w:val="9"/>
                <w:color w:val="auto"/>
              </w:rPr>
            </w:pPr>
          </w:p>
        </w:tc>
        <w:tc>
          <w:tcPr>
            <w:tcW w:w="0" w:type="dxa"/>
            <w:vAlign w:val="bottom"/>
          </w:tcPr>
          <w:p>
            <w:pPr>
              <w:spacing w:after="0"/>
              <w:rPr>
                <w:sz w:val="1"/>
                <w:szCs w:val="1"/>
                <w:color w:val="auto"/>
              </w:rPr>
            </w:pPr>
          </w:p>
        </w:tc>
      </w:tr>
      <w:tr>
        <w:trPr>
          <w:trHeight w:val="68"/>
        </w:trPr>
        <w:tc>
          <w:tcPr>
            <w:tcW w:w="1980" w:type="dxa"/>
            <w:vAlign w:val="bottom"/>
            <w:shd w:val="clear" w:color="auto" w:fill="0067B3"/>
          </w:tcPr>
          <w:p>
            <w:pPr>
              <w:spacing w:after="0"/>
              <w:rPr>
                <w:sz w:val="5"/>
                <w:szCs w:val="5"/>
                <w:color w:val="auto"/>
              </w:rPr>
            </w:pPr>
          </w:p>
        </w:tc>
        <w:tc>
          <w:tcPr>
            <w:tcW w:w="1060" w:type="dxa"/>
            <w:vAlign w:val="bottom"/>
            <w:shd w:val="clear" w:color="auto" w:fill="0067B3"/>
          </w:tcPr>
          <w:p>
            <w:pPr>
              <w:spacing w:after="0"/>
              <w:rPr>
                <w:sz w:val="5"/>
                <w:szCs w:val="5"/>
                <w:color w:val="auto"/>
              </w:rPr>
            </w:pPr>
          </w:p>
        </w:tc>
        <w:tc>
          <w:tcPr>
            <w:tcW w:w="2860" w:type="dxa"/>
            <w:vAlign w:val="bottom"/>
            <w:gridSpan w:val="4"/>
            <w:vMerge w:val="restart"/>
            <w:shd w:val="clear" w:color="auto" w:fill="0067B3"/>
          </w:tcPr>
          <w:p>
            <w:pPr>
              <w:jc w:val="right"/>
              <w:spacing w:after="0"/>
              <w:rPr>
                <w:sz w:val="20"/>
                <w:szCs w:val="20"/>
                <w:color w:val="auto"/>
              </w:rPr>
            </w:pPr>
            <w:r>
              <w:rPr>
                <w:rFonts w:ascii="Arial" w:cs="Arial" w:eastAsia="Arial" w:hAnsi="Arial"/>
                <w:sz w:val="16"/>
                <w:szCs w:val="16"/>
                <w:b w:val="1"/>
                <w:bCs w:val="1"/>
                <w:color w:val="FFFFFF"/>
                <w:w w:val="99"/>
              </w:rPr>
              <w:t>Non-Equity Incentive Plan Awards</w:t>
            </w:r>
            <w:r>
              <w:rPr>
                <w:rFonts w:ascii="Arial" w:cs="Arial" w:eastAsia="Arial" w:hAnsi="Arial"/>
                <w:sz w:val="21"/>
                <w:szCs w:val="21"/>
                <w:b w:val="1"/>
                <w:bCs w:val="1"/>
                <w:color w:val="FFFFFF"/>
                <w:w w:val="99"/>
                <w:vertAlign w:val="superscript"/>
              </w:rPr>
              <w:t>(1)</w:t>
            </w:r>
          </w:p>
        </w:tc>
        <w:tc>
          <w:tcPr>
            <w:tcW w:w="2620" w:type="dxa"/>
            <w:vAlign w:val="bottom"/>
            <w:gridSpan w:val="3"/>
            <w:vMerge w:val="restart"/>
            <w:shd w:val="clear" w:color="auto" w:fill="0067B3"/>
          </w:tcPr>
          <w:p>
            <w:pPr>
              <w:ind w:left="120"/>
              <w:spacing w:after="0"/>
              <w:rPr>
                <w:sz w:val="20"/>
                <w:szCs w:val="20"/>
                <w:color w:val="auto"/>
              </w:rPr>
            </w:pPr>
            <w:r>
              <w:rPr>
                <w:rFonts w:ascii="Arial" w:cs="Arial" w:eastAsia="Arial" w:hAnsi="Arial"/>
                <w:sz w:val="16"/>
                <w:szCs w:val="16"/>
                <w:b w:val="1"/>
                <w:bCs w:val="1"/>
                <w:color w:val="FFFFFF"/>
              </w:rPr>
              <w:t>Equity Incentive Plan Awards</w:t>
            </w:r>
            <w:r>
              <w:rPr>
                <w:rFonts w:ascii="Arial" w:cs="Arial" w:eastAsia="Arial" w:hAnsi="Arial"/>
                <w:sz w:val="21"/>
                <w:szCs w:val="21"/>
                <w:b w:val="1"/>
                <w:bCs w:val="1"/>
                <w:color w:val="FFFFFF"/>
                <w:vertAlign w:val="superscript"/>
              </w:rPr>
              <w:t>(2)</w:t>
            </w:r>
          </w:p>
        </w:tc>
        <w:tc>
          <w:tcPr>
            <w:tcW w:w="1440" w:type="dxa"/>
            <w:vAlign w:val="bottom"/>
            <w:vMerge w:val="continue"/>
            <w:shd w:val="clear" w:color="auto" w:fill="0067B3"/>
          </w:tcPr>
          <w:p>
            <w:pPr>
              <w:spacing w:after="0"/>
              <w:rPr>
                <w:sz w:val="5"/>
                <w:szCs w:val="5"/>
                <w:color w:val="auto"/>
              </w:rPr>
            </w:pPr>
          </w:p>
        </w:tc>
        <w:tc>
          <w:tcPr>
            <w:tcW w:w="1280" w:type="dxa"/>
            <w:vAlign w:val="bottom"/>
            <w:vMerge w:val="continue"/>
            <w:shd w:val="clear" w:color="auto" w:fill="0067B3"/>
          </w:tcPr>
          <w:p>
            <w:pPr>
              <w:spacing w:after="0"/>
              <w:rPr>
                <w:sz w:val="5"/>
                <w:szCs w:val="5"/>
                <w:color w:val="auto"/>
              </w:rPr>
            </w:pPr>
          </w:p>
        </w:tc>
        <w:tc>
          <w:tcPr>
            <w:tcW w:w="0" w:type="dxa"/>
            <w:vAlign w:val="bottom"/>
          </w:tcPr>
          <w:p>
            <w:pPr>
              <w:spacing w:after="0"/>
              <w:rPr>
                <w:sz w:val="1"/>
                <w:szCs w:val="1"/>
                <w:color w:val="auto"/>
              </w:rPr>
            </w:pPr>
          </w:p>
        </w:tc>
      </w:tr>
      <w:tr>
        <w:trPr>
          <w:trHeight w:val="175"/>
        </w:trPr>
        <w:tc>
          <w:tcPr>
            <w:tcW w:w="1980" w:type="dxa"/>
            <w:vAlign w:val="bottom"/>
            <w:shd w:val="clear" w:color="auto" w:fill="0067B3"/>
          </w:tcPr>
          <w:p>
            <w:pPr>
              <w:spacing w:after="0"/>
              <w:rPr>
                <w:sz w:val="15"/>
                <w:szCs w:val="15"/>
                <w:color w:val="auto"/>
              </w:rPr>
            </w:pPr>
          </w:p>
        </w:tc>
        <w:tc>
          <w:tcPr>
            <w:tcW w:w="1060" w:type="dxa"/>
            <w:vAlign w:val="bottom"/>
            <w:shd w:val="clear" w:color="auto" w:fill="0067B3"/>
          </w:tcPr>
          <w:p>
            <w:pPr>
              <w:spacing w:after="0"/>
              <w:rPr>
                <w:sz w:val="15"/>
                <w:szCs w:val="15"/>
                <w:color w:val="auto"/>
              </w:rPr>
            </w:pPr>
          </w:p>
        </w:tc>
        <w:tc>
          <w:tcPr>
            <w:tcW w:w="2860" w:type="dxa"/>
            <w:vAlign w:val="bottom"/>
            <w:gridSpan w:val="4"/>
            <w:vMerge w:val="continue"/>
            <w:shd w:val="clear" w:color="auto" w:fill="0067B3"/>
          </w:tcPr>
          <w:p>
            <w:pPr>
              <w:spacing w:after="0"/>
              <w:rPr>
                <w:sz w:val="15"/>
                <w:szCs w:val="15"/>
                <w:color w:val="auto"/>
              </w:rPr>
            </w:pPr>
          </w:p>
        </w:tc>
        <w:tc>
          <w:tcPr>
            <w:tcW w:w="2620" w:type="dxa"/>
            <w:vAlign w:val="bottom"/>
            <w:gridSpan w:val="3"/>
            <w:vMerge w:val="continue"/>
            <w:shd w:val="clear" w:color="auto" w:fill="0067B3"/>
          </w:tcPr>
          <w:p>
            <w:pPr>
              <w:spacing w:after="0"/>
              <w:rPr>
                <w:sz w:val="15"/>
                <w:szCs w:val="15"/>
                <w:color w:val="auto"/>
              </w:rPr>
            </w:pPr>
          </w:p>
        </w:tc>
        <w:tc>
          <w:tcPr>
            <w:tcW w:w="1440" w:type="dxa"/>
            <w:vAlign w:val="bottom"/>
            <w:shd w:val="clear" w:color="auto" w:fill="0067B3"/>
          </w:tcPr>
          <w:p>
            <w:pPr>
              <w:jc w:val="right"/>
              <w:ind w:right="12"/>
              <w:spacing w:after="0" w:line="175" w:lineRule="exact"/>
              <w:rPr>
                <w:sz w:val="20"/>
                <w:szCs w:val="20"/>
                <w:color w:val="auto"/>
              </w:rPr>
            </w:pPr>
            <w:r>
              <w:rPr>
                <w:rFonts w:ascii="Arial" w:cs="Arial" w:eastAsia="Arial" w:hAnsi="Arial"/>
                <w:sz w:val="16"/>
                <w:szCs w:val="16"/>
                <w:b w:val="1"/>
                <w:bCs w:val="1"/>
                <w:color w:val="FFFFFF"/>
              </w:rPr>
              <w:t>Number of</w:t>
            </w:r>
          </w:p>
        </w:tc>
        <w:tc>
          <w:tcPr>
            <w:tcW w:w="1280" w:type="dxa"/>
            <w:vAlign w:val="bottom"/>
            <w:shd w:val="clear" w:color="auto" w:fill="0067B3"/>
          </w:tcPr>
          <w:p>
            <w:pPr>
              <w:jc w:val="right"/>
              <w:spacing w:after="0" w:line="175" w:lineRule="exact"/>
              <w:rPr>
                <w:sz w:val="20"/>
                <w:szCs w:val="20"/>
                <w:color w:val="auto"/>
              </w:rPr>
            </w:pPr>
            <w:r>
              <w:rPr>
                <w:rFonts w:ascii="Arial" w:cs="Arial" w:eastAsia="Arial" w:hAnsi="Arial"/>
                <w:sz w:val="16"/>
                <w:szCs w:val="16"/>
                <w:b w:val="1"/>
                <w:bCs w:val="1"/>
                <w:color w:val="FFFFFF"/>
              </w:rPr>
              <w:t>Value of Stock</w:t>
            </w:r>
          </w:p>
        </w:tc>
        <w:tc>
          <w:tcPr>
            <w:tcW w:w="0" w:type="dxa"/>
            <w:vAlign w:val="bottom"/>
          </w:tcPr>
          <w:p>
            <w:pPr>
              <w:spacing w:after="0"/>
              <w:rPr>
                <w:sz w:val="1"/>
                <w:szCs w:val="1"/>
                <w:color w:val="auto"/>
              </w:rPr>
            </w:pPr>
          </w:p>
        </w:tc>
      </w:tr>
      <w:tr>
        <w:trPr>
          <w:trHeight w:val="189"/>
        </w:trPr>
        <w:tc>
          <w:tcPr>
            <w:tcW w:w="1980" w:type="dxa"/>
            <w:vAlign w:val="bottom"/>
            <w:vMerge w:val="restart"/>
            <w:shd w:val="clear" w:color="auto" w:fill="0067B3"/>
          </w:tcPr>
          <w:p>
            <w:pPr>
              <w:ind w:left="20"/>
              <w:spacing w:after="0"/>
              <w:rPr>
                <w:sz w:val="20"/>
                <w:szCs w:val="20"/>
                <w:color w:val="auto"/>
              </w:rPr>
            </w:pPr>
            <w:r>
              <w:rPr>
                <w:rFonts w:ascii="Arial" w:cs="Arial" w:eastAsia="Arial" w:hAnsi="Arial"/>
                <w:sz w:val="16"/>
                <w:szCs w:val="16"/>
                <w:b w:val="1"/>
                <w:bCs w:val="1"/>
                <w:color w:val="FFFFFF"/>
              </w:rPr>
              <w:t>Name</w:t>
            </w:r>
          </w:p>
        </w:tc>
        <w:tc>
          <w:tcPr>
            <w:tcW w:w="1060" w:type="dxa"/>
            <w:vAlign w:val="bottom"/>
            <w:vMerge w:val="restart"/>
            <w:shd w:val="clear" w:color="auto" w:fill="0067B3"/>
          </w:tcPr>
          <w:p>
            <w:pPr>
              <w:jc w:val="right"/>
              <w:ind w:right="30"/>
              <w:spacing w:after="0"/>
              <w:rPr>
                <w:sz w:val="20"/>
                <w:szCs w:val="20"/>
                <w:color w:val="auto"/>
              </w:rPr>
            </w:pPr>
            <w:r>
              <w:rPr>
                <w:rFonts w:ascii="Arial" w:cs="Arial" w:eastAsia="Arial" w:hAnsi="Arial"/>
                <w:sz w:val="16"/>
                <w:szCs w:val="16"/>
                <w:b w:val="1"/>
                <w:bCs w:val="1"/>
                <w:color w:val="FFFFFF"/>
              </w:rPr>
              <w:t>Grant Date</w:t>
            </w:r>
          </w:p>
        </w:tc>
        <w:tc>
          <w:tcPr>
            <w:tcW w:w="940" w:type="dxa"/>
            <w:vAlign w:val="bottom"/>
            <w:gridSpan w:val="2"/>
            <w:shd w:val="clear" w:color="auto" w:fill="0067B3"/>
          </w:tcPr>
          <w:p>
            <w:pPr>
              <w:ind w:left="140"/>
              <w:spacing w:after="0"/>
              <w:rPr>
                <w:sz w:val="20"/>
                <w:szCs w:val="20"/>
                <w:color w:val="auto"/>
              </w:rPr>
            </w:pPr>
            <w:r>
              <w:rPr>
                <w:rFonts w:ascii="Arial" w:cs="Arial" w:eastAsia="Arial" w:hAnsi="Arial"/>
                <w:sz w:val="16"/>
                <w:szCs w:val="16"/>
                <w:b w:val="1"/>
                <w:bCs w:val="1"/>
                <w:color w:val="FFFFFF"/>
              </w:rPr>
              <w:t>Threshold</w:t>
            </w:r>
          </w:p>
        </w:tc>
        <w:tc>
          <w:tcPr>
            <w:tcW w:w="940" w:type="dxa"/>
            <w:vAlign w:val="bottom"/>
            <w:shd w:val="clear" w:color="auto" w:fill="0067B3"/>
          </w:tcPr>
          <w:p>
            <w:pPr>
              <w:jc w:val="right"/>
              <w:spacing w:after="0"/>
              <w:rPr>
                <w:sz w:val="20"/>
                <w:szCs w:val="20"/>
                <w:color w:val="auto"/>
              </w:rPr>
            </w:pPr>
            <w:r>
              <w:rPr>
                <w:rFonts w:ascii="Arial" w:cs="Arial" w:eastAsia="Arial" w:hAnsi="Arial"/>
                <w:sz w:val="16"/>
                <w:szCs w:val="16"/>
                <w:b w:val="1"/>
                <w:bCs w:val="1"/>
                <w:color w:val="FFFFFF"/>
              </w:rPr>
              <w:t>Target</w:t>
            </w:r>
          </w:p>
        </w:tc>
        <w:tc>
          <w:tcPr>
            <w:tcW w:w="980" w:type="dxa"/>
            <w:vAlign w:val="bottom"/>
            <w:shd w:val="clear" w:color="auto" w:fill="0067B3"/>
          </w:tcPr>
          <w:p>
            <w:pPr>
              <w:jc w:val="right"/>
              <w:spacing w:after="0"/>
              <w:rPr>
                <w:sz w:val="20"/>
                <w:szCs w:val="20"/>
                <w:color w:val="auto"/>
              </w:rPr>
            </w:pPr>
            <w:r>
              <w:rPr>
                <w:rFonts w:ascii="Arial" w:cs="Arial" w:eastAsia="Arial" w:hAnsi="Arial"/>
                <w:sz w:val="16"/>
                <w:szCs w:val="16"/>
                <w:b w:val="1"/>
                <w:bCs w:val="1"/>
                <w:color w:val="FFFFFF"/>
              </w:rPr>
              <w:t>Maximum</w:t>
            </w:r>
          </w:p>
        </w:tc>
        <w:tc>
          <w:tcPr>
            <w:tcW w:w="1000" w:type="dxa"/>
            <w:vAlign w:val="bottom"/>
            <w:shd w:val="clear" w:color="auto" w:fill="0067B3"/>
          </w:tcPr>
          <w:p>
            <w:pPr>
              <w:ind w:left="80"/>
              <w:spacing w:after="0"/>
              <w:rPr>
                <w:sz w:val="20"/>
                <w:szCs w:val="20"/>
                <w:color w:val="auto"/>
              </w:rPr>
            </w:pPr>
            <w:r>
              <w:rPr>
                <w:rFonts w:ascii="Arial" w:cs="Arial" w:eastAsia="Arial" w:hAnsi="Arial"/>
                <w:sz w:val="16"/>
                <w:szCs w:val="16"/>
                <w:b w:val="1"/>
                <w:bCs w:val="1"/>
                <w:color w:val="FFFFFF"/>
              </w:rPr>
              <w:t>Threshold</w:t>
            </w:r>
          </w:p>
        </w:tc>
        <w:tc>
          <w:tcPr>
            <w:tcW w:w="780" w:type="dxa"/>
            <w:vAlign w:val="bottom"/>
            <w:shd w:val="clear" w:color="auto" w:fill="0067B3"/>
          </w:tcPr>
          <w:p>
            <w:pPr>
              <w:jc w:val="right"/>
              <w:spacing w:after="0"/>
              <w:rPr>
                <w:sz w:val="20"/>
                <w:szCs w:val="20"/>
                <w:color w:val="auto"/>
              </w:rPr>
            </w:pPr>
            <w:r>
              <w:rPr>
                <w:rFonts w:ascii="Arial" w:cs="Arial" w:eastAsia="Arial" w:hAnsi="Arial"/>
                <w:sz w:val="16"/>
                <w:szCs w:val="16"/>
                <w:b w:val="1"/>
                <w:bCs w:val="1"/>
                <w:color w:val="FFFFFF"/>
              </w:rPr>
              <w:t>Target</w:t>
            </w:r>
          </w:p>
        </w:tc>
        <w:tc>
          <w:tcPr>
            <w:tcW w:w="840" w:type="dxa"/>
            <w:vAlign w:val="bottom"/>
            <w:shd w:val="clear" w:color="auto" w:fill="0067B3"/>
          </w:tcPr>
          <w:p>
            <w:pPr>
              <w:jc w:val="right"/>
              <w:spacing w:after="0"/>
              <w:rPr>
                <w:sz w:val="20"/>
                <w:szCs w:val="20"/>
                <w:color w:val="auto"/>
              </w:rPr>
            </w:pPr>
            <w:r>
              <w:rPr>
                <w:rFonts w:ascii="Arial" w:cs="Arial" w:eastAsia="Arial" w:hAnsi="Arial"/>
                <w:sz w:val="16"/>
                <w:szCs w:val="16"/>
                <w:b w:val="1"/>
                <w:bCs w:val="1"/>
                <w:color w:val="FFFFFF"/>
              </w:rPr>
              <w:t>Maximum</w:t>
            </w:r>
          </w:p>
        </w:tc>
        <w:tc>
          <w:tcPr>
            <w:tcW w:w="1440" w:type="dxa"/>
            <w:vAlign w:val="bottom"/>
            <w:shd w:val="clear" w:color="auto" w:fill="0067B3"/>
          </w:tcPr>
          <w:p>
            <w:pPr>
              <w:jc w:val="right"/>
              <w:ind w:right="12"/>
              <w:spacing w:after="0"/>
              <w:rPr>
                <w:sz w:val="20"/>
                <w:szCs w:val="20"/>
                <w:color w:val="auto"/>
              </w:rPr>
            </w:pPr>
            <w:r>
              <w:rPr>
                <w:rFonts w:ascii="Arial" w:cs="Arial" w:eastAsia="Arial" w:hAnsi="Arial"/>
                <w:sz w:val="16"/>
                <w:szCs w:val="16"/>
                <w:b w:val="1"/>
                <w:bCs w:val="1"/>
                <w:color w:val="FFFFFF"/>
              </w:rPr>
              <w:t>Shares of Stock</w:t>
            </w:r>
          </w:p>
        </w:tc>
        <w:tc>
          <w:tcPr>
            <w:tcW w:w="1280" w:type="dxa"/>
            <w:vAlign w:val="bottom"/>
            <w:shd w:val="clear" w:color="auto" w:fill="0067B3"/>
          </w:tcPr>
          <w:p>
            <w:pPr>
              <w:jc w:val="right"/>
              <w:spacing w:after="0"/>
              <w:rPr>
                <w:sz w:val="20"/>
                <w:szCs w:val="20"/>
                <w:color w:val="auto"/>
              </w:rPr>
            </w:pPr>
            <w:r>
              <w:rPr>
                <w:rFonts w:ascii="Arial" w:cs="Arial" w:eastAsia="Arial" w:hAnsi="Arial"/>
                <w:sz w:val="16"/>
                <w:szCs w:val="16"/>
                <w:b w:val="1"/>
                <w:bCs w:val="1"/>
                <w:color w:val="FFFFFF"/>
              </w:rPr>
              <w:t>Awards</w:t>
            </w:r>
          </w:p>
        </w:tc>
        <w:tc>
          <w:tcPr>
            <w:tcW w:w="0" w:type="dxa"/>
            <w:vAlign w:val="bottom"/>
          </w:tcPr>
          <w:p>
            <w:pPr>
              <w:spacing w:after="0"/>
              <w:rPr>
                <w:sz w:val="1"/>
                <w:szCs w:val="1"/>
                <w:color w:val="auto"/>
              </w:rPr>
            </w:pPr>
          </w:p>
        </w:tc>
      </w:tr>
      <w:tr>
        <w:trPr>
          <w:trHeight w:val="230"/>
        </w:trPr>
        <w:tc>
          <w:tcPr>
            <w:tcW w:w="1980" w:type="dxa"/>
            <w:vAlign w:val="bottom"/>
            <w:vMerge w:val="continue"/>
            <w:shd w:val="clear" w:color="auto" w:fill="0067B3"/>
          </w:tcPr>
          <w:p>
            <w:pPr>
              <w:spacing w:after="0"/>
              <w:rPr>
                <w:sz w:val="20"/>
                <w:szCs w:val="20"/>
                <w:color w:val="auto"/>
              </w:rPr>
            </w:pPr>
          </w:p>
        </w:tc>
        <w:tc>
          <w:tcPr>
            <w:tcW w:w="1060" w:type="dxa"/>
            <w:vAlign w:val="bottom"/>
            <w:vMerge w:val="continue"/>
            <w:shd w:val="clear" w:color="auto" w:fill="0067B3"/>
          </w:tcPr>
          <w:p>
            <w:pPr>
              <w:spacing w:after="0"/>
              <w:rPr>
                <w:sz w:val="20"/>
                <w:szCs w:val="20"/>
                <w:color w:val="auto"/>
              </w:rPr>
            </w:pPr>
          </w:p>
        </w:tc>
        <w:tc>
          <w:tcPr>
            <w:tcW w:w="940" w:type="dxa"/>
            <w:vAlign w:val="bottom"/>
            <w:gridSpan w:val="2"/>
            <w:shd w:val="clear" w:color="auto" w:fill="0067B3"/>
          </w:tcPr>
          <w:p>
            <w:pPr>
              <w:ind w:left="720"/>
              <w:spacing w:after="0"/>
              <w:rPr>
                <w:sz w:val="20"/>
                <w:szCs w:val="20"/>
                <w:color w:val="auto"/>
              </w:rPr>
            </w:pPr>
            <w:r>
              <w:rPr>
                <w:rFonts w:ascii="Arial" w:cs="Arial" w:eastAsia="Arial" w:hAnsi="Arial"/>
                <w:sz w:val="16"/>
                <w:szCs w:val="16"/>
                <w:b w:val="1"/>
                <w:bCs w:val="1"/>
                <w:color w:val="FFFFFF"/>
              </w:rPr>
              <w:t>($)</w:t>
            </w:r>
          </w:p>
        </w:tc>
        <w:tc>
          <w:tcPr>
            <w:tcW w:w="940" w:type="dxa"/>
            <w:vAlign w:val="bottom"/>
            <w:shd w:val="clear" w:color="auto" w:fill="0067B3"/>
          </w:tcPr>
          <w:p>
            <w:pPr>
              <w:jc w:val="right"/>
              <w:spacing w:after="0"/>
              <w:rPr>
                <w:sz w:val="20"/>
                <w:szCs w:val="20"/>
                <w:color w:val="auto"/>
              </w:rPr>
            </w:pPr>
            <w:r>
              <w:rPr>
                <w:rFonts w:ascii="Arial" w:cs="Arial" w:eastAsia="Arial" w:hAnsi="Arial"/>
                <w:sz w:val="16"/>
                <w:szCs w:val="16"/>
                <w:b w:val="1"/>
                <w:bCs w:val="1"/>
                <w:color w:val="FFFFFF"/>
              </w:rPr>
              <w:t>($)</w:t>
            </w:r>
          </w:p>
        </w:tc>
        <w:tc>
          <w:tcPr>
            <w:tcW w:w="980" w:type="dxa"/>
            <w:vAlign w:val="bottom"/>
            <w:shd w:val="clear" w:color="auto" w:fill="0067B3"/>
          </w:tcPr>
          <w:p>
            <w:pPr>
              <w:jc w:val="right"/>
              <w:spacing w:after="0"/>
              <w:rPr>
                <w:sz w:val="20"/>
                <w:szCs w:val="20"/>
                <w:color w:val="auto"/>
              </w:rPr>
            </w:pPr>
            <w:r>
              <w:rPr>
                <w:rFonts w:ascii="Arial" w:cs="Arial" w:eastAsia="Arial" w:hAnsi="Arial"/>
                <w:sz w:val="16"/>
                <w:szCs w:val="16"/>
                <w:b w:val="1"/>
                <w:bCs w:val="1"/>
                <w:color w:val="FFFFFF"/>
              </w:rPr>
              <w:t>($)</w:t>
            </w:r>
          </w:p>
        </w:tc>
        <w:tc>
          <w:tcPr>
            <w:tcW w:w="1000" w:type="dxa"/>
            <w:vAlign w:val="bottom"/>
            <w:shd w:val="clear" w:color="auto" w:fill="0067B3"/>
          </w:tcPr>
          <w:p>
            <w:pPr>
              <w:ind w:left="660"/>
              <w:spacing w:after="0"/>
              <w:rPr>
                <w:sz w:val="20"/>
                <w:szCs w:val="20"/>
                <w:color w:val="auto"/>
              </w:rPr>
            </w:pPr>
            <w:r>
              <w:rPr>
                <w:rFonts w:ascii="Arial" w:cs="Arial" w:eastAsia="Arial" w:hAnsi="Arial"/>
                <w:sz w:val="16"/>
                <w:szCs w:val="16"/>
                <w:b w:val="1"/>
                <w:bCs w:val="1"/>
                <w:color w:val="FFFFFF"/>
              </w:rPr>
              <w:t>(#)</w:t>
            </w:r>
          </w:p>
        </w:tc>
        <w:tc>
          <w:tcPr>
            <w:tcW w:w="780" w:type="dxa"/>
            <w:vAlign w:val="bottom"/>
            <w:shd w:val="clear" w:color="auto" w:fill="0067B3"/>
          </w:tcPr>
          <w:p>
            <w:pPr>
              <w:jc w:val="right"/>
              <w:spacing w:after="0"/>
              <w:rPr>
                <w:sz w:val="20"/>
                <w:szCs w:val="20"/>
                <w:color w:val="auto"/>
              </w:rPr>
            </w:pPr>
            <w:r>
              <w:rPr>
                <w:rFonts w:ascii="Arial" w:cs="Arial" w:eastAsia="Arial" w:hAnsi="Arial"/>
                <w:sz w:val="16"/>
                <w:szCs w:val="16"/>
                <w:b w:val="1"/>
                <w:bCs w:val="1"/>
                <w:color w:val="FFFFFF"/>
              </w:rPr>
              <w:t>(#)</w:t>
            </w:r>
          </w:p>
        </w:tc>
        <w:tc>
          <w:tcPr>
            <w:tcW w:w="840" w:type="dxa"/>
            <w:vAlign w:val="bottom"/>
            <w:shd w:val="clear" w:color="auto" w:fill="0067B3"/>
          </w:tcPr>
          <w:p>
            <w:pPr>
              <w:jc w:val="right"/>
              <w:spacing w:after="0"/>
              <w:rPr>
                <w:sz w:val="20"/>
                <w:szCs w:val="20"/>
                <w:color w:val="auto"/>
              </w:rPr>
            </w:pPr>
            <w:r>
              <w:rPr>
                <w:rFonts w:ascii="Arial" w:cs="Arial" w:eastAsia="Arial" w:hAnsi="Arial"/>
                <w:sz w:val="16"/>
                <w:szCs w:val="16"/>
                <w:b w:val="1"/>
                <w:bCs w:val="1"/>
                <w:color w:val="FFFFFF"/>
              </w:rPr>
              <w:t>(#)</w:t>
            </w:r>
          </w:p>
        </w:tc>
        <w:tc>
          <w:tcPr>
            <w:tcW w:w="1440" w:type="dxa"/>
            <w:vAlign w:val="bottom"/>
            <w:shd w:val="clear" w:color="auto" w:fill="0067B3"/>
          </w:tcPr>
          <w:p>
            <w:pPr>
              <w:jc w:val="right"/>
              <w:ind w:right="12"/>
              <w:spacing w:after="0" w:line="230" w:lineRule="exact"/>
              <w:rPr>
                <w:sz w:val="20"/>
                <w:szCs w:val="20"/>
                <w:color w:val="auto"/>
              </w:rPr>
            </w:pPr>
            <w:r>
              <w:rPr>
                <w:rFonts w:ascii="Arial" w:cs="Arial" w:eastAsia="Arial" w:hAnsi="Arial"/>
                <w:sz w:val="16"/>
                <w:szCs w:val="16"/>
                <w:b w:val="1"/>
                <w:bCs w:val="1"/>
                <w:color w:val="FFFFFF"/>
              </w:rPr>
              <w:t>or Units(#)</w:t>
            </w:r>
            <w:r>
              <w:rPr>
                <w:rFonts w:ascii="Arial" w:cs="Arial" w:eastAsia="Arial" w:hAnsi="Arial"/>
                <w:sz w:val="21"/>
                <w:szCs w:val="21"/>
                <w:b w:val="1"/>
                <w:bCs w:val="1"/>
                <w:color w:val="FFFFFF"/>
                <w:vertAlign w:val="superscript"/>
              </w:rPr>
              <w:t>(3)</w:t>
            </w:r>
          </w:p>
        </w:tc>
        <w:tc>
          <w:tcPr>
            <w:tcW w:w="1280" w:type="dxa"/>
            <w:vAlign w:val="bottom"/>
            <w:shd w:val="clear" w:color="auto" w:fill="0067B3"/>
          </w:tcPr>
          <w:p>
            <w:pPr>
              <w:jc w:val="right"/>
              <w:spacing w:after="0" w:line="230" w:lineRule="exact"/>
              <w:rPr>
                <w:sz w:val="20"/>
                <w:szCs w:val="20"/>
                <w:color w:val="auto"/>
              </w:rPr>
            </w:pPr>
            <w:r>
              <w:rPr>
                <w:rFonts w:ascii="Arial" w:cs="Arial" w:eastAsia="Arial" w:hAnsi="Arial"/>
                <w:sz w:val="26"/>
                <w:szCs w:val="26"/>
                <w:b w:val="1"/>
                <w:bCs w:val="1"/>
                <w:color w:val="FFFFFF"/>
                <w:vertAlign w:val="subscript"/>
              </w:rPr>
              <w:t>($)</w:t>
            </w:r>
            <w:r>
              <w:rPr>
                <w:rFonts w:ascii="Arial" w:cs="Arial" w:eastAsia="Arial" w:hAnsi="Arial"/>
                <w:sz w:val="9"/>
                <w:szCs w:val="9"/>
                <w:b w:val="1"/>
                <w:bCs w:val="1"/>
                <w:color w:val="FFFFFF"/>
              </w:rPr>
              <w:t>(4)</w:t>
            </w:r>
          </w:p>
        </w:tc>
        <w:tc>
          <w:tcPr>
            <w:tcW w:w="0" w:type="dxa"/>
            <w:vAlign w:val="bottom"/>
          </w:tcPr>
          <w:p>
            <w:pPr>
              <w:spacing w:after="0"/>
              <w:rPr>
                <w:sz w:val="1"/>
                <w:szCs w:val="1"/>
                <w:color w:val="auto"/>
              </w:rPr>
            </w:pPr>
          </w:p>
        </w:tc>
      </w:tr>
      <w:tr>
        <w:trPr>
          <w:trHeight w:val="239"/>
        </w:trPr>
        <w:tc>
          <w:tcPr>
            <w:tcW w:w="1980" w:type="dxa"/>
            <w:vAlign w:val="bottom"/>
            <w:vMerge w:val="restart"/>
            <w:shd w:val="clear" w:color="auto" w:fill="E2E6F4"/>
          </w:tcPr>
          <w:p>
            <w:pPr>
              <w:ind w:left="20"/>
              <w:spacing w:after="0"/>
              <w:rPr>
                <w:sz w:val="20"/>
                <w:szCs w:val="20"/>
                <w:color w:val="auto"/>
              </w:rPr>
            </w:pPr>
            <w:r>
              <w:rPr>
                <w:rFonts w:ascii="Arial" w:cs="Arial" w:eastAsia="Arial" w:hAnsi="Arial"/>
                <w:sz w:val="18"/>
                <w:szCs w:val="18"/>
                <w:b w:val="1"/>
                <w:bCs w:val="1"/>
                <w:color w:val="0067B3"/>
              </w:rPr>
              <w:t>Vincent Roche</w:t>
            </w:r>
          </w:p>
        </w:tc>
        <w:tc>
          <w:tcPr>
            <w:tcW w:w="1060" w:type="dxa"/>
            <w:vAlign w:val="bottom"/>
            <w:shd w:val="clear" w:color="auto" w:fill="E2E6F4"/>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E2E6F4"/>
          </w:tcPr>
          <w:p>
            <w:pPr>
              <w:ind w:left="680"/>
              <w:spacing w:after="0"/>
              <w:rPr>
                <w:sz w:val="20"/>
                <w:szCs w:val="20"/>
                <w:color w:val="auto"/>
              </w:rPr>
            </w:pPr>
            <w:r>
              <w:rPr>
                <w:rFonts w:ascii="Arial" w:cs="Arial" w:eastAsia="Arial" w:hAnsi="Arial"/>
                <w:sz w:val="18"/>
                <w:szCs w:val="18"/>
                <w:color w:val="auto"/>
              </w:rPr>
              <w:t>—</w:t>
            </w:r>
          </w:p>
        </w:tc>
        <w:tc>
          <w:tcPr>
            <w:tcW w:w="940" w:type="dxa"/>
            <w:vAlign w:val="bottom"/>
            <w:shd w:val="clear" w:color="auto" w:fill="E2E6F4"/>
          </w:tcPr>
          <w:p>
            <w:pPr>
              <w:jc w:val="right"/>
              <w:spacing w:after="0"/>
              <w:rPr>
                <w:sz w:val="20"/>
                <w:szCs w:val="20"/>
                <w:color w:val="auto"/>
              </w:rPr>
            </w:pPr>
            <w:r>
              <w:rPr>
                <w:rFonts w:ascii="Arial" w:cs="Arial" w:eastAsia="Arial" w:hAnsi="Arial"/>
                <w:sz w:val="18"/>
                <w:szCs w:val="18"/>
                <w:color w:val="auto"/>
              </w:rPr>
              <w:t>2,400,000</w:t>
            </w:r>
          </w:p>
        </w:tc>
        <w:tc>
          <w:tcPr>
            <w:tcW w:w="980" w:type="dxa"/>
            <w:vAlign w:val="bottom"/>
            <w:shd w:val="clear" w:color="auto" w:fill="E2E6F4"/>
          </w:tcPr>
          <w:p>
            <w:pPr>
              <w:jc w:val="right"/>
              <w:ind w:right="51"/>
              <w:spacing w:after="0"/>
              <w:rPr>
                <w:sz w:val="20"/>
                <w:szCs w:val="20"/>
                <w:color w:val="auto"/>
              </w:rPr>
            </w:pPr>
            <w:r>
              <w:rPr>
                <w:rFonts w:ascii="Arial" w:cs="Arial" w:eastAsia="Arial" w:hAnsi="Arial"/>
                <w:sz w:val="18"/>
                <w:szCs w:val="18"/>
                <w:color w:val="auto"/>
              </w:rPr>
              <w:t>6,000,000</w:t>
            </w:r>
          </w:p>
        </w:tc>
        <w:tc>
          <w:tcPr>
            <w:tcW w:w="1000" w:type="dxa"/>
            <w:vAlign w:val="bottom"/>
            <w:shd w:val="clear" w:color="auto" w:fill="E2E6F4"/>
          </w:tcPr>
          <w:p>
            <w:pPr>
              <w:ind w:left="620"/>
              <w:spacing w:after="0"/>
              <w:rPr>
                <w:sz w:val="20"/>
                <w:szCs w:val="20"/>
                <w:color w:val="auto"/>
              </w:rPr>
            </w:pPr>
            <w:r>
              <w:rPr>
                <w:rFonts w:ascii="Arial" w:cs="Arial" w:eastAsia="Arial" w:hAnsi="Arial"/>
                <w:sz w:val="18"/>
                <w:szCs w:val="18"/>
                <w:color w:val="auto"/>
              </w:rPr>
              <w:t>—</w:t>
            </w:r>
          </w:p>
        </w:tc>
        <w:tc>
          <w:tcPr>
            <w:tcW w:w="780" w:type="dxa"/>
            <w:vAlign w:val="bottom"/>
            <w:shd w:val="clear" w:color="auto" w:fill="E2E6F4"/>
          </w:tcPr>
          <w:p>
            <w:pPr>
              <w:jc w:val="right"/>
              <w:ind w:right="11"/>
              <w:spacing w:after="0"/>
              <w:rPr>
                <w:sz w:val="20"/>
                <w:szCs w:val="20"/>
                <w:color w:val="auto"/>
              </w:rPr>
            </w:pPr>
            <w:r>
              <w:rPr>
                <w:rFonts w:ascii="Arial" w:cs="Arial" w:eastAsia="Arial" w:hAnsi="Arial"/>
                <w:sz w:val="18"/>
                <w:szCs w:val="18"/>
                <w:color w:val="auto"/>
              </w:rPr>
              <w:t>—</w:t>
            </w:r>
          </w:p>
        </w:tc>
        <w:tc>
          <w:tcPr>
            <w:tcW w:w="840" w:type="dxa"/>
            <w:vAlign w:val="bottom"/>
            <w:shd w:val="clear" w:color="auto" w:fill="E2E6F4"/>
          </w:tcPr>
          <w:p>
            <w:pPr>
              <w:jc w:val="right"/>
              <w:spacing w:after="0"/>
              <w:rPr>
                <w:sz w:val="20"/>
                <w:szCs w:val="20"/>
                <w:color w:val="auto"/>
              </w:rPr>
            </w:pPr>
            <w:r>
              <w:rPr>
                <w:rFonts w:ascii="Arial" w:cs="Arial" w:eastAsia="Arial" w:hAnsi="Arial"/>
                <w:sz w:val="18"/>
                <w:szCs w:val="18"/>
                <w:color w:val="auto"/>
              </w:rPr>
              <w:t>—</w:t>
            </w:r>
          </w:p>
        </w:tc>
        <w:tc>
          <w:tcPr>
            <w:tcW w:w="1440" w:type="dxa"/>
            <w:vAlign w:val="bottom"/>
            <w:shd w:val="clear" w:color="auto" w:fill="E2E6F4"/>
          </w:tcPr>
          <w:p>
            <w:pPr>
              <w:jc w:val="right"/>
              <w:ind w:right="72"/>
              <w:spacing w:after="0"/>
              <w:rPr>
                <w:sz w:val="20"/>
                <w:szCs w:val="20"/>
                <w:color w:val="auto"/>
              </w:rPr>
            </w:pPr>
            <w:r>
              <w:rPr>
                <w:rFonts w:ascii="Arial" w:cs="Arial" w:eastAsia="Arial" w:hAnsi="Arial"/>
                <w:sz w:val="18"/>
                <w:szCs w:val="18"/>
                <w:color w:val="auto"/>
              </w:rPr>
              <w:t>—</w:t>
            </w:r>
          </w:p>
        </w:tc>
        <w:tc>
          <w:tcPr>
            <w:tcW w:w="1280" w:type="dxa"/>
            <w:vAlign w:val="bottom"/>
            <w:shd w:val="clear" w:color="auto" w:fill="E2E6F4"/>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11"/>
        </w:trPr>
        <w:tc>
          <w:tcPr>
            <w:tcW w:w="1980" w:type="dxa"/>
            <w:vAlign w:val="bottom"/>
            <w:vMerge w:val="continue"/>
            <w:shd w:val="clear" w:color="auto" w:fill="E2E6F4"/>
          </w:tcPr>
          <w:p>
            <w:pPr>
              <w:spacing w:after="0"/>
              <w:rPr>
                <w:sz w:val="9"/>
                <w:szCs w:val="9"/>
                <w:color w:val="auto"/>
              </w:rPr>
            </w:pPr>
          </w:p>
        </w:tc>
        <w:tc>
          <w:tcPr>
            <w:tcW w:w="1060" w:type="dxa"/>
            <w:vAlign w:val="bottom"/>
            <w:vMerge w:val="restart"/>
            <w:shd w:val="clear" w:color="auto" w:fill="E2E6F4"/>
          </w:tcPr>
          <w:p>
            <w:pPr>
              <w:jc w:val="right"/>
              <w:spacing w:after="0"/>
              <w:rPr>
                <w:sz w:val="20"/>
                <w:szCs w:val="20"/>
                <w:color w:val="auto"/>
              </w:rPr>
            </w:pPr>
            <w:r>
              <w:rPr>
                <w:rFonts w:ascii="Arial" w:cs="Arial" w:eastAsia="Arial" w:hAnsi="Arial"/>
                <w:sz w:val="18"/>
                <w:szCs w:val="18"/>
                <w:color w:val="auto"/>
              </w:rPr>
              <w:t>4/8/2025</w:t>
            </w:r>
          </w:p>
        </w:tc>
        <w:tc>
          <w:tcPr>
            <w:tcW w:w="900" w:type="dxa"/>
            <w:vAlign w:val="bottom"/>
            <w:vMerge w:val="restart"/>
            <w:shd w:val="clear" w:color="auto" w:fill="E2E6F4"/>
          </w:tcPr>
          <w:p>
            <w:pPr>
              <w:ind w:left="680"/>
              <w:spacing w:after="0"/>
              <w:rPr>
                <w:sz w:val="20"/>
                <w:szCs w:val="20"/>
                <w:color w:val="auto"/>
              </w:rPr>
            </w:pPr>
            <w:r>
              <w:rPr>
                <w:rFonts w:ascii="Arial" w:cs="Arial" w:eastAsia="Arial" w:hAnsi="Arial"/>
                <w:sz w:val="18"/>
                <w:szCs w:val="18"/>
                <w:color w:val="auto"/>
              </w:rPr>
              <w:t>—</w:t>
            </w:r>
          </w:p>
        </w:tc>
        <w:tc>
          <w:tcPr>
            <w:tcW w:w="40" w:type="dxa"/>
            <w:vAlign w:val="bottom"/>
            <w:shd w:val="clear" w:color="auto" w:fill="E2E6F4"/>
          </w:tcPr>
          <w:p>
            <w:pPr>
              <w:spacing w:after="0"/>
              <w:rPr>
                <w:sz w:val="9"/>
                <w:szCs w:val="9"/>
                <w:color w:val="auto"/>
              </w:rPr>
            </w:pPr>
          </w:p>
        </w:tc>
        <w:tc>
          <w:tcPr>
            <w:tcW w:w="940" w:type="dxa"/>
            <w:vAlign w:val="bottom"/>
            <w:vMerge w:val="restart"/>
            <w:shd w:val="clear" w:color="auto" w:fill="E2E6F4"/>
          </w:tcPr>
          <w:p>
            <w:pPr>
              <w:jc w:val="right"/>
              <w:spacing w:after="0"/>
              <w:rPr>
                <w:sz w:val="20"/>
                <w:szCs w:val="20"/>
                <w:color w:val="auto"/>
              </w:rPr>
            </w:pPr>
            <w:r>
              <w:rPr>
                <w:rFonts w:ascii="Arial" w:cs="Arial" w:eastAsia="Arial" w:hAnsi="Arial"/>
                <w:sz w:val="18"/>
                <w:szCs w:val="18"/>
                <w:color w:val="auto"/>
              </w:rPr>
              <w:t>—</w:t>
            </w:r>
          </w:p>
        </w:tc>
        <w:tc>
          <w:tcPr>
            <w:tcW w:w="980" w:type="dxa"/>
            <w:vAlign w:val="bottom"/>
            <w:vMerge w:val="restart"/>
            <w:shd w:val="clear" w:color="auto" w:fill="E2E6F4"/>
          </w:tcPr>
          <w:p>
            <w:pPr>
              <w:jc w:val="right"/>
              <w:ind w:right="51"/>
              <w:spacing w:after="0"/>
              <w:rPr>
                <w:sz w:val="20"/>
                <w:szCs w:val="20"/>
                <w:color w:val="auto"/>
              </w:rPr>
            </w:pPr>
            <w:r>
              <w:rPr>
                <w:rFonts w:ascii="Arial" w:cs="Arial" w:eastAsia="Arial" w:hAnsi="Arial"/>
                <w:sz w:val="18"/>
                <w:szCs w:val="18"/>
                <w:color w:val="auto"/>
              </w:rPr>
              <w:t>—</w:t>
            </w:r>
          </w:p>
        </w:tc>
        <w:tc>
          <w:tcPr>
            <w:tcW w:w="1000" w:type="dxa"/>
            <w:vAlign w:val="bottom"/>
            <w:vMerge w:val="restart"/>
            <w:shd w:val="clear" w:color="auto" w:fill="E2E6F4"/>
          </w:tcPr>
          <w:p>
            <w:pPr>
              <w:ind w:left="620"/>
              <w:spacing w:after="0"/>
              <w:rPr>
                <w:sz w:val="20"/>
                <w:szCs w:val="20"/>
                <w:color w:val="auto"/>
              </w:rPr>
            </w:pPr>
            <w:r>
              <w:rPr>
                <w:rFonts w:ascii="Arial" w:cs="Arial" w:eastAsia="Arial" w:hAnsi="Arial"/>
                <w:sz w:val="18"/>
                <w:szCs w:val="18"/>
                <w:color w:val="auto"/>
              </w:rPr>
              <w:t>—</w:t>
            </w:r>
          </w:p>
        </w:tc>
        <w:tc>
          <w:tcPr>
            <w:tcW w:w="780" w:type="dxa"/>
            <w:vAlign w:val="bottom"/>
            <w:vMerge w:val="restart"/>
            <w:shd w:val="clear" w:color="auto" w:fill="E2E6F4"/>
          </w:tcPr>
          <w:p>
            <w:pPr>
              <w:jc w:val="right"/>
              <w:ind w:right="11"/>
              <w:spacing w:after="0"/>
              <w:rPr>
                <w:sz w:val="20"/>
                <w:szCs w:val="20"/>
                <w:color w:val="auto"/>
              </w:rPr>
            </w:pPr>
            <w:r>
              <w:rPr>
                <w:rFonts w:ascii="Arial" w:cs="Arial" w:eastAsia="Arial" w:hAnsi="Arial"/>
                <w:sz w:val="18"/>
                <w:szCs w:val="18"/>
                <w:color w:val="auto"/>
              </w:rPr>
              <w:t>56,811</w:t>
            </w:r>
          </w:p>
        </w:tc>
        <w:tc>
          <w:tcPr>
            <w:tcW w:w="840" w:type="dxa"/>
            <w:vAlign w:val="bottom"/>
            <w:vMerge w:val="restart"/>
            <w:shd w:val="clear" w:color="auto" w:fill="E2E6F4"/>
          </w:tcPr>
          <w:p>
            <w:pPr>
              <w:jc w:val="right"/>
              <w:spacing w:after="0"/>
              <w:rPr>
                <w:sz w:val="20"/>
                <w:szCs w:val="20"/>
                <w:color w:val="auto"/>
              </w:rPr>
            </w:pPr>
            <w:r>
              <w:rPr>
                <w:rFonts w:ascii="Arial" w:cs="Arial" w:eastAsia="Arial" w:hAnsi="Arial"/>
                <w:sz w:val="18"/>
                <w:szCs w:val="18"/>
                <w:color w:val="auto"/>
              </w:rPr>
              <w:t>113,622</w:t>
            </w:r>
          </w:p>
        </w:tc>
        <w:tc>
          <w:tcPr>
            <w:tcW w:w="1440" w:type="dxa"/>
            <w:vAlign w:val="bottom"/>
            <w:vMerge w:val="restart"/>
            <w:shd w:val="clear" w:color="auto" w:fill="E2E6F4"/>
          </w:tcPr>
          <w:p>
            <w:pPr>
              <w:jc w:val="right"/>
              <w:ind w:right="72"/>
              <w:spacing w:after="0"/>
              <w:rPr>
                <w:sz w:val="20"/>
                <w:szCs w:val="20"/>
                <w:color w:val="auto"/>
              </w:rPr>
            </w:pPr>
            <w:r>
              <w:rPr>
                <w:rFonts w:ascii="Arial" w:cs="Arial" w:eastAsia="Arial" w:hAnsi="Arial"/>
                <w:sz w:val="18"/>
                <w:szCs w:val="18"/>
                <w:color w:val="auto"/>
              </w:rPr>
              <w:t>—</w:t>
            </w:r>
          </w:p>
        </w:tc>
        <w:tc>
          <w:tcPr>
            <w:tcW w:w="1280" w:type="dxa"/>
            <w:vAlign w:val="bottom"/>
            <w:vMerge w:val="restart"/>
            <w:shd w:val="clear" w:color="auto" w:fill="E2E6F4"/>
          </w:tcPr>
          <w:p>
            <w:pPr>
              <w:jc w:val="right"/>
              <w:spacing w:after="0"/>
              <w:rPr>
                <w:sz w:val="20"/>
                <w:szCs w:val="20"/>
                <w:color w:val="auto"/>
              </w:rPr>
            </w:pPr>
            <w:r>
              <w:rPr>
                <w:rFonts w:ascii="Arial" w:cs="Arial" w:eastAsia="Arial" w:hAnsi="Arial"/>
                <w:sz w:val="18"/>
                <w:szCs w:val="18"/>
                <w:color w:val="auto"/>
              </w:rPr>
              <w:t>8,801,728</w:t>
            </w:r>
          </w:p>
        </w:tc>
        <w:tc>
          <w:tcPr>
            <w:tcW w:w="0" w:type="dxa"/>
            <w:vAlign w:val="bottom"/>
          </w:tcPr>
          <w:p>
            <w:pPr>
              <w:spacing w:after="0"/>
              <w:rPr>
                <w:sz w:val="1"/>
                <w:szCs w:val="1"/>
                <w:color w:val="auto"/>
              </w:rPr>
            </w:pPr>
          </w:p>
        </w:tc>
      </w:tr>
      <w:tr>
        <w:trPr>
          <w:trHeight w:val="141"/>
        </w:trPr>
        <w:tc>
          <w:tcPr>
            <w:tcW w:w="1980" w:type="dxa"/>
            <w:vAlign w:val="bottom"/>
            <w:shd w:val="clear" w:color="auto" w:fill="E2E6F4"/>
          </w:tcPr>
          <w:p>
            <w:pPr>
              <w:spacing w:after="0"/>
              <w:rPr>
                <w:sz w:val="12"/>
                <w:szCs w:val="12"/>
                <w:color w:val="auto"/>
              </w:rPr>
            </w:pPr>
          </w:p>
        </w:tc>
        <w:tc>
          <w:tcPr>
            <w:tcW w:w="1060" w:type="dxa"/>
            <w:vAlign w:val="bottom"/>
            <w:vMerge w:val="continue"/>
            <w:shd w:val="clear" w:color="auto" w:fill="E2E6F4"/>
          </w:tcPr>
          <w:p>
            <w:pPr>
              <w:spacing w:after="0"/>
              <w:rPr>
                <w:sz w:val="12"/>
                <w:szCs w:val="12"/>
                <w:color w:val="auto"/>
              </w:rPr>
            </w:pPr>
          </w:p>
        </w:tc>
        <w:tc>
          <w:tcPr>
            <w:tcW w:w="900" w:type="dxa"/>
            <w:vAlign w:val="bottom"/>
            <w:vMerge w:val="continue"/>
            <w:shd w:val="clear" w:color="auto" w:fill="E2E6F4"/>
          </w:tcPr>
          <w:p>
            <w:pPr>
              <w:spacing w:after="0"/>
              <w:rPr>
                <w:sz w:val="12"/>
                <w:szCs w:val="12"/>
                <w:color w:val="auto"/>
              </w:rPr>
            </w:pPr>
          </w:p>
        </w:tc>
        <w:tc>
          <w:tcPr>
            <w:tcW w:w="40" w:type="dxa"/>
            <w:vAlign w:val="bottom"/>
            <w:shd w:val="clear" w:color="auto" w:fill="E2E6F4"/>
          </w:tcPr>
          <w:p>
            <w:pPr>
              <w:spacing w:after="0"/>
              <w:rPr>
                <w:sz w:val="12"/>
                <w:szCs w:val="12"/>
                <w:color w:val="auto"/>
              </w:rPr>
            </w:pPr>
          </w:p>
        </w:tc>
        <w:tc>
          <w:tcPr>
            <w:tcW w:w="940" w:type="dxa"/>
            <w:vAlign w:val="bottom"/>
            <w:vMerge w:val="continue"/>
            <w:shd w:val="clear" w:color="auto" w:fill="E2E6F4"/>
          </w:tcPr>
          <w:p>
            <w:pPr>
              <w:spacing w:after="0"/>
              <w:rPr>
                <w:sz w:val="12"/>
                <w:szCs w:val="12"/>
                <w:color w:val="auto"/>
              </w:rPr>
            </w:pPr>
          </w:p>
        </w:tc>
        <w:tc>
          <w:tcPr>
            <w:tcW w:w="980" w:type="dxa"/>
            <w:vAlign w:val="bottom"/>
            <w:vMerge w:val="continue"/>
            <w:shd w:val="clear" w:color="auto" w:fill="E2E6F4"/>
          </w:tcPr>
          <w:p>
            <w:pPr>
              <w:spacing w:after="0"/>
              <w:rPr>
                <w:sz w:val="12"/>
                <w:szCs w:val="12"/>
                <w:color w:val="auto"/>
              </w:rPr>
            </w:pPr>
          </w:p>
        </w:tc>
        <w:tc>
          <w:tcPr>
            <w:tcW w:w="1000" w:type="dxa"/>
            <w:vAlign w:val="bottom"/>
            <w:vMerge w:val="continue"/>
            <w:shd w:val="clear" w:color="auto" w:fill="E2E6F4"/>
          </w:tcPr>
          <w:p>
            <w:pPr>
              <w:spacing w:after="0"/>
              <w:rPr>
                <w:sz w:val="12"/>
                <w:szCs w:val="12"/>
                <w:color w:val="auto"/>
              </w:rPr>
            </w:pPr>
          </w:p>
        </w:tc>
        <w:tc>
          <w:tcPr>
            <w:tcW w:w="780" w:type="dxa"/>
            <w:vAlign w:val="bottom"/>
            <w:vMerge w:val="continue"/>
            <w:shd w:val="clear" w:color="auto" w:fill="E2E6F4"/>
          </w:tcPr>
          <w:p>
            <w:pPr>
              <w:spacing w:after="0"/>
              <w:rPr>
                <w:sz w:val="12"/>
                <w:szCs w:val="12"/>
                <w:color w:val="auto"/>
              </w:rPr>
            </w:pPr>
          </w:p>
        </w:tc>
        <w:tc>
          <w:tcPr>
            <w:tcW w:w="840" w:type="dxa"/>
            <w:vAlign w:val="bottom"/>
            <w:vMerge w:val="continue"/>
            <w:shd w:val="clear" w:color="auto" w:fill="E2E6F4"/>
          </w:tcPr>
          <w:p>
            <w:pPr>
              <w:spacing w:after="0"/>
              <w:rPr>
                <w:sz w:val="12"/>
                <w:szCs w:val="12"/>
                <w:color w:val="auto"/>
              </w:rPr>
            </w:pPr>
          </w:p>
        </w:tc>
        <w:tc>
          <w:tcPr>
            <w:tcW w:w="1440" w:type="dxa"/>
            <w:vAlign w:val="bottom"/>
            <w:vMerge w:val="continue"/>
            <w:shd w:val="clear" w:color="auto" w:fill="E2E6F4"/>
          </w:tcPr>
          <w:p>
            <w:pPr>
              <w:spacing w:after="0"/>
              <w:rPr>
                <w:sz w:val="12"/>
                <w:szCs w:val="12"/>
                <w:color w:val="auto"/>
              </w:rPr>
            </w:pPr>
          </w:p>
        </w:tc>
        <w:tc>
          <w:tcPr>
            <w:tcW w:w="1280" w:type="dxa"/>
            <w:vAlign w:val="bottom"/>
            <w:vMerge w:val="continue"/>
            <w:shd w:val="clear" w:color="auto" w:fill="E2E6F4"/>
          </w:tcPr>
          <w:p>
            <w:pPr>
              <w:spacing w:after="0"/>
              <w:rPr>
                <w:sz w:val="12"/>
                <w:szCs w:val="12"/>
                <w:color w:val="auto"/>
              </w:rPr>
            </w:pPr>
          </w:p>
        </w:tc>
        <w:tc>
          <w:tcPr>
            <w:tcW w:w="0" w:type="dxa"/>
            <w:vAlign w:val="bottom"/>
          </w:tcPr>
          <w:p>
            <w:pPr>
              <w:spacing w:after="0"/>
              <w:rPr>
                <w:sz w:val="1"/>
                <w:szCs w:val="1"/>
                <w:color w:val="auto"/>
              </w:rPr>
            </w:pPr>
          </w:p>
        </w:tc>
      </w:tr>
      <w:tr>
        <w:trPr>
          <w:trHeight w:val="257"/>
        </w:trPr>
        <w:tc>
          <w:tcPr>
            <w:tcW w:w="1980" w:type="dxa"/>
            <w:vAlign w:val="bottom"/>
            <w:shd w:val="clear" w:color="auto" w:fill="E2E6F4"/>
          </w:tcPr>
          <w:p>
            <w:pPr>
              <w:spacing w:after="0"/>
              <w:rPr>
                <w:sz w:val="22"/>
                <w:szCs w:val="22"/>
                <w:color w:val="auto"/>
              </w:rPr>
            </w:pPr>
          </w:p>
        </w:tc>
        <w:tc>
          <w:tcPr>
            <w:tcW w:w="1060" w:type="dxa"/>
            <w:vAlign w:val="bottom"/>
            <w:shd w:val="clear" w:color="auto" w:fill="E2E6F4"/>
          </w:tcPr>
          <w:p>
            <w:pPr>
              <w:jc w:val="right"/>
              <w:spacing w:after="0"/>
              <w:rPr>
                <w:sz w:val="20"/>
                <w:szCs w:val="20"/>
                <w:color w:val="auto"/>
              </w:rPr>
            </w:pPr>
            <w:r>
              <w:rPr>
                <w:rFonts w:ascii="Arial" w:cs="Arial" w:eastAsia="Arial" w:hAnsi="Arial"/>
                <w:sz w:val="18"/>
                <w:szCs w:val="18"/>
                <w:color w:val="auto"/>
              </w:rPr>
              <w:t>4/8/2025</w:t>
            </w:r>
          </w:p>
        </w:tc>
        <w:tc>
          <w:tcPr>
            <w:tcW w:w="900" w:type="dxa"/>
            <w:vAlign w:val="bottom"/>
            <w:shd w:val="clear" w:color="auto" w:fill="E2E6F4"/>
          </w:tcPr>
          <w:p>
            <w:pPr>
              <w:ind w:left="680"/>
              <w:spacing w:after="0"/>
              <w:rPr>
                <w:sz w:val="20"/>
                <w:szCs w:val="20"/>
                <w:color w:val="auto"/>
              </w:rPr>
            </w:pPr>
            <w:r>
              <w:rPr>
                <w:rFonts w:ascii="Arial" w:cs="Arial" w:eastAsia="Arial" w:hAnsi="Arial"/>
                <w:sz w:val="18"/>
                <w:szCs w:val="18"/>
                <w:color w:val="auto"/>
              </w:rPr>
              <w:t>—</w:t>
            </w:r>
          </w:p>
        </w:tc>
        <w:tc>
          <w:tcPr>
            <w:tcW w:w="40" w:type="dxa"/>
            <w:vAlign w:val="bottom"/>
            <w:shd w:val="clear" w:color="auto" w:fill="E2E6F4"/>
          </w:tcPr>
          <w:p>
            <w:pPr>
              <w:spacing w:after="0"/>
              <w:rPr>
                <w:sz w:val="22"/>
                <w:szCs w:val="22"/>
                <w:color w:val="auto"/>
              </w:rPr>
            </w:pPr>
          </w:p>
        </w:tc>
        <w:tc>
          <w:tcPr>
            <w:tcW w:w="940" w:type="dxa"/>
            <w:vAlign w:val="bottom"/>
            <w:shd w:val="clear" w:color="auto" w:fill="E2E6F4"/>
          </w:tcPr>
          <w:p>
            <w:pPr>
              <w:jc w:val="right"/>
              <w:spacing w:after="0"/>
              <w:rPr>
                <w:sz w:val="20"/>
                <w:szCs w:val="20"/>
                <w:color w:val="auto"/>
              </w:rPr>
            </w:pPr>
            <w:r>
              <w:rPr>
                <w:rFonts w:ascii="Arial" w:cs="Arial" w:eastAsia="Arial" w:hAnsi="Arial"/>
                <w:sz w:val="18"/>
                <w:szCs w:val="18"/>
                <w:color w:val="auto"/>
              </w:rPr>
              <w:t>—</w:t>
            </w:r>
          </w:p>
        </w:tc>
        <w:tc>
          <w:tcPr>
            <w:tcW w:w="980" w:type="dxa"/>
            <w:vAlign w:val="bottom"/>
            <w:shd w:val="clear" w:color="auto" w:fill="E2E6F4"/>
          </w:tcPr>
          <w:p>
            <w:pPr>
              <w:jc w:val="right"/>
              <w:ind w:right="51"/>
              <w:spacing w:after="0"/>
              <w:rPr>
                <w:sz w:val="20"/>
                <w:szCs w:val="20"/>
                <w:color w:val="auto"/>
              </w:rPr>
            </w:pPr>
            <w:r>
              <w:rPr>
                <w:rFonts w:ascii="Arial" w:cs="Arial" w:eastAsia="Arial" w:hAnsi="Arial"/>
                <w:sz w:val="18"/>
                <w:szCs w:val="18"/>
                <w:color w:val="auto"/>
              </w:rPr>
              <w:t>—</w:t>
            </w:r>
          </w:p>
        </w:tc>
        <w:tc>
          <w:tcPr>
            <w:tcW w:w="1000" w:type="dxa"/>
            <w:vAlign w:val="bottom"/>
            <w:shd w:val="clear" w:color="auto" w:fill="E2E6F4"/>
          </w:tcPr>
          <w:p>
            <w:pPr>
              <w:ind w:left="620"/>
              <w:spacing w:after="0"/>
              <w:rPr>
                <w:sz w:val="20"/>
                <w:szCs w:val="20"/>
                <w:color w:val="auto"/>
              </w:rPr>
            </w:pPr>
            <w:r>
              <w:rPr>
                <w:rFonts w:ascii="Arial" w:cs="Arial" w:eastAsia="Arial" w:hAnsi="Arial"/>
                <w:sz w:val="18"/>
                <w:szCs w:val="18"/>
                <w:color w:val="auto"/>
              </w:rPr>
              <w:t>—</w:t>
            </w:r>
          </w:p>
        </w:tc>
        <w:tc>
          <w:tcPr>
            <w:tcW w:w="780" w:type="dxa"/>
            <w:vAlign w:val="bottom"/>
            <w:shd w:val="clear" w:color="auto" w:fill="E2E6F4"/>
          </w:tcPr>
          <w:p>
            <w:pPr>
              <w:jc w:val="right"/>
              <w:ind w:right="11"/>
              <w:spacing w:after="0"/>
              <w:rPr>
                <w:sz w:val="20"/>
                <w:szCs w:val="20"/>
                <w:color w:val="auto"/>
              </w:rPr>
            </w:pPr>
            <w:r>
              <w:rPr>
                <w:rFonts w:ascii="Arial" w:cs="Arial" w:eastAsia="Arial" w:hAnsi="Arial"/>
                <w:sz w:val="18"/>
                <w:szCs w:val="18"/>
                <w:color w:val="auto"/>
              </w:rPr>
              <w:t>42,655</w:t>
            </w:r>
          </w:p>
        </w:tc>
        <w:tc>
          <w:tcPr>
            <w:tcW w:w="840" w:type="dxa"/>
            <w:vAlign w:val="bottom"/>
            <w:shd w:val="clear" w:color="auto" w:fill="E2E6F4"/>
          </w:tcPr>
          <w:p>
            <w:pPr>
              <w:jc w:val="right"/>
              <w:spacing w:after="0"/>
              <w:rPr>
                <w:sz w:val="20"/>
                <w:szCs w:val="20"/>
                <w:color w:val="auto"/>
              </w:rPr>
            </w:pPr>
            <w:r>
              <w:rPr>
                <w:rFonts w:ascii="Arial" w:cs="Arial" w:eastAsia="Arial" w:hAnsi="Arial"/>
                <w:sz w:val="18"/>
                <w:szCs w:val="18"/>
                <w:color w:val="auto"/>
              </w:rPr>
              <w:t>85,310</w:t>
            </w:r>
          </w:p>
        </w:tc>
        <w:tc>
          <w:tcPr>
            <w:tcW w:w="1440" w:type="dxa"/>
            <w:vAlign w:val="bottom"/>
            <w:shd w:val="clear" w:color="auto" w:fill="E2E6F4"/>
          </w:tcPr>
          <w:p>
            <w:pPr>
              <w:jc w:val="right"/>
              <w:ind w:right="72"/>
              <w:spacing w:after="0"/>
              <w:rPr>
                <w:sz w:val="20"/>
                <w:szCs w:val="20"/>
                <w:color w:val="auto"/>
              </w:rPr>
            </w:pPr>
            <w:r>
              <w:rPr>
                <w:rFonts w:ascii="Arial" w:cs="Arial" w:eastAsia="Arial" w:hAnsi="Arial"/>
                <w:sz w:val="18"/>
                <w:szCs w:val="18"/>
                <w:color w:val="auto"/>
              </w:rPr>
              <w:t>—</w:t>
            </w:r>
          </w:p>
        </w:tc>
        <w:tc>
          <w:tcPr>
            <w:tcW w:w="1280" w:type="dxa"/>
            <w:vAlign w:val="bottom"/>
            <w:shd w:val="clear" w:color="auto" w:fill="E2E6F4"/>
          </w:tcPr>
          <w:p>
            <w:pPr>
              <w:jc w:val="right"/>
              <w:spacing w:after="0"/>
              <w:rPr>
                <w:sz w:val="20"/>
                <w:szCs w:val="20"/>
                <w:color w:val="auto"/>
              </w:rPr>
            </w:pPr>
            <w:r>
              <w:rPr>
                <w:rFonts w:ascii="Arial" w:cs="Arial" w:eastAsia="Arial" w:hAnsi="Arial"/>
                <w:sz w:val="18"/>
                <w:szCs w:val="18"/>
                <w:color w:val="auto"/>
              </w:rPr>
              <w:t>7,700,081</w:t>
            </w:r>
          </w:p>
        </w:tc>
        <w:tc>
          <w:tcPr>
            <w:tcW w:w="0" w:type="dxa"/>
            <w:vAlign w:val="bottom"/>
          </w:tcPr>
          <w:p>
            <w:pPr>
              <w:spacing w:after="0"/>
              <w:rPr>
                <w:sz w:val="1"/>
                <w:szCs w:val="1"/>
                <w:color w:val="auto"/>
              </w:rPr>
            </w:pPr>
          </w:p>
        </w:tc>
      </w:tr>
      <w:tr>
        <w:trPr>
          <w:trHeight w:val="259"/>
        </w:trPr>
        <w:tc>
          <w:tcPr>
            <w:tcW w:w="1980" w:type="dxa"/>
            <w:vAlign w:val="bottom"/>
            <w:tcBorders>
              <w:bottom w:val="single" w:sz="8" w:color="E2E6F4"/>
            </w:tcBorders>
            <w:shd w:val="clear" w:color="auto" w:fill="E2E6F4"/>
          </w:tcPr>
          <w:p>
            <w:pPr>
              <w:spacing w:after="0"/>
              <w:rPr>
                <w:sz w:val="22"/>
                <w:szCs w:val="22"/>
                <w:color w:val="auto"/>
              </w:rPr>
            </w:pPr>
          </w:p>
        </w:tc>
        <w:tc>
          <w:tcPr>
            <w:tcW w:w="1060" w:type="dxa"/>
            <w:vAlign w:val="bottom"/>
            <w:tcBorders>
              <w:bottom w:val="single" w:sz="8" w:color="E2E6F4"/>
            </w:tcBorders>
            <w:shd w:val="clear" w:color="auto" w:fill="E2E6F4"/>
          </w:tcPr>
          <w:p>
            <w:pPr>
              <w:jc w:val="right"/>
              <w:spacing w:after="0"/>
              <w:rPr>
                <w:sz w:val="20"/>
                <w:szCs w:val="20"/>
                <w:color w:val="auto"/>
              </w:rPr>
            </w:pPr>
            <w:r>
              <w:rPr>
                <w:rFonts w:ascii="Arial" w:cs="Arial" w:eastAsia="Arial" w:hAnsi="Arial"/>
                <w:sz w:val="18"/>
                <w:szCs w:val="18"/>
                <w:color w:val="auto"/>
              </w:rPr>
              <w:t>4/8/2025</w:t>
            </w:r>
          </w:p>
        </w:tc>
        <w:tc>
          <w:tcPr>
            <w:tcW w:w="900" w:type="dxa"/>
            <w:vAlign w:val="bottom"/>
            <w:tcBorders>
              <w:bottom w:val="single" w:sz="8" w:color="E2E6F4"/>
            </w:tcBorders>
            <w:shd w:val="clear" w:color="auto" w:fill="E2E6F4"/>
          </w:tcPr>
          <w:p>
            <w:pPr>
              <w:ind w:left="680"/>
              <w:spacing w:after="0"/>
              <w:rPr>
                <w:sz w:val="20"/>
                <w:szCs w:val="20"/>
                <w:color w:val="auto"/>
              </w:rPr>
            </w:pPr>
            <w:r>
              <w:rPr>
                <w:rFonts w:ascii="Arial" w:cs="Arial" w:eastAsia="Arial" w:hAnsi="Arial"/>
                <w:sz w:val="18"/>
                <w:szCs w:val="18"/>
                <w:color w:val="auto"/>
              </w:rPr>
              <w:t>—</w:t>
            </w:r>
          </w:p>
        </w:tc>
        <w:tc>
          <w:tcPr>
            <w:tcW w:w="40" w:type="dxa"/>
            <w:vAlign w:val="bottom"/>
            <w:tcBorders>
              <w:bottom w:val="single" w:sz="8" w:color="E2E6F4"/>
            </w:tcBorders>
            <w:shd w:val="clear" w:color="auto" w:fill="E2E6F4"/>
          </w:tcPr>
          <w:p>
            <w:pPr>
              <w:spacing w:after="0"/>
              <w:rPr>
                <w:sz w:val="22"/>
                <w:szCs w:val="22"/>
                <w:color w:val="auto"/>
              </w:rPr>
            </w:pPr>
          </w:p>
        </w:tc>
        <w:tc>
          <w:tcPr>
            <w:tcW w:w="940" w:type="dxa"/>
            <w:vAlign w:val="bottom"/>
            <w:tcBorders>
              <w:bottom w:val="single" w:sz="8" w:color="E2E6F4"/>
            </w:tcBorders>
            <w:shd w:val="clear" w:color="auto" w:fill="E2E6F4"/>
          </w:tcPr>
          <w:p>
            <w:pPr>
              <w:jc w:val="right"/>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E2E6F4"/>
            </w:tcBorders>
            <w:shd w:val="clear" w:color="auto" w:fill="E2E6F4"/>
          </w:tcPr>
          <w:p>
            <w:pPr>
              <w:jc w:val="right"/>
              <w:ind w:right="51"/>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E2E6F4"/>
            </w:tcBorders>
            <w:shd w:val="clear" w:color="auto" w:fill="E2E6F4"/>
          </w:tcPr>
          <w:p>
            <w:pPr>
              <w:ind w:left="620"/>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E2E6F4"/>
            </w:tcBorders>
            <w:shd w:val="clear" w:color="auto" w:fill="E2E6F4"/>
          </w:tcPr>
          <w:p>
            <w:pPr>
              <w:jc w:val="right"/>
              <w:ind w:right="11"/>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E2E6F4"/>
            </w:tcBorders>
            <w:shd w:val="clear" w:color="auto" w:fill="E2E6F4"/>
          </w:tcPr>
          <w:p>
            <w:pPr>
              <w:jc w:val="right"/>
              <w:spacing w:after="0"/>
              <w:rPr>
                <w:sz w:val="20"/>
                <w:szCs w:val="20"/>
                <w:color w:val="auto"/>
              </w:rPr>
            </w:pPr>
            <w:r>
              <w:rPr>
                <w:rFonts w:ascii="Arial" w:cs="Arial" w:eastAsia="Arial" w:hAnsi="Arial"/>
                <w:sz w:val="18"/>
                <w:szCs w:val="18"/>
                <w:color w:val="auto"/>
              </w:rPr>
              <w:t>—</w:t>
            </w:r>
          </w:p>
        </w:tc>
        <w:tc>
          <w:tcPr>
            <w:tcW w:w="1440" w:type="dxa"/>
            <w:vAlign w:val="bottom"/>
            <w:tcBorders>
              <w:bottom w:val="single" w:sz="8" w:color="E2E6F4"/>
            </w:tcBorders>
            <w:shd w:val="clear" w:color="auto" w:fill="E2E6F4"/>
          </w:tcPr>
          <w:p>
            <w:pPr>
              <w:jc w:val="right"/>
              <w:ind w:right="72"/>
              <w:spacing w:after="0"/>
              <w:rPr>
                <w:sz w:val="20"/>
                <w:szCs w:val="20"/>
                <w:color w:val="auto"/>
              </w:rPr>
            </w:pPr>
            <w:r>
              <w:rPr>
                <w:rFonts w:ascii="Arial" w:cs="Arial" w:eastAsia="Arial" w:hAnsi="Arial"/>
                <w:sz w:val="18"/>
                <w:szCs w:val="18"/>
                <w:color w:val="auto"/>
              </w:rPr>
              <w:t>35,084</w:t>
            </w:r>
          </w:p>
        </w:tc>
        <w:tc>
          <w:tcPr>
            <w:tcW w:w="1280" w:type="dxa"/>
            <w:vAlign w:val="bottom"/>
            <w:tcBorders>
              <w:bottom w:val="single" w:sz="8" w:color="E2E6F4"/>
            </w:tcBorders>
            <w:shd w:val="clear" w:color="auto" w:fill="E2E6F4"/>
          </w:tcPr>
          <w:p>
            <w:pPr>
              <w:jc w:val="right"/>
              <w:spacing w:after="0"/>
              <w:rPr>
                <w:sz w:val="20"/>
                <w:szCs w:val="20"/>
                <w:color w:val="auto"/>
              </w:rPr>
            </w:pPr>
            <w:r>
              <w:rPr>
                <w:rFonts w:ascii="Arial" w:cs="Arial" w:eastAsia="Arial" w:hAnsi="Arial"/>
                <w:sz w:val="18"/>
                <w:szCs w:val="18"/>
                <w:color w:val="auto"/>
              </w:rPr>
              <w:t>5,500,470</w:t>
            </w:r>
          </w:p>
        </w:tc>
        <w:tc>
          <w:tcPr>
            <w:tcW w:w="0" w:type="dxa"/>
            <w:vAlign w:val="bottom"/>
          </w:tcPr>
          <w:p>
            <w:pPr>
              <w:spacing w:after="0"/>
              <w:rPr>
                <w:sz w:val="1"/>
                <w:szCs w:val="1"/>
                <w:color w:val="auto"/>
              </w:rPr>
            </w:pPr>
          </w:p>
        </w:tc>
      </w:tr>
      <w:tr>
        <w:trPr>
          <w:trHeight w:val="247"/>
        </w:trPr>
        <w:tc>
          <w:tcPr>
            <w:tcW w:w="1980" w:type="dxa"/>
            <w:vAlign w:val="bottom"/>
          </w:tcPr>
          <w:p>
            <w:pPr>
              <w:ind w:left="20"/>
              <w:spacing w:after="0"/>
              <w:rPr>
                <w:sz w:val="20"/>
                <w:szCs w:val="20"/>
                <w:color w:val="auto"/>
              </w:rPr>
            </w:pPr>
            <w:r>
              <w:rPr>
                <w:rFonts w:ascii="Arial" w:cs="Arial" w:eastAsia="Arial" w:hAnsi="Arial"/>
                <w:sz w:val="18"/>
                <w:szCs w:val="18"/>
                <w:b w:val="1"/>
                <w:bCs w:val="1"/>
                <w:color w:val="0067B3"/>
              </w:rPr>
              <w:t>Richard C. Puccio, Jr.</w:t>
            </w: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ind w:left="68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875,000</w:t>
            </w:r>
          </w:p>
        </w:tc>
        <w:tc>
          <w:tcPr>
            <w:tcW w:w="980" w:type="dxa"/>
            <w:vAlign w:val="bottom"/>
          </w:tcPr>
          <w:p>
            <w:pPr>
              <w:jc w:val="right"/>
              <w:ind w:right="51"/>
              <w:spacing w:after="0"/>
              <w:rPr>
                <w:sz w:val="20"/>
                <w:szCs w:val="20"/>
                <w:color w:val="auto"/>
              </w:rPr>
            </w:pPr>
            <w:r>
              <w:rPr>
                <w:rFonts w:ascii="Arial" w:cs="Arial" w:eastAsia="Arial" w:hAnsi="Arial"/>
                <w:sz w:val="18"/>
                <w:szCs w:val="18"/>
                <w:color w:val="auto"/>
              </w:rPr>
              <w:t>2,187,500</w:t>
            </w:r>
          </w:p>
        </w:tc>
        <w:tc>
          <w:tcPr>
            <w:tcW w:w="1000" w:type="dxa"/>
            <w:vAlign w:val="bottom"/>
          </w:tcPr>
          <w:p>
            <w:pPr>
              <w:ind w:left="620"/>
              <w:spacing w:after="0"/>
              <w:rPr>
                <w:sz w:val="20"/>
                <w:szCs w:val="20"/>
                <w:color w:val="auto"/>
              </w:rPr>
            </w:pPr>
            <w:r>
              <w:rPr>
                <w:rFonts w:ascii="Arial" w:cs="Arial" w:eastAsia="Arial" w:hAnsi="Arial"/>
                <w:sz w:val="18"/>
                <w:szCs w:val="18"/>
                <w:color w:val="auto"/>
              </w:rPr>
              <w:t>—</w:t>
            </w:r>
          </w:p>
        </w:tc>
        <w:tc>
          <w:tcPr>
            <w:tcW w:w="78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1440" w:type="dxa"/>
            <w:vAlign w:val="bottom"/>
          </w:tcPr>
          <w:p>
            <w:pPr>
              <w:jc w:val="right"/>
              <w:ind w:right="72"/>
              <w:spacing w:after="0"/>
              <w:rPr>
                <w:sz w:val="20"/>
                <w:szCs w:val="20"/>
                <w:color w:val="auto"/>
              </w:rPr>
            </w:pPr>
            <w:r>
              <w:rPr>
                <w:rFonts w:ascii="Arial" w:cs="Arial" w:eastAsia="Arial" w:hAnsi="Arial"/>
                <w:sz w:val="18"/>
                <w:szCs w:val="18"/>
                <w:color w:val="auto"/>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198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4/8/2025</w:t>
            </w:r>
          </w:p>
        </w:tc>
        <w:tc>
          <w:tcPr>
            <w:tcW w:w="940" w:type="dxa"/>
            <w:vAlign w:val="bottom"/>
            <w:gridSpan w:val="2"/>
          </w:tcPr>
          <w:p>
            <w:pPr>
              <w:ind w:left="68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51"/>
              <w:spacing w:after="0"/>
              <w:rPr>
                <w:sz w:val="20"/>
                <w:szCs w:val="20"/>
                <w:color w:val="auto"/>
              </w:rPr>
            </w:pPr>
            <w:r>
              <w:rPr>
                <w:rFonts w:ascii="Arial" w:cs="Arial" w:eastAsia="Arial" w:hAnsi="Arial"/>
                <w:sz w:val="18"/>
                <w:szCs w:val="18"/>
                <w:color w:val="auto"/>
              </w:rPr>
              <w:t>—</w:t>
            </w:r>
          </w:p>
        </w:tc>
        <w:tc>
          <w:tcPr>
            <w:tcW w:w="1000" w:type="dxa"/>
            <w:vAlign w:val="bottom"/>
          </w:tcPr>
          <w:p>
            <w:pPr>
              <w:ind w:left="620"/>
              <w:spacing w:after="0"/>
              <w:rPr>
                <w:sz w:val="20"/>
                <w:szCs w:val="20"/>
                <w:color w:val="auto"/>
              </w:rPr>
            </w:pPr>
            <w:r>
              <w:rPr>
                <w:rFonts w:ascii="Arial" w:cs="Arial" w:eastAsia="Arial" w:hAnsi="Arial"/>
                <w:sz w:val="18"/>
                <w:szCs w:val="18"/>
                <w:color w:val="auto"/>
              </w:rPr>
              <w:t>—</w:t>
            </w:r>
          </w:p>
        </w:tc>
        <w:tc>
          <w:tcPr>
            <w:tcW w:w="780" w:type="dxa"/>
            <w:vAlign w:val="bottom"/>
          </w:tcPr>
          <w:p>
            <w:pPr>
              <w:jc w:val="right"/>
              <w:ind w:right="11"/>
              <w:spacing w:after="0"/>
              <w:rPr>
                <w:sz w:val="20"/>
                <w:szCs w:val="20"/>
                <w:color w:val="auto"/>
              </w:rPr>
            </w:pPr>
            <w:r>
              <w:rPr>
                <w:rFonts w:ascii="Arial" w:cs="Arial" w:eastAsia="Arial" w:hAnsi="Arial"/>
                <w:sz w:val="18"/>
                <w:szCs w:val="18"/>
                <w:color w:val="auto"/>
              </w:rPr>
              <w:t>12,767</w:t>
            </w:r>
          </w:p>
        </w:tc>
        <w:tc>
          <w:tcPr>
            <w:tcW w:w="840" w:type="dxa"/>
            <w:vAlign w:val="bottom"/>
          </w:tcPr>
          <w:p>
            <w:pPr>
              <w:jc w:val="right"/>
              <w:spacing w:after="0"/>
              <w:rPr>
                <w:sz w:val="20"/>
                <w:szCs w:val="20"/>
                <w:color w:val="auto"/>
              </w:rPr>
            </w:pPr>
            <w:r>
              <w:rPr>
                <w:rFonts w:ascii="Arial" w:cs="Arial" w:eastAsia="Arial" w:hAnsi="Arial"/>
                <w:sz w:val="18"/>
                <w:szCs w:val="18"/>
                <w:color w:val="auto"/>
              </w:rPr>
              <w:t>25,534</w:t>
            </w:r>
          </w:p>
        </w:tc>
        <w:tc>
          <w:tcPr>
            <w:tcW w:w="1440" w:type="dxa"/>
            <w:vAlign w:val="bottom"/>
          </w:tcPr>
          <w:p>
            <w:pPr>
              <w:jc w:val="right"/>
              <w:ind w:right="72"/>
              <w:spacing w:after="0"/>
              <w:rPr>
                <w:sz w:val="20"/>
                <w:szCs w:val="20"/>
                <w:color w:val="auto"/>
              </w:rPr>
            </w:pPr>
            <w:r>
              <w:rPr>
                <w:rFonts w:ascii="Arial" w:cs="Arial" w:eastAsia="Arial" w:hAnsi="Arial"/>
                <w:sz w:val="18"/>
                <w:szCs w:val="18"/>
                <w:color w:val="auto"/>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1,977,991</w:t>
            </w:r>
          </w:p>
        </w:tc>
        <w:tc>
          <w:tcPr>
            <w:tcW w:w="0" w:type="dxa"/>
            <w:vAlign w:val="bottom"/>
          </w:tcPr>
          <w:p>
            <w:pPr>
              <w:spacing w:after="0"/>
              <w:rPr>
                <w:sz w:val="1"/>
                <w:szCs w:val="1"/>
                <w:color w:val="auto"/>
              </w:rPr>
            </w:pPr>
          </w:p>
        </w:tc>
      </w:tr>
      <w:tr>
        <w:trPr>
          <w:trHeight w:val="257"/>
        </w:trPr>
        <w:tc>
          <w:tcPr>
            <w:tcW w:w="198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4/8/2025</w:t>
            </w:r>
          </w:p>
        </w:tc>
        <w:tc>
          <w:tcPr>
            <w:tcW w:w="940" w:type="dxa"/>
            <w:vAlign w:val="bottom"/>
            <w:gridSpan w:val="2"/>
          </w:tcPr>
          <w:p>
            <w:pPr>
              <w:ind w:left="68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51"/>
              <w:spacing w:after="0"/>
              <w:rPr>
                <w:sz w:val="20"/>
                <w:szCs w:val="20"/>
                <w:color w:val="auto"/>
              </w:rPr>
            </w:pPr>
            <w:r>
              <w:rPr>
                <w:rFonts w:ascii="Arial" w:cs="Arial" w:eastAsia="Arial" w:hAnsi="Arial"/>
                <w:sz w:val="18"/>
                <w:szCs w:val="18"/>
                <w:color w:val="auto"/>
              </w:rPr>
              <w:t>—</w:t>
            </w:r>
          </w:p>
        </w:tc>
        <w:tc>
          <w:tcPr>
            <w:tcW w:w="1000" w:type="dxa"/>
            <w:vAlign w:val="bottom"/>
          </w:tcPr>
          <w:p>
            <w:pPr>
              <w:ind w:left="620"/>
              <w:spacing w:after="0"/>
              <w:rPr>
                <w:sz w:val="20"/>
                <w:szCs w:val="20"/>
                <w:color w:val="auto"/>
              </w:rPr>
            </w:pPr>
            <w:r>
              <w:rPr>
                <w:rFonts w:ascii="Arial" w:cs="Arial" w:eastAsia="Arial" w:hAnsi="Arial"/>
                <w:sz w:val="18"/>
                <w:szCs w:val="18"/>
                <w:color w:val="auto"/>
              </w:rPr>
              <w:t>—</w:t>
            </w:r>
          </w:p>
        </w:tc>
        <w:tc>
          <w:tcPr>
            <w:tcW w:w="780" w:type="dxa"/>
            <w:vAlign w:val="bottom"/>
          </w:tcPr>
          <w:p>
            <w:pPr>
              <w:jc w:val="right"/>
              <w:ind w:right="11"/>
              <w:spacing w:after="0"/>
              <w:rPr>
                <w:sz w:val="20"/>
                <w:szCs w:val="20"/>
                <w:color w:val="auto"/>
              </w:rPr>
            </w:pPr>
            <w:r>
              <w:rPr>
                <w:rFonts w:ascii="Arial" w:cs="Arial" w:eastAsia="Arial" w:hAnsi="Arial"/>
                <w:sz w:val="18"/>
                <w:szCs w:val="18"/>
                <w:color w:val="auto"/>
              </w:rPr>
              <w:t>9,390</w:t>
            </w:r>
          </w:p>
        </w:tc>
        <w:tc>
          <w:tcPr>
            <w:tcW w:w="840" w:type="dxa"/>
            <w:vAlign w:val="bottom"/>
          </w:tcPr>
          <w:p>
            <w:pPr>
              <w:jc w:val="right"/>
              <w:spacing w:after="0"/>
              <w:rPr>
                <w:sz w:val="20"/>
                <w:szCs w:val="20"/>
                <w:color w:val="auto"/>
              </w:rPr>
            </w:pPr>
            <w:r>
              <w:rPr>
                <w:rFonts w:ascii="Arial" w:cs="Arial" w:eastAsia="Arial" w:hAnsi="Arial"/>
                <w:sz w:val="18"/>
                <w:szCs w:val="18"/>
                <w:color w:val="auto"/>
              </w:rPr>
              <w:t>18,780</w:t>
            </w:r>
          </w:p>
        </w:tc>
        <w:tc>
          <w:tcPr>
            <w:tcW w:w="1440" w:type="dxa"/>
            <w:vAlign w:val="bottom"/>
          </w:tcPr>
          <w:p>
            <w:pPr>
              <w:jc w:val="right"/>
              <w:ind w:right="72"/>
              <w:spacing w:after="0"/>
              <w:rPr>
                <w:sz w:val="20"/>
                <w:szCs w:val="20"/>
                <w:color w:val="auto"/>
              </w:rPr>
            </w:pPr>
            <w:r>
              <w:rPr>
                <w:rFonts w:ascii="Arial" w:cs="Arial" w:eastAsia="Arial" w:hAnsi="Arial"/>
                <w:sz w:val="18"/>
                <w:szCs w:val="18"/>
                <w:color w:val="auto"/>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1,695,083</w:t>
            </w:r>
          </w:p>
        </w:tc>
        <w:tc>
          <w:tcPr>
            <w:tcW w:w="0" w:type="dxa"/>
            <w:vAlign w:val="bottom"/>
          </w:tcPr>
          <w:p>
            <w:pPr>
              <w:spacing w:after="0"/>
              <w:rPr>
                <w:sz w:val="1"/>
                <w:szCs w:val="1"/>
                <w:color w:val="auto"/>
              </w:rPr>
            </w:pPr>
          </w:p>
        </w:tc>
      </w:tr>
      <w:tr>
        <w:trPr>
          <w:trHeight w:val="257"/>
        </w:trPr>
        <w:tc>
          <w:tcPr>
            <w:tcW w:w="198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4/8/2025</w:t>
            </w:r>
          </w:p>
        </w:tc>
        <w:tc>
          <w:tcPr>
            <w:tcW w:w="940" w:type="dxa"/>
            <w:vAlign w:val="bottom"/>
            <w:gridSpan w:val="2"/>
          </w:tcPr>
          <w:p>
            <w:pPr>
              <w:ind w:left="68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51"/>
              <w:spacing w:after="0"/>
              <w:rPr>
                <w:sz w:val="20"/>
                <w:szCs w:val="20"/>
                <w:color w:val="auto"/>
              </w:rPr>
            </w:pPr>
            <w:r>
              <w:rPr>
                <w:rFonts w:ascii="Arial" w:cs="Arial" w:eastAsia="Arial" w:hAnsi="Arial"/>
                <w:sz w:val="18"/>
                <w:szCs w:val="18"/>
                <w:color w:val="auto"/>
              </w:rPr>
              <w:t>—</w:t>
            </w:r>
          </w:p>
        </w:tc>
        <w:tc>
          <w:tcPr>
            <w:tcW w:w="1000" w:type="dxa"/>
            <w:vAlign w:val="bottom"/>
          </w:tcPr>
          <w:p>
            <w:pPr>
              <w:ind w:left="620"/>
              <w:spacing w:after="0"/>
              <w:rPr>
                <w:sz w:val="20"/>
                <w:szCs w:val="20"/>
                <w:color w:val="auto"/>
              </w:rPr>
            </w:pPr>
            <w:r>
              <w:rPr>
                <w:rFonts w:ascii="Arial" w:cs="Arial" w:eastAsia="Arial" w:hAnsi="Arial"/>
                <w:sz w:val="18"/>
                <w:szCs w:val="18"/>
                <w:color w:val="auto"/>
              </w:rPr>
              <w:t>—</w:t>
            </w:r>
          </w:p>
        </w:tc>
        <w:tc>
          <w:tcPr>
            <w:tcW w:w="78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1440" w:type="dxa"/>
            <w:vAlign w:val="bottom"/>
          </w:tcPr>
          <w:p>
            <w:pPr>
              <w:jc w:val="right"/>
              <w:ind w:right="72"/>
              <w:spacing w:after="0"/>
              <w:rPr>
                <w:sz w:val="20"/>
                <w:szCs w:val="20"/>
                <w:color w:val="auto"/>
              </w:rPr>
            </w:pPr>
            <w:r>
              <w:rPr>
                <w:rFonts w:ascii="Arial" w:cs="Arial" w:eastAsia="Arial" w:hAnsi="Arial"/>
                <w:sz w:val="18"/>
                <w:szCs w:val="18"/>
                <w:color w:val="auto"/>
              </w:rPr>
              <w:t>12,615</w:t>
            </w:r>
          </w:p>
        </w:tc>
        <w:tc>
          <w:tcPr>
            <w:tcW w:w="1280" w:type="dxa"/>
            <w:vAlign w:val="bottom"/>
          </w:tcPr>
          <w:p>
            <w:pPr>
              <w:jc w:val="right"/>
              <w:spacing w:after="0"/>
              <w:rPr>
                <w:sz w:val="20"/>
                <w:szCs w:val="20"/>
                <w:color w:val="auto"/>
              </w:rPr>
            </w:pPr>
            <w:r>
              <w:rPr>
                <w:rFonts w:ascii="Arial" w:cs="Arial" w:eastAsia="Arial" w:hAnsi="Arial"/>
                <w:sz w:val="18"/>
                <w:szCs w:val="18"/>
                <w:color w:val="auto"/>
              </w:rPr>
              <w:t>1,977,780</w:t>
            </w:r>
          </w:p>
        </w:tc>
        <w:tc>
          <w:tcPr>
            <w:tcW w:w="0" w:type="dxa"/>
            <w:vAlign w:val="bottom"/>
          </w:tcPr>
          <w:p>
            <w:pPr>
              <w:spacing w:after="0"/>
              <w:rPr>
                <w:sz w:val="1"/>
                <w:szCs w:val="1"/>
                <w:color w:val="auto"/>
              </w:rPr>
            </w:pPr>
          </w:p>
        </w:tc>
      </w:tr>
      <w:tr>
        <w:trPr>
          <w:trHeight w:val="23"/>
        </w:trPr>
        <w:tc>
          <w:tcPr>
            <w:tcW w:w="19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940" w:type="dxa"/>
            <w:vAlign w:val="bottom"/>
            <w:gridSpan w:val="2"/>
          </w:tcPr>
          <w:p>
            <w:pPr>
              <w:spacing w:after="0"/>
              <w:rPr>
                <w:sz w:val="2"/>
                <w:szCs w:val="2"/>
                <w:color w:val="auto"/>
              </w:rPr>
            </w:pPr>
          </w:p>
        </w:tc>
        <w:tc>
          <w:tcPr>
            <w:tcW w:w="9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7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9"/>
        </w:trPr>
        <w:tc>
          <w:tcPr>
            <w:tcW w:w="1980" w:type="dxa"/>
            <w:vAlign w:val="bottom"/>
            <w:vMerge w:val="restart"/>
            <w:shd w:val="clear" w:color="auto" w:fill="E2E6F4"/>
          </w:tcPr>
          <w:p>
            <w:pPr>
              <w:ind w:left="20"/>
              <w:spacing w:after="0"/>
              <w:rPr>
                <w:sz w:val="20"/>
                <w:szCs w:val="20"/>
                <w:color w:val="auto"/>
              </w:rPr>
            </w:pPr>
            <w:r>
              <w:rPr>
                <w:rFonts w:ascii="Arial" w:cs="Arial" w:eastAsia="Arial" w:hAnsi="Arial"/>
                <w:sz w:val="18"/>
                <w:szCs w:val="18"/>
                <w:b w:val="1"/>
                <w:bCs w:val="1"/>
                <w:color w:val="0067B3"/>
              </w:rPr>
              <w:t>Martin Cotter</w:t>
            </w:r>
          </w:p>
        </w:tc>
        <w:tc>
          <w:tcPr>
            <w:tcW w:w="1060" w:type="dxa"/>
            <w:vAlign w:val="bottom"/>
            <w:shd w:val="clear" w:color="auto" w:fill="E2E6F4"/>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E2E6F4"/>
          </w:tcPr>
          <w:p>
            <w:pPr>
              <w:ind w:left="680"/>
              <w:spacing w:after="0"/>
              <w:rPr>
                <w:sz w:val="20"/>
                <w:szCs w:val="20"/>
                <w:color w:val="auto"/>
              </w:rPr>
            </w:pPr>
            <w:r>
              <w:rPr>
                <w:rFonts w:ascii="Arial" w:cs="Arial" w:eastAsia="Arial" w:hAnsi="Arial"/>
                <w:sz w:val="18"/>
                <w:szCs w:val="18"/>
                <w:color w:val="auto"/>
              </w:rPr>
              <w:t>—</w:t>
            </w:r>
          </w:p>
        </w:tc>
        <w:tc>
          <w:tcPr>
            <w:tcW w:w="940" w:type="dxa"/>
            <w:vAlign w:val="bottom"/>
            <w:shd w:val="clear" w:color="auto" w:fill="E2E6F4"/>
          </w:tcPr>
          <w:p>
            <w:pPr>
              <w:jc w:val="right"/>
              <w:spacing w:after="0"/>
              <w:rPr>
                <w:sz w:val="20"/>
                <w:szCs w:val="20"/>
                <w:color w:val="auto"/>
              </w:rPr>
            </w:pPr>
            <w:r>
              <w:rPr>
                <w:rFonts w:ascii="Arial" w:cs="Arial" w:eastAsia="Arial" w:hAnsi="Arial"/>
                <w:sz w:val="18"/>
                <w:szCs w:val="18"/>
                <w:color w:val="auto"/>
              </w:rPr>
              <w:t>600,000</w:t>
            </w:r>
          </w:p>
        </w:tc>
        <w:tc>
          <w:tcPr>
            <w:tcW w:w="980" w:type="dxa"/>
            <w:vAlign w:val="bottom"/>
            <w:shd w:val="clear" w:color="auto" w:fill="E2E6F4"/>
          </w:tcPr>
          <w:p>
            <w:pPr>
              <w:jc w:val="right"/>
              <w:ind w:right="51"/>
              <w:spacing w:after="0"/>
              <w:rPr>
                <w:sz w:val="20"/>
                <w:szCs w:val="20"/>
                <w:color w:val="auto"/>
              </w:rPr>
            </w:pPr>
            <w:r>
              <w:rPr>
                <w:rFonts w:ascii="Arial" w:cs="Arial" w:eastAsia="Arial" w:hAnsi="Arial"/>
                <w:sz w:val="18"/>
                <w:szCs w:val="18"/>
                <w:color w:val="auto"/>
              </w:rPr>
              <w:t>1,500,000</w:t>
            </w:r>
          </w:p>
        </w:tc>
        <w:tc>
          <w:tcPr>
            <w:tcW w:w="1000" w:type="dxa"/>
            <w:vAlign w:val="bottom"/>
            <w:shd w:val="clear" w:color="auto" w:fill="E2E6F4"/>
          </w:tcPr>
          <w:p>
            <w:pPr>
              <w:ind w:left="620"/>
              <w:spacing w:after="0"/>
              <w:rPr>
                <w:sz w:val="20"/>
                <w:szCs w:val="20"/>
                <w:color w:val="auto"/>
              </w:rPr>
            </w:pPr>
            <w:r>
              <w:rPr>
                <w:rFonts w:ascii="Arial" w:cs="Arial" w:eastAsia="Arial" w:hAnsi="Arial"/>
                <w:sz w:val="18"/>
                <w:szCs w:val="18"/>
                <w:color w:val="auto"/>
              </w:rPr>
              <w:t>—</w:t>
            </w:r>
          </w:p>
        </w:tc>
        <w:tc>
          <w:tcPr>
            <w:tcW w:w="780" w:type="dxa"/>
            <w:vAlign w:val="bottom"/>
            <w:shd w:val="clear" w:color="auto" w:fill="E2E6F4"/>
          </w:tcPr>
          <w:p>
            <w:pPr>
              <w:jc w:val="right"/>
              <w:ind w:right="11"/>
              <w:spacing w:after="0"/>
              <w:rPr>
                <w:sz w:val="20"/>
                <w:szCs w:val="20"/>
                <w:color w:val="auto"/>
              </w:rPr>
            </w:pPr>
            <w:r>
              <w:rPr>
                <w:rFonts w:ascii="Arial" w:cs="Arial" w:eastAsia="Arial" w:hAnsi="Arial"/>
                <w:sz w:val="18"/>
                <w:szCs w:val="18"/>
                <w:color w:val="auto"/>
              </w:rPr>
              <w:t>—</w:t>
            </w:r>
          </w:p>
        </w:tc>
        <w:tc>
          <w:tcPr>
            <w:tcW w:w="840" w:type="dxa"/>
            <w:vAlign w:val="bottom"/>
            <w:shd w:val="clear" w:color="auto" w:fill="E2E6F4"/>
          </w:tcPr>
          <w:p>
            <w:pPr>
              <w:jc w:val="right"/>
              <w:spacing w:after="0"/>
              <w:rPr>
                <w:sz w:val="20"/>
                <w:szCs w:val="20"/>
                <w:color w:val="auto"/>
              </w:rPr>
            </w:pPr>
            <w:r>
              <w:rPr>
                <w:rFonts w:ascii="Arial" w:cs="Arial" w:eastAsia="Arial" w:hAnsi="Arial"/>
                <w:sz w:val="18"/>
                <w:szCs w:val="18"/>
                <w:color w:val="auto"/>
              </w:rPr>
              <w:t>—</w:t>
            </w:r>
          </w:p>
        </w:tc>
        <w:tc>
          <w:tcPr>
            <w:tcW w:w="1440" w:type="dxa"/>
            <w:vAlign w:val="bottom"/>
            <w:shd w:val="clear" w:color="auto" w:fill="E2E6F4"/>
          </w:tcPr>
          <w:p>
            <w:pPr>
              <w:jc w:val="right"/>
              <w:ind w:right="72"/>
              <w:spacing w:after="0"/>
              <w:rPr>
                <w:sz w:val="20"/>
                <w:szCs w:val="20"/>
                <w:color w:val="auto"/>
              </w:rPr>
            </w:pPr>
            <w:r>
              <w:rPr>
                <w:rFonts w:ascii="Arial" w:cs="Arial" w:eastAsia="Arial" w:hAnsi="Arial"/>
                <w:sz w:val="18"/>
                <w:szCs w:val="18"/>
                <w:color w:val="auto"/>
              </w:rPr>
              <w:t>—</w:t>
            </w:r>
          </w:p>
        </w:tc>
        <w:tc>
          <w:tcPr>
            <w:tcW w:w="1280" w:type="dxa"/>
            <w:vAlign w:val="bottom"/>
            <w:shd w:val="clear" w:color="auto" w:fill="E2E6F4"/>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11"/>
        </w:trPr>
        <w:tc>
          <w:tcPr>
            <w:tcW w:w="1980" w:type="dxa"/>
            <w:vAlign w:val="bottom"/>
            <w:vMerge w:val="continue"/>
            <w:shd w:val="clear" w:color="auto" w:fill="E2E6F4"/>
          </w:tcPr>
          <w:p>
            <w:pPr>
              <w:spacing w:after="0"/>
              <w:rPr>
                <w:sz w:val="9"/>
                <w:szCs w:val="9"/>
                <w:color w:val="auto"/>
              </w:rPr>
            </w:pPr>
          </w:p>
        </w:tc>
        <w:tc>
          <w:tcPr>
            <w:tcW w:w="1060" w:type="dxa"/>
            <w:vAlign w:val="bottom"/>
            <w:vMerge w:val="restart"/>
            <w:shd w:val="clear" w:color="auto" w:fill="E2E6F4"/>
          </w:tcPr>
          <w:p>
            <w:pPr>
              <w:jc w:val="right"/>
              <w:spacing w:after="0"/>
              <w:rPr>
                <w:sz w:val="20"/>
                <w:szCs w:val="20"/>
                <w:color w:val="auto"/>
              </w:rPr>
            </w:pPr>
            <w:r>
              <w:rPr>
                <w:rFonts w:ascii="Arial" w:cs="Arial" w:eastAsia="Arial" w:hAnsi="Arial"/>
                <w:sz w:val="18"/>
                <w:szCs w:val="18"/>
                <w:color w:val="auto"/>
              </w:rPr>
              <w:t>4/8/2025</w:t>
            </w:r>
          </w:p>
        </w:tc>
        <w:tc>
          <w:tcPr>
            <w:tcW w:w="900" w:type="dxa"/>
            <w:vAlign w:val="bottom"/>
            <w:vMerge w:val="restart"/>
            <w:shd w:val="clear" w:color="auto" w:fill="E2E6F4"/>
          </w:tcPr>
          <w:p>
            <w:pPr>
              <w:ind w:left="680"/>
              <w:spacing w:after="0"/>
              <w:rPr>
                <w:sz w:val="20"/>
                <w:szCs w:val="20"/>
                <w:color w:val="auto"/>
              </w:rPr>
            </w:pPr>
            <w:r>
              <w:rPr>
                <w:rFonts w:ascii="Arial" w:cs="Arial" w:eastAsia="Arial" w:hAnsi="Arial"/>
                <w:sz w:val="18"/>
                <w:szCs w:val="18"/>
                <w:color w:val="auto"/>
              </w:rPr>
              <w:t>—</w:t>
            </w:r>
          </w:p>
        </w:tc>
        <w:tc>
          <w:tcPr>
            <w:tcW w:w="40" w:type="dxa"/>
            <w:vAlign w:val="bottom"/>
            <w:shd w:val="clear" w:color="auto" w:fill="E2E6F4"/>
          </w:tcPr>
          <w:p>
            <w:pPr>
              <w:spacing w:after="0"/>
              <w:rPr>
                <w:sz w:val="9"/>
                <w:szCs w:val="9"/>
                <w:color w:val="auto"/>
              </w:rPr>
            </w:pPr>
          </w:p>
        </w:tc>
        <w:tc>
          <w:tcPr>
            <w:tcW w:w="940" w:type="dxa"/>
            <w:vAlign w:val="bottom"/>
            <w:vMerge w:val="restart"/>
            <w:shd w:val="clear" w:color="auto" w:fill="E2E6F4"/>
          </w:tcPr>
          <w:p>
            <w:pPr>
              <w:jc w:val="right"/>
              <w:spacing w:after="0"/>
              <w:rPr>
                <w:sz w:val="20"/>
                <w:szCs w:val="20"/>
                <w:color w:val="auto"/>
              </w:rPr>
            </w:pPr>
            <w:r>
              <w:rPr>
                <w:rFonts w:ascii="Arial" w:cs="Arial" w:eastAsia="Arial" w:hAnsi="Arial"/>
                <w:sz w:val="18"/>
                <w:szCs w:val="18"/>
                <w:color w:val="auto"/>
              </w:rPr>
              <w:t>—</w:t>
            </w:r>
          </w:p>
        </w:tc>
        <w:tc>
          <w:tcPr>
            <w:tcW w:w="980" w:type="dxa"/>
            <w:vAlign w:val="bottom"/>
            <w:vMerge w:val="restart"/>
            <w:shd w:val="clear" w:color="auto" w:fill="E2E6F4"/>
          </w:tcPr>
          <w:p>
            <w:pPr>
              <w:jc w:val="right"/>
              <w:ind w:right="51"/>
              <w:spacing w:after="0"/>
              <w:rPr>
                <w:sz w:val="20"/>
                <w:szCs w:val="20"/>
                <w:color w:val="auto"/>
              </w:rPr>
            </w:pPr>
            <w:r>
              <w:rPr>
                <w:rFonts w:ascii="Arial" w:cs="Arial" w:eastAsia="Arial" w:hAnsi="Arial"/>
                <w:sz w:val="18"/>
                <w:szCs w:val="18"/>
                <w:color w:val="auto"/>
              </w:rPr>
              <w:t>—</w:t>
            </w:r>
          </w:p>
        </w:tc>
        <w:tc>
          <w:tcPr>
            <w:tcW w:w="1000" w:type="dxa"/>
            <w:vAlign w:val="bottom"/>
            <w:vMerge w:val="restart"/>
            <w:shd w:val="clear" w:color="auto" w:fill="E2E6F4"/>
          </w:tcPr>
          <w:p>
            <w:pPr>
              <w:ind w:left="620"/>
              <w:spacing w:after="0"/>
              <w:rPr>
                <w:sz w:val="20"/>
                <w:szCs w:val="20"/>
                <w:color w:val="auto"/>
              </w:rPr>
            </w:pPr>
            <w:r>
              <w:rPr>
                <w:rFonts w:ascii="Arial" w:cs="Arial" w:eastAsia="Arial" w:hAnsi="Arial"/>
                <w:sz w:val="18"/>
                <w:szCs w:val="18"/>
                <w:color w:val="auto"/>
              </w:rPr>
              <w:t>—</w:t>
            </w:r>
          </w:p>
        </w:tc>
        <w:tc>
          <w:tcPr>
            <w:tcW w:w="780" w:type="dxa"/>
            <w:vAlign w:val="bottom"/>
            <w:vMerge w:val="restart"/>
            <w:shd w:val="clear" w:color="auto" w:fill="E2E6F4"/>
          </w:tcPr>
          <w:p>
            <w:pPr>
              <w:jc w:val="right"/>
              <w:ind w:right="11"/>
              <w:spacing w:after="0"/>
              <w:rPr>
                <w:sz w:val="20"/>
                <w:szCs w:val="20"/>
                <w:color w:val="auto"/>
              </w:rPr>
            </w:pPr>
            <w:r>
              <w:rPr>
                <w:rFonts w:ascii="Arial" w:cs="Arial" w:eastAsia="Arial" w:hAnsi="Arial"/>
                <w:sz w:val="18"/>
                <w:szCs w:val="18"/>
                <w:color w:val="auto"/>
              </w:rPr>
              <w:t>10,846</w:t>
            </w:r>
          </w:p>
        </w:tc>
        <w:tc>
          <w:tcPr>
            <w:tcW w:w="840" w:type="dxa"/>
            <w:vAlign w:val="bottom"/>
            <w:vMerge w:val="restart"/>
            <w:shd w:val="clear" w:color="auto" w:fill="E2E6F4"/>
          </w:tcPr>
          <w:p>
            <w:pPr>
              <w:jc w:val="right"/>
              <w:spacing w:after="0"/>
              <w:rPr>
                <w:sz w:val="20"/>
                <w:szCs w:val="20"/>
                <w:color w:val="auto"/>
              </w:rPr>
            </w:pPr>
            <w:r>
              <w:rPr>
                <w:rFonts w:ascii="Arial" w:cs="Arial" w:eastAsia="Arial" w:hAnsi="Arial"/>
                <w:sz w:val="18"/>
                <w:szCs w:val="18"/>
                <w:color w:val="auto"/>
              </w:rPr>
              <w:t>21,692</w:t>
            </w:r>
          </w:p>
        </w:tc>
        <w:tc>
          <w:tcPr>
            <w:tcW w:w="1440" w:type="dxa"/>
            <w:vAlign w:val="bottom"/>
            <w:vMerge w:val="restart"/>
            <w:shd w:val="clear" w:color="auto" w:fill="E2E6F4"/>
          </w:tcPr>
          <w:p>
            <w:pPr>
              <w:jc w:val="right"/>
              <w:ind w:right="72"/>
              <w:spacing w:after="0"/>
              <w:rPr>
                <w:sz w:val="20"/>
                <w:szCs w:val="20"/>
                <w:color w:val="auto"/>
              </w:rPr>
            </w:pPr>
            <w:r>
              <w:rPr>
                <w:rFonts w:ascii="Arial" w:cs="Arial" w:eastAsia="Arial" w:hAnsi="Arial"/>
                <w:sz w:val="18"/>
                <w:szCs w:val="18"/>
                <w:color w:val="auto"/>
              </w:rPr>
              <w:t>—</w:t>
            </w:r>
          </w:p>
        </w:tc>
        <w:tc>
          <w:tcPr>
            <w:tcW w:w="1280" w:type="dxa"/>
            <w:vAlign w:val="bottom"/>
            <w:vMerge w:val="restart"/>
            <w:shd w:val="clear" w:color="auto" w:fill="E2E6F4"/>
          </w:tcPr>
          <w:p>
            <w:pPr>
              <w:jc w:val="right"/>
              <w:spacing w:after="0"/>
              <w:rPr>
                <w:sz w:val="20"/>
                <w:szCs w:val="20"/>
                <w:color w:val="auto"/>
              </w:rPr>
            </w:pPr>
            <w:r>
              <w:rPr>
                <w:rFonts w:ascii="Arial" w:cs="Arial" w:eastAsia="Arial" w:hAnsi="Arial"/>
                <w:sz w:val="18"/>
                <w:szCs w:val="18"/>
                <w:color w:val="auto"/>
              </w:rPr>
              <w:t>1,680,371</w:t>
            </w:r>
          </w:p>
        </w:tc>
        <w:tc>
          <w:tcPr>
            <w:tcW w:w="0" w:type="dxa"/>
            <w:vAlign w:val="bottom"/>
          </w:tcPr>
          <w:p>
            <w:pPr>
              <w:spacing w:after="0"/>
              <w:rPr>
                <w:sz w:val="1"/>
                <w:szCs w:val="1"/>
                <w:color w:val="auto"/>
              </w:rPr>
            </w:pPr>
          </w:p>
        </w:tc>
      </w:tr>
      <w:tr>
        <w:trPr>
          <w:trHeight w:val="141"/>
        </w:trPr>
        <w:tc>
          <w:tcPr>
            <w:tcW w:w="1980" w:type="dxa"/>
            <w:vAlign w:val="bottom"/>
            <w:shd w:val="clear" w:color="auto" w:fill="E2E6F4"/>
          </w:tcPr>
          <w:p>
            <w:pPr>
              <w:spacing w:after="0"/>
              <w:rPr>
                <w:sz w:val="12"/>
                <w:szCs w:val="12"/>
                <w:color w:val="auto"/>
              </w:rPr>
            </w:pPr>
          </w:p>
        </w:tc>
        <w:tc>
          <w:tcPr>
            <w:tcW w:w="1060" w:type="dxa"/>
            <w:vAlign w:val="bottom"/>
            <w:vMerge w:val="continue"/>
            <w:shd w:val="clear" w:color="auto" w:fill="E2E6F4"/>
          </w:tcPr>
          <w:p>
            <w:pPr>
              <w:spacing w:after="0"/>
              <w:rPr>
                <w:sz w:val="12"/>
                <w:szCs w:val="12"/>
                <w:color w:val="auto"/>
              </w:rPr>
            </w:pPr>
          </w:p>
        </w:tc>
        <w:tc>
          <w:tcPr>
            <w:tcW w:w="900" w:type="dxa"/>
            <w:vAlign w:val="bottom"/>
            <w:vMerge w:val="continue"/>
            <w:shd w:val="clear" w:color="auto" w:fill="E2E6F4"/>
          </w:tcPr>
          <w:p>
            <w:pPr>
              <w:spacing w:after="0"/>
              <w:rPr>
                <w:sz w:val="12"/>
                <w:szCs w:val="12"/>
                <w:color w:val="auto"/>
              </w:rPr>
            </w:pPr>
          </w:p>
        </w:tc>
        <w:tc>
          <w:tcPr>
            <w:tcW w:w="40" w:type="dxa"/>
            <w:vAlign w:val="bottom"/>
            <w:shd w:val="clear" w:color="auto" w:fill="E2E6F4"/>
          </w:tcPr>
          <w:p>
            <w:pPr>
              <w:spacing w:after="0"/>
              <w:rPr>
                <w:sz w:val="12"/>
                <w:szCs w:val="12"/>
                <w:color w:val="auto"/>
              </w:rPr>
            </w:pPr>
          </w:p>
        </w:tc>
        <w:tc>
          <w:tcPr>
            <w:tcW w:w="940" w:type="dxa"/>
            <w:vAlign w:val="bottom"/>
            <w:vMerge w:val="continue"/>
            <w:shd w:val="clear" w:color="auto" w:fill="E2E6F4"/>
          </w:tcPr>
          <w:p>
            <w:pPr>
              <w:spacing w:after="0"/>
              <w:rPr>
                <w:sz w:val="12"/>
                <w:szCs w:val="12"/>
                <w:color w:val="auto"/>
              </w:rPr>
            </w:pPr>
          </w:p>
        </w:tc>
        <w:tc>
          <w:tcPr>
            <w:tcW w:w="980" w:type="dxa"/>
            <w:vAlign w:val="bottom"/>
            <w:vMerge w:val="continue"/>
            <w:shd w:val="clear" w:color="auto" w:fill="E2E6F4"/>
          </w:tcPr>
          <w:p>
            <w:pPr>
              <w:spacing w:after="0"/>
              <w:rPr>
                <w:sz w:val="12"/>
                <w:szCs w:val="12"/>
                <w:color w:val="auto"/>
              </w:rPr>
            </w:pPr>
          </w:p>
        </w:tc>
        <w:tc>
          <w:tcPr>
            <w:tcW w:w="1000" w:type="dxa"/>
            <w:vAlign w:val="bottom"/>
            <w:vMerge w:val="continue"/>
            <w:shd w:val="clear" w:color="auto" w:fill="E2E6F4"/>
          </w:tcPr>
          <w:p>
            <w:pPr>
              <w:spacing w:after="0"/>
              <w:rPr>
                <w:sz w:val="12"/>
                <w:szCs w:val="12"/>
                <w:color w:val="auto"/>
              </w:rPr>
            </w:pPr>
          </w:p>
        </w:tc>
        <w:tc>
          <w:tcPr>
            <w:tcW w:w="780" w:type="dxa"/>
            <w:vAlign w:val="bottom"/>
            <w:vMerge w:val="continue"/>
            <w:shd w:val="clear" w:color="auto" w:fill="E2E6F4"/>
          </w:tcPr>
          <w:p>
            <w:pPr>
              <w:spacing w:after="0"/>
              <w:rPr>
                <w:sz w:val="12"/>
                <w:szCs w:val="12"/>
                <w:color w:val="auto"/>
              </w:rPr>
            </w:pPr>
          </w:p>
        </w:tc>
        <w:tc>
          <w:tcPr>
            <w:tcW w:w="840" w:type="dxa"/>
            <w:vAlign w:val="bottom"/>
            <w:vMerge w:val="continue"/>
            <w:shd w:val="clear" w:color="auto" w:fill="E2E6F4"/>
          </w:tcPr>
          <w:p>
            <w:pPr>
              <w:spacing w:after="0"/>
              <w:rPr>
                <w:sz w:val="12"/>
                <w:szCs w:val="12"/>
                <w:color w:val="auto"/>
              </w:rPr>
            </w:pPr>
          </w:p>
        </w:tc>
        <w:tc>
          <w:tcPr>
            <w:tcW w:w="1440" w:type="dxa"/>
            <w:vAlign w:val="bottom"/>
            <w:vMerge w:val="continue"/>
            <w:shd w:val="clear" w:color="auto" w:fill="E2E6F4"/>
          </w:tcPr>
          <w:p>
            <w:pPr>
              <w:spacing w:after="0"/>
              <w:rPr>
                <w:sz w:val="12"/>
                <w:szCs w:val="12"/>
                <w:color w:val="auto"/>
              </w:rPr>
            </w:pPr>
          </w:p>
        </w:tc>
        <w:tc>
          <w:tcPr>
            <w:tcW w:w="1280" w:type="dxa"/>
            <w:vAlign w:val="bottom"/>
            <w:vMerge w:val="continue"/>
            <w:shd w:val="clear" w:color="auto" w:fill="E2E6F4"/>
          </w:tcPr>
          <w:p>
            <w:pPr>
              <w:spacing w:after="0"/>
              <w:rPr>
                <w:sz w:val="12"/>
                <w:szCs w:val="12"/>
                <w:color w:val="auto"/>
              </w:rPr>
            </w:pPr>
          </w:p>
        </w:tc>
        <w:tc>
          <w:tcPr>
            <w:tcW w:w="0" w:type="dxa"/>
            <w:vAlign w:val="bottom"/>
          </w:tcPr>
          <w:p>
            <w:pPr>
              <w:spacing w:after="0"/>
              <w:rPr>
                <w:sz w:val="1"/>
                <w:szCs w:val="1"/>
                <w:color w:val="auto"/>
              </w:rPr>
            </w:pPr>
          </w:p>
        </w:tc>
      </w:tr>
      <w:tr>
        <w:trPr>
          <w:trHeight w:val="256"/>
        </w:trPr>
        <w:tc>
          <w:tcPr>
            <w:tcW w:w="1980" w:type="dxa"/>
            <w:vAlign w:val="bottom"/>
            <w:shd w:val="clear" w:color="auto" w:fill="E2E6F4"/>
          </w:tcPr>
          <w:p>
            <w:pPr>
              <w:spacing w:after="0"/>
              <w:rPr>
                <w:sz w:val="22"/>
                <w:szCs w:val="22"/>
                <w:color w:val="auto"/>
              </w:rPr>
            </w:pPr>
          </w:p>
        </w:tc>
        <w:tc>
          <w:tcPr>
            <w:tcW w:w="1060" w:type="dxa"/>
            <w:vAlign w:val="bottom"/>
            <w:shd w:val="clear" w:color="auto" w:fill="E2E6F4"/>
          </w:tcPr>
          <w:p>
            <w:pPr>
              <w:jc w:val="right"/>
              <w:spacing w:after="0"/>
              <w:rPr>
                <w:sz w:val="20"/>
                <w:szCs w:val="20"/>
                <w:color w:val="auto"/>
              </w:rPr>
            </w:pPr>
            <w:r>
              <w:rPr>
                <w:rFonts w:ascii="Arial" w:cs="Arial" w:eastAsia="Arial" w:hAnsi="Arial"/>
                <w:sz w:val="18"/>
                <w:szCs w:val="18"/>
                <w:color w:val="auto"/>
              </w:rPr>
              <w:t>4/8/2025</w:t>
            </w:r>
          </w:p>
        </w:tc>
        <w:tc>
          <w:tcPr>
            <w:tcW w:w="900" w:type="dxa"/>
            <w:vAlign w:val="bottom"/>
            <w:shd w:val="clear" w:color="auto" w:fill="E2E6F4"/>
          </w:tcPr>
          <w:p>
            <w:pPr>
              <w:ind w:left="680"/>
              <w:spacing w:after="0"/>
              <w:rPr>
                <w:sz w:val="20"/>
                <w:szCs w:val="20"/>
                <w:color w:val="auto"/>
              </w:rPr>
            </w:pPr>
            <w:r>
              <w:rPr>
                <w:rFonts w:ascii="Arial" w:cs="Arial" w:eastAsia="Arial" w:hAnsi="Arial"/>
                <w:sz w:val="18"/>
                <w:szCs w:val="18"/>
                <w:color w:val="auto"/>
              </w:rPr>
              <w:t>—</w:t>
            </w:r>
          </w:p>
        </w:tc>
        <w:tc>
          <w:tcPr>
            <w:tcW w:w="40" w:type="dxa"/>
            <w:vAlign w:val="bottom"/>
            <w:shd w:val="clear" w:color="auto" w:fill="E2E6F4"/>
          </w:tcPr>
          <w:p>
            <w:pPr>
              <w:spacing w:after="0"/>
              <w:rPr>
                <w:sz w:val="22"/>
                <w:szCs w:val="22"/>
                <w:color w:val="auto"/>
              </w:rPr>
            </w:pPr>
          </w:p>
        </w:tc>
        <w:tc>
          <w:tcPr>
            <w:tcW w:w="940" w:type="dxa"/>
            <w:vAlign w:val="bottom"/>
            <w:shd w:val="clear" w:color="auto" w:fill="E2E6F4"/>
          </w:tcPr>
          <w:p>
            <w:pPr>
              <w:jc w:val="right"/>
              <w:spacing w:after="0"/>
              <w:rPr>
                <w:sz w:val="20"/>
                <w:szCs w:val="20"/>
                <w:color w:val="auto"/>
              </w:rPr>
            </w:pPr>
            <w:r>
              <w:rPr>
                <w:rFonts w:ascii="Arial" w:cs="Arial" w:eastAsia="Arial" w:hAnsi="Arial"/>
                <w:sz w:val="18"/>
                <w:szCs w:val="18"/>
                <w:color w:val="auto"/>
              </w:rPr>
              <w:t>—</w:t>
            </w:r>
          </w:p>
        </w:tc>
        <w:tc>
          <w:tcPr>
            <w:tcW w:w="980" w:type="dxa"/>
            <w:vAlign w:val="bottom"/>
            <w:shd w:val="clear" w:color="auto" w:fill="E2E6F4"/>
          </w:tcPr>
          <w:p>
            <w:pPr>
              <w:jc w:val="right"/>
              <w:ind w:right="51"/>
              <w:spacing w:after="0"/>
              <w:rPr>
                <w:sz w:val="20"/>
                <w:szCs w:val="20"/>
                <w:color w:val="auto"/>
              </w:rPr>
            </w:pPr>
            <w:r>
              <w:rPr>
                <w:rFonts w:ascii="Arial" w:cs="Arial" w:eastAsia="Arial" w:hAnsi="Arial"/>
                <w:sz w:val="18"/>
                <w:szCs w:val="18"/>
                <w:color w:val="auto"/>
              </w:rPr>
              <w:t>—</w:t>
            </w:r>
          </w:p>
        </w:tc>
        <w:tc>
          <w:tcPr>
            <w:tcW w:w="1000" w:type="dxa"/>
            <w:vAlign w:val="bottom"/>
            <w:shd w:val="clear" w:color="auto" w:fill="E2E6F4"/>
          </w:tcPr>
          <w:p>
            <w:pPr>
              <w:ind w:left="620"/>
              <w:spacing w:after="0"/>
              <w:rPr>
                <w:sz w:val="20"/>
                <w:szCs w:val="20"/>
                <w:color w:val="auto"/>
              </w:rPr>
            </w:pPr>
            <w:r>
              <w:rPr>
                <w:rFonts w:ascii="Arial" w:cs="Arial" w:eastAsia="Arial" w:hAnsi="Arial"/>
                <w:sz w:val="18"/>
                <w:szCs w:val="18"/>
                <w:color w:val="auto"/>
              </w:rPr>
              <w:t>—</w:t>
            </w:r>
          </w:p>
        </w:tc>
        <w:tc>
          <w:tcPr>
            <w:tcW w:w="780" w:type="dxa"/>
            <w:vAlign w:val="bottom"/>
            <w:shd w:val="clear" w:color="auto" w:fill="E2E6F4"/>
          </w:tcPr>
          <w:p>
            <w:pPr>
              <w:jc w:val="right"/>
              <w:ind w:right="11"/>
              <w:spacing w:after="0"/>
              <w:rPr>
                <w:sz w:val="20"/>
                <w:szCs w:val="20"/>
                <w:color w:val="auto"/>
              </w:rPr>
            </w:pPr>
            <w:r>
              <w:rPr>
                <w:rFonts w:ascii="Arial" w:cs="Arial" w:eastAsia="Arial" w:hAnsi="Arial"/>
                <w:sz w:val="18"/>
                <w:szCs w:val="18"/>
                <w:color w:val="auto"/>
              </w:rPr>
              <w:t>7,977</w:t>
            </w:r>
          </w:p>
        </w:tc>
        <w:tc>
          <w:tcPr>
            <w:tcW w:w="840" w:type="dxa"/>
            <w:vAlign w:val="bottom"/>
            <w:shd w:val="clear" w:color="auto" w:fill="E2E6F4"/>
          </w:tcPr>
          <w:p>
            <w:pPr>
              <w:jc w:val="right"/>
              <w:spacing w:after="0"/>
              <w:rPr>
                <w:sz w:val="20"/>
                <w:szCs w:val="20"/>
                <w:color w:val="auto"/>
              </w:rPr>
            </w:pPr>
            <w:r>
              <w:rPr>
                <w:rFonts w:ascii="Arial" w:cs="Arial" w:eastAsia="Arial" w:hAnsi="Arial"/>
                <w:sz w:val="18"/>
                <w:szCs w:val="18"/>
                <w:color w:val="auto"/>
              </w:rPr>
              <w:t>15,954</w:t>
            </w:r>
          </w:p>
        </w:tc>
        <w:tc>
          <w:tcPr>
            <w:tcW w:w="1440" w:type="dxa"/>
            <w:vAlign w:val="bottom"/>
            <w:shd w:val="clear" w:color="auto" w:fill="E2E6F4"/>
          </w:tcPr>
          <w:p>
            <w:pPr>
              <w:jc w:val="right"/>
              <w:ind w:right="72"/>
              <w:spacing w:after="0"/>
              <w:rPr>
                <w:sz w:val="20"/>
                <w:szCs w:val="20"/>
                <w:color w:val="auto"/>
              </w:rPr>
            </w:pPr>
            <w:r>
              <w:rPr>
                <w:rFonts w:ascii="Arial" w:cs="Arial" w:eastAsia="Arial" w:hAnsi="Arial"/>
                <w:sz w:val="18"/>
                <w:szCs w:val="18"/>
                <w:color w:val="auto"/>
              </w:rPr>
              <w:t>—</w:t>
            </w:r>
          </w:p>
        </w:tc>
        <w:tc>
          <w:tcPr>
            <w:tcW w:w="1280" w:type="dxa"/>
            <w:vAlign w:val="bottom"/>
            <w:shd w:val="clear" w:color="auto" w:fill="E2E6F4"/>
          </w:tcPr>
          <w:p>
            <w:pPr>
              <w:jc w:val="right"/>
              <w:spacing w:after="0"/>
              <w:rPr>
                <w:sz w:val="20"/>
                <w:szCs w:val="20"/>
                <w:color w:val="auto"/>
              </w:rPr>
            </w:pPr>
            <w:r>
              <w:rPr>
                <w:rFonts w:ascii="Arial" w:cs="Arial" w:eastAsia="Arial" w:hAnsi="Arial"/>
                <w:sz w:val="18"/>
                <w:szCs w:val="18"/>
                <w:color w:val="auto"/>
              </w:rPr>
              <w:t>1,440,008</w:t>
            </w:r>
          </w:p>
        </w:tc>
        <w:tc>
          <w:tcPr>
            <w:tcW w:w="0" w:type="dxa"/>
            <w:vAlign w:val="bottom"/>
          </w:tcPr>
          <w:p>
            <w:pPr>
              <w:spacing w:after="0"/>
              <w:rPr>
                <w:sz w:val="1"/>
                <w:szCs w:val="1"/>
                <w:color w:val="auto"/>
              </w:rPr>
            </w:pPr>
          </w:p>
        </w:tc>
      </w:tr>
      <w:tr>
        <w:trPr>
          <w:trHeight w:val="259"/>
        </w:trPr>
        <w:tc>
          <w:tcPr>
            <w:tcW w:w="1980" w:type="dxa"/>
            <w:vAlign w:val="bottom"/>
            <w:tcBorders>
              <w:bottom w:val="single" w:sz="8" w:color="E2E6F4"/>
            </w:tcBorders>
            <w:shd w:val="clear" w:color="auto" w:fill="E2E6F4"/>
          </w:tcPr>
          <w:p>
            <w:pPr>
              <w:spacing w:after="0"/>
              <w:rPr>
                <w:sz w:val="22"/>
                <w:szCs w:val="22"/>
                <w:color w:val="auto"/>
              </w:rPr>
            </w:pPr>
          </w:p>
        </w:tc>
        <w:tc>
          <w:tcPr>
            <w:tcW w:w="1060" w:type="dxa"/>
            <w:vAlign w:val="bottom"/>
            <w:tcBorders>
              <w:bottom w:val="single" w:sz="8" w:color="E2E6F4"/>
            </w:tcBorders>
            <w:shd w:val="clear" w:color="auto" w:fill="E2E6F4"/>
          </w:tcPr>
          <w:p>
            <w:pPr>
              <w:jc w:val="right"/>
              <w:spacing w:after="0"/>
              <w:rPr>
                <w:sz w:val="20"/>
                <w:szCs w:val="20"/>
                <w:color w:val="auto"/>
              </w:rPr>
            </w:pPr>
            <w:r>
              <w:rPr>
                <w:rFonts w:ascii="Arial" w:cs="Arial" w:eastAsia="Arial" w:hAnsi="Arial"/>
                <w:sz w:val="18"/>
                <w:szCs w:val="18"/>
                <w:color w:val="auto"/>
              </w:rPr>
              <w:t>4/8/2025</w:t>
            </w:r>
          </w:p>
        </w:tc>
        <w:tc>
          <w:tcPr>
            <w:tcW w:w="900" w:type="dxa"/>
            <w:vAlign w:val="bottom"/>
            <w:tcBorders>
              <w:bottom w:val="single" w:sz="8" w:color="E2E6F4"/>
            </w:tcBorders>
            <w:shd w:val="clear" w:color="auto" w:fill="E2E6F4"/>
          </w:tcPr>
          <w:p>
            <w:pPr>
              <w:ind w:left="680"/>
              <w:spacing w:after="0"/>
              <w:rPr>
                <w:sz w:val="20"/>
                <w:szCs w:val="20"/>
                <w:color w:val="auto"/>
              </w:rPr>
            </w:pPr>
            <w:r>
              <w:rPr>
                <w:rFonts w:ascii="Arial" w:cs="Arial" w:eastAsia="Arial" w:hAnsi="Arial"/>
                <w:sz w:val="18"/>
                <w:szCs w:val="18"/>
                <w:color w:val="auto"/>
              </w:rPr>
              <w:t>—</w:t>
            </w:r>
          </w:p>
        </w:tc>
        <w:tc>
          <w:tcPr>
            <w:tcW w:w="40" w:type="dxa"/>
            <w:vAlign w:val="bottom"/>
            <w:tcBorders>
              <w:bottom w:val="single" w:sz="8" w:color="E2E6F4"/>
            </w:tcBorders>
            <w:shd w:val="clear" w:color="auto" w:fill="E2E6F4"/>
          </w:tcPr>
          <w:p>
            <w:pPr>
              <w:spacing w:after="0"/>
              <w:rPr>
                <w:sz w:val="22"/>
                <w:szCs w:val="22"/>
                <w:color w:val="auto"/>
              </w:rPr>
            </w:pPr>
          </w:p>
        </w:tc>
        <w:tc>
          <w:tcPr>
            <w:tcW w:w="940" w:type="dxa"/>
            <w:vAlign w:val="bottom"/>
            <w:tcBorders>
              <w:bottom w:val="single" w:sz="8" w:color="E2E6F4"/>
            </w:tcBorders>
            <w:shd w:val="clear" w:color="auto" w:fill="E2E6F4"/>
          </w:tcPr>
          <w:p>
            <w:pPr>
              <w:jc w:val="right"/>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E2E6F4"/>
            </w:tcBorders>
            <w:shd w:val="clear" w:color="auto" w:fill="E2E6F4"/>
          </w:tcPr>
          <w:p>
            <w:pPr>
              <w:jc w:val="right"/>
              <w:ind w:right="51"/>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E2E6F4"/>
            </w:tcBorders>
            <w:shd w:val="clear" w:color="auto" w:fill="E2E6F4"/>
          </w:tcPr>
          <w:p>
            <w:pPr>
              <w:ind w:left="620"/>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E2E6F4"/>
            </w:tcBorders>
            <w:shd w:val="clear" w:color="auto" w:fill="E2E6F4"/>
          </w:tcPr>
          <w:p>
            <w:pPr>
              <w:jc w:val="right"/>
              <w:ind w:right="11"/>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E2E6F4"/>
            </w:tcBorders>
            <w:shd w:val="clear" w:color="auto" w:fill="E2E6F4"/>
          </w:tcPr>
          <w:p>
            <w:pPr>
              <w:jc w:val="right"/>
              <w:spacing w:after="0"/>
              <w:rPr>
                <w:sz w:val="20"/>
                <w:szCs w:val="20"/>
                <w:color w:val="auto"/>
              </w:rPr>
            </w:pPr>
            <w:r>
              <w:rPr>
                <w:rFonts w:ascii="Arial" w:cs="Arial" w:eastAsia="Arial" w:hAnsi="Arial"/>
                <w:sz w:val="18"/>
                <w:szCs w:val="18"/>
                <w:color w:val="auto"/>
              </w:rPr>
              <w:t>—</w:t>
            </w:r>
          </w:p>
        </w:tc>
        <w:tc>
          <w:tcPr>
            <w:tcW w:w="1440" w:type="dxa"/>
            <w:vAlign w:val="bottom"/>
            <w:tcBorders>
              <w:bottom w:val="single" w:sz="8" w:color="E2E6F4"/>
            </w:tcBorders>
            <w:shd w:val="clear" w:color="auto" w:fill="E2E6F4"/>
          </w:tcPr>
          <w:p>
            <w:pPr>
              <w:jc w:val="right"/>
              <w:ind w:right="72"/>
              <w:spacing w:after="0"/>
              <w:rPr>
                <w:sz w:val="20"/>
                <w:szCs w:val="20"/>
                <w:color w:val="auto"/>
              </w:rPr>
            </w:pPr>
            <w:r>
              <w:rPr>
                <w:rFonts w:ascii="Arial" w:cs="Arial" w:eastAsia="Arial" w:hAnsi="Arial"/>
                <w:sz w:val="18"/>
                <w:szCs w:val="18"/>
                <w:color w:val="auto"/>
              </w:rPr>
              <w:t>10,717</w:t>
            </w:r>
          </w:p>
        </w:tc>
        <w:tc>
          <w:tcPr>
            <w:tcW w:w="1280" w:type="dxa"/>
            <w:vAlign w:val="bottom"/>
            <w:tcBorders>
              <w:bottom w:val="single" w:sz="8" w:color="E2E6F4"/>
            </w:tcBorders>
            <w:shd w:val="clear" w:color="auto" w:fill="E2E6F4"/>
          </w:tcPr>
          <w:p>
            <w:pPr>
              <w:jc w:val="right"/>
              <w:spacing w:after="0"/>
              <w:rPr>
                <w:sz w:val="20"/>
                <w:szCs w:val="20"/>
                <w:color w:val="auto"/>
              </w:rPr>
            </w:pPr>
            <w:r>
              <w:rPr>
                <w:rFonts w:ascii="Arial" w:cs="Arial" w:eastAsia="Arial" w:hAnsi="Arial"/>
                <w:sz w:val="18"/>
                <w:szCs w:val="18"/>
                <w:color w:val="auto"/>
              </w:rPr>
              <w:t>1,680,211</w:t>
            </w:r>
          </w:p>
        </w:tc>
        <w:tc>
          <w:tcPr>
            <w:tcW w:w="0" w:type="dxa"/>
            <w:vAlign w:val="bottom"/>
          </w:tcPr>
          <w:p>
            <w:pPr>
              <w:spacing w:after="0"/>
              <w:rPr>
                <w:sz w:val="1"/>
                <w:szCs w:val="1"/>
                <w:color w:val="auto"/>
              </w:rPr>
            </w:pPr>
          </w:p>
        </w:tc>
      </w:tr>
      <w:tr>
        <w:trPr>
          <w:trHeight w:val="247"/>
        </w:trPr>
        <w:tc>
          <w:tcPr>
            <w:tcW w:w="1980" w:type="dxa"/>
            <w:vAlign w:val="bottom"/>
          </w:tcPr>
          <w:p>
            <w:pPr>
              <w:ind w:left="20"/>
              <w:spacing w:after="0"/>
              <w:rPr>
                <w:sz w:val="20"/>
                <w:szCs w:val="20"/>
                <w:color w:val="auto"/>
              </w:rPr>
            </w:pPr>
            <w:r>
              <w:rPr>
                <w:rFonts w:ascii="Arial" w:cs="Arial" w:eastAsia="Arial" w:hAnsi="Arial"/>
                <w:sz w:val="18"/>
                <w:szCs w:val="18"/>
                <w:b w:val="1"/>
                <w:bCs w:val="1"/>
                <w:color w:val="0067B3"/>
              </w:rPr>
              <w:t>Vivek Jain</w:t>
            </w: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ind w:left="68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875,000</w:t>
            </w:r>
          </w:p>
        </w:tc>
        <w:tc>
          <w:tcPr>
            <w:tcW w:w="980" w:type="dxa"/>
            <w:vAlign w:val="bottom"/>
          </w:tcPr>
          <w:p>
            <w:pPr>
              <w:jc w:val="right"/>
              <w:ind w:right="51"/>
              <w:spacing w:after="0"/>
              <w:rPr>
                <w:sz w:val="20"/>
                <w:szCs w:val="20"/>
                <w:color w:val="auto"/>
              </w:rPr>
            </w:pPr>
            <w:r>
              <w:rPr>
                <w:rFonts w:ascii="Arial" w:cs="Arial" w:eastAsia="Arial" w:hAnsi="Arial"/>
                <w:sz w:val="18"/>
                <w:szCs w:val="18"/>
                <w:color w:val="auto"/>
              </w:rPr>
              <w:t>2,187,500</w:t>
            </w:r>
          </w:p>
        </w:tc>
        <w:tc>
          <w:tcPr>
            <w:tcW w:w="1000" w:type="dxa"/>
            <w:vAlign w:val="bottom"/>
          </w:tcPr>
          <w:p>
            <w:pPr>
              <w:ind w:left="620"/>
              <w:spacing w:after="0"/>
              <w:rPr>
                <w:sz w:val="20"/>
                <w:szCs w:val="20"/>
                <w:color w:val="auto"/>
              </w:rPr>
            </w:pPr>
            <w:r>
              <w:rPr>
                <w:rFonts w:ascii="Arial" w:cs="Arial" w:eastAsia="Arial" w:hAnsi="Arial"/>
                <w:sz w:val="18"/>
                <w:szCs w:val="18"/>
                <w:color w:val="auto"/>
              </w:rPr>
              <w:t>—</w:t>
            </w:r>
          </w:p>
        </w:tc>
        <w:tc>
          <w:tcPr>
            <w:tcW w:w="78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1440" w:type="dxa"/>
            <w:vAlign w:val="bottom"/>
          </w:tcPr>
          <w:p>
            <w:pPr>
              <w:jc w:val="right"/>
              <w:ind w:right="72"/>
              <w:spacing w:after="0"/>
              <w:rPr>
                <w:sz w:val="20"/>
                <w:szCs w:val="20"/>
                <w:color w:val="auto"/>
              </w:rPr>
            </w:pPr>
            <w:r>
              <w:rPr>
                <w:rFonts w:ascii="Arial" w:cs="Arial" w:eastAsia="Arial" w:hAnsi="Arial"/>
                <w:sz w:val="18"/>
                <w:szCs w:val="18"/>
                <w:color w:val="auto"/>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198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4/8/2025</w:t>
            </w:r>
          </w:p>
        </w:tc>
        <w:tc>
          <w:tcPr>
            <w:tcW w:w="940" w:type="dxa"/>
            <w:vAlign w:val="bottom"/>
            <w:gridSpan w:val="2"/>
          </w:tcPr>
          <w:p>
            <w:pPr>
              <w:ind w:left="68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51"/>
              <w:spacing w:after="0"/>
              <w:rPr>
                <w:sz w:val="20"/>
                <w:szCs w:val="20"/>
                <w:color w:val="auto"/>
              </w:rPr>
            </w:pPr>
            <w:r>
              <w:rPr>
                <w:rFonts w:ascii="Arial" w:cs="Arial" w:eastAsia="Arial" w:hAnsi="Arial"/>
                <w:sz w:val="18"/>
                <w:szCs w:val="18"/>
                <w:color w:val="auto"/>
              </w:rPr>
              <w:t>—</w:t>
            </w:r>
          </w:p>
        </w:tc>
        <w:tc>
          <w:tcPr>
            <w:tcW w:w="1000" w:type="dxa"/>
            <w:vAlign w:val="bottom"/>
          </w:tcPr>
          <w:p>
            <w:pPr>
              <w:ind w:left="620"/>
              <w:spacing w:after="0"/>
              <w:rPr>
                <w:sz w:val="20"/>
                <w:szCs w:val="20"/>
                <w:color w:val="auto"/>
              </w:rPr>
            </w:pPr>
            <w:r>
              <w:rPr>
                <w:rFonts w:ascii="Arial" w:cs="Arial" w:eastAsia="Arial" w:hAnsi="Arial"/>
                <w:sz w:val="18"/>
                <w:szCs w:val="18"/>
                <w:color w:val="auto"/>
              </w:rPr>
              <w:t>—</w:t>
            </w:r>
          </w:p>
        </w:tc>
        <w:tc>
          <w:tcPr>
            <w:tcW w:w="780" w:type="dxa"/>
            <w:vAlign w:val="bottom"/>
          </w:tcPr>
          <w:p>
            <w:pPr>
              <w:jc w:val="right"/>
              <w:ind w:right="11"/>
              <w:spacing w:after="0"/>
              <w:rPr>
                <w:sz w:val="20"/>
                <w:szCs w:val="20"/>
                <w:color w:val="auto"/>
              </w:rPr>
            </w:pPr>
            <w:r>
              <w:rPr>
                <w:rFonts w:ascii="Arial" w:cs="Arial" w:eastAsia="Arial" w:hAnsi="Arial"/>
                <w:sz w:val="18"/>
                <w:szCs w:val="18"/>
                <w:color w:val="auto"/>
              </w:rPr>
              <w:t>12,767</w:t>
            </w:r>
          </w:p>
        </w:tc>
        <w:tc>
          <w:tcPr>
            <w:tcW w:w="840" w:type="dxa"/>
            <w:vAlign w:val="bottom"/>
          </w:tcPr>
          <w:p>
            <w:pPr>
              <w:jc w:val="right"/>
              <w:spacing w:after="0"/>
              <w:rPr>
                <w:sz w:val="20"/>
                <w:szCs w:val="20"/>
                <w:color w:val="auto"/>
              </w:rPr>
            </w:pPr>
            <w:r>
              <w:rPr>
                <w:rFonts w:ascii="Arial" w:cs="Arial" w:eastAsia="Arial" w:hAnsi="Arial"/>
                <w:sz w:val="18"/>
                <w:szCs w:val="18"/>
                <w:color w:val="auto"/>
              </w:rPr>
              <w:t>25,534</w:t>
            </w:r>
          </w:p>
        </w:tc>
        <w:tc>
          <w:tcPr>
            <w:tcW w:w="1440" w:type="dxa"/>
            <w:vAlign w:val="bottom"/>
          </w:tcPr>
          <w:p>
            <w:pPr>
              <w:jc w:val="right"/>
              <w:ind w:right="72"/>
              <w:spacing w:after="0"/>
              <w:rPr>
                <w:sz w:val="20"/>
                <w:szCs w:val="20"/>
                <w:color w:val="auto"/>
              </w:rPr>
            </w:pPr>
            <w:r>
              <w:rPr>
                <w:rFonts w:ascii="Arial" w:cs="Arial" w:eastAsia="Arial" w:hAnsi="Arial"/>
                <w:sz w:val="18"/>
                <w:szCs w:val="18"/>
                <w:color w:val="auto"/>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1,977,991</w:t>
            </w:r>
          </w:p>
        </w:tc>
        <w:tc>
          <w:tcPr>
            <w:tcW w:w="0" w:type="dxa"/>
            <w:vAlign w:val="bottom"/>
          </w:tcPr>
          <w:p>
            <w:pPr>
              <w:spacing w:after="0"/>
              <w:rPr>
                <w:sz w:val="1"/>
                <w:szCs w:val="1"/>
                <w:color w:val="auto"/>
              </w:rPr>
            </w:pPr>
          </w:p>
        </w:tc>
      </w:tr>
      <w:tr>
        <w:trPr>
          <w:trHeight w:val="257"/>
        </w:trPr>
        <w:tc>
          <w:tcPr>
            <w:tcW w:w="198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4/8/2025</w:t>
            </w:r>
          </w:p>
        </w:tc>
        <w:tc>
          <w:tcPr>
            <w:tcW w:w="940" w:type="dxa"/>
            <w:vAlign w:val="bottom"/>
            <w:gridSpan w:val="2"/>
          </w:tcPr>
          <w:p>
            <w:pPr>
              <w:ind w:left="68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51"/>
              <w:spacing w:after="0"/>
              <w:rPr>
                <w:sz w:val="20"/>
                <w:szCs w:val="20"/>
                <w:color w:val="auto"/>
              </w:rPr>
            </w:pPr>
            <w:r>
              <w:rPr>
                <w:rFonts w:ascii="Arial" w:cs="Arial" w:eastAsia="Arial" w:hAnsi="Arial"/>
                <w:sz w:val="18"/>
                <w:szCs w:val="18"/>
                <w:color w:val="auto"/>
              </w:rPr>
              <w:t>—</w:t>
            </w:r>
          </w:p>
        </w:tc>
        <w:tc>
          <w:tcPr>
            <w:tcW w:w="1000" w:type="dxa"/>
            <w:vAlign w:val="bottom"/>
          </w:tcPr>
          <w:p>
            <w:pPr>
              <w:ind w:left="620"/>
              <w:spacing w:after="0"/>
              <w:rPr>
                <w:sz w:val="20"/>
                <w:szCs w:val="20"/>
                <w:color w:val="auto"/>
              </w:rPr>
            </w:pPr>
            <w:r>
              <w:rPr>
                <w:rFonts w:ascii="Arial" w:cs="Arial" w:eastAsia="Arial" w:hAnsi="Arial"/>
                <w:sz w:val="18"/>
                <w:szCs w:val="18"/>
                <w:color w:val="auto"/>
              </w:rPr>
              <w:t>—</w:t>
            </w:r>
          </w:p>
        </w:tc>
        <w:tc>
          <w:tcPr>
            <w:tcW w:w="780" w:type="dxa"/>
            <w:vAlign w:val="bottom"/>
          </w:tcPr>
          <w:p>
            <w:pPr>
              <w:jc w:val="right"/>
              <w:ind w:right="11"/>
              <w:spacing w:after="0"/>
              <w:rPr>
                <w:sz w:val="20"/>
                <w:szCs w:val="20"/>
                <w:color w:val="auto"/>
              </w:rPr>
            </w:pPr>
            <w:r>
              <w:rPr>
                <w:rFonts w:ascii="Arial" w:cs="Arial" w:eastAsia="Arial" w:hAnsi="Arial"/>
                <w:sz w:val="18"/>
                <w:szCs w:val="18"/>
                <w:color w:val="auto"/>
              </w:rPr>
              <w:t>9,390</w:t>
            </w:r>
          </w:p>
        </w:tc>
        <w:tc>
          <w:tcPr>
            <w:tcW w:w="840" w:type="dxa"/>
            <w:vAlign w:val="bottom"/>
          </w:tcPr>
          <w:p>
            <w:pPr>
              <w:jc w:val="right"/>
              <w:spacing w:after="0"/>
              <w:rPr>
                <w:sz w:val="20"/>
                <w:szCs w:val="20"/>
                <w:color w:val="auto"/>
              </w:rPr>
            </w:pPr>
            <w:r>
              <w:rPr>
                <w:rFonts w:ascii="Arial" w:cs="Arial" w:eastAsia="Arial" w:hAnsi="Arial"/>
                <w:sz w:val="18"/>
                <w:szCs w:val="18"/>
                <w:color w:val="auto"/>
              </w:rPr>
              <w:t>18,780</w:t>
            </w:r>
          </w:p>
        </w:tc>
        <w:tc>
          <w:tcPr>
            <w:tcW w:w="1440" w:type="dxa"/>
            <w:vAlign w:val="bottom"/>
          </w:tcPr>
          <w:p>
            <w:pPr>
              <w:jc w:val="right"/>
              <w:ind w:right="72"/>
              <w:spacing w:after="0"/>
              <w:rPr>
                <w:sz w:val="20"/>
                <w:szCs w:val="20"/>
                <w:color w:val="auto"/>
              </w:rPr>
            </w:pPr>
            <w:r>
              <w:rPr>
                <w:rFonts w:ascii="Arial" w:cs="Arial" w:eastAsia="Arial" w:hAnsi="Arial"/>
                <w:sz w:val="18"/>
                <w:szCs w:val="18"/>
                <w:color w:val="auto"/>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1,695,083</w:t>
            </w:r>
          </w:p>
        </w:tc>
        <w:tc>
          <w:tcPr>
            <w:tcW w:w="0" w:type="dxa"/>
            <w:vAlign w:val="bottom"/>
          </w:tcPr>
          <w:p>
            <w:pPr>
              <w:spacing w:after="0"/>
              <w:rPr>
                <w:sz w:val="1"/>
                <w:szCs w:val="1"/>
                <w:color w:val="auto"/>
              </w:rPr>
            </w:pPr>
          </w:p>
        </w:tc>
      </w:tr>
      <w:tr>
        <w:trPr>
          <w:trHeight w:val="257"/>
        </w:trPr>
        <w:tc>
          <w:tcPr>
            <w:tcW w:w="198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4/8/2025</w:t>
            </w:r>
          </w:p>
        </w:tc>
        <w:tc>
          <w:tcPr>
            <w:tcW w:w="940" w:type="dxa"/>
            <w:vAlign w:val="bottom"/>
            <w:gridSpan w:val="2"/>
          </w:tcPr>
          <w:p>
            <w:pPr>
              <w:ind w:left="68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51"/>
              <w:spacing w:after="0"/>
              <w:rPr>
                <w:sz w:val="20"/>
                <w:szCs w:val="20"/>
                <w:color w:val="auto"/>
              </w:rPr>
            </w:pPr>
            <w:r>
              <w:rPr>
                <w:rFonts w:ascii="Arial" w:cs="Arial" w:eastAsia="Arial" w:hAnsi="Arial"/>
                <w:sz w:val="18"/>
                <w:szCs w:val="18"/>
                <w:color w:val="auto"/>
              </w:rPr>
              <w:t>—</w:t>
            </w:r>
          </w:p>
        </w:tc>
        <w:tc>
          <w:tcPr>
            <w:tcW w:w="1000" w:type="dxa"/>
            <w:vAlign w:val="bottom"/>
          </w:tcPr>
          <w:p>
            <w:pPr>
              <w:ind w:left="620"/>
              <w:spacing w:after="0"/>
              <w:rPr>
                <w:sz w:val="20"/>
                <w:szCs w:val="20"/>
                <w:color w:val="auto"/>
              </w:rPr>
            </w:pPr>
            <w:r>
              <w:rPr>
                <w:rFonts w:ascii="Arial" w:cs="Arial" w:eastAsia="Arial" w:hAnsi="Arial"/>
                <w:sz w:val="18"/>
                <w:szCs w:val="18"/>
                <w:color w:val="auto"/>
              </w:rPr>
              <w:t>—</w:t>
            </w:r>
          </w:p>
        </w:tc>
        <w:tc>
          <w:tcPr>
            <w:tcW w:w="78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1440" w:type="dxa"/>
            <w:vAlign w:val="bottom"/>
          </w:tcPr>
          <w:p>
            <w:pPr>
              <w:jc w:val="right"/>
              <w:ind w:right="72"/>
              <w:spacing w:after="0"/>
              <w:rPr>
                <w:sz w:val="20"/>
                <w:szCs w:val="20"/>
                <w:color w:val="auto"/>
              </w:rPr>
            </w:pPr>
            <w:r>
              <w:rPr>
                <w:rFonts w:ascii="Arial" w:cs="Arial" w:eastAsia="Arial" w:hAnsi="Arial"/>
                <w:sz w:val="18"/>
                <w:szCs w:val="18"/>
                <w:color w:val="auto"/>
              </w:rPr>
              <w:t>12,615</w:t>
            </w:r>
          </w:p>
        </w:tc>
        <w:tc>
          <w:tcPr>
            <w:tcW w:w="1280" w:type="dxa"/>
            <w:vAlign w:val="bottom"/>
          </w:tcPr>
          <w:p>
            <w:pPr>
              <w:jc w:val="right"/>
              <w:spacing w:after="0"/>
              <w:rPr>
                <w:sz w:val="20"/>
                <w:szCs w:val="20"/>
                <w:color w:val="auto"/>
              </w:rPr>
            </w:pPr>
            <w:r>
              <w:rPr>
                <w:rFonts w:ascii="Arial" w:cs="Arial" w:eastAsia="Arial" w:hAnsi="Arial"/>
                <w:sz w:val="18"/>
                <w:szCs w:val="18"/>
                <w:color w:val="auto"/>
              </w:rPr>
              <w:t>1,977,780</w:t>
            </w:r>
          </w:p>
        </w:tc>
        <w:tc>
          <w:tcPr>
            <w:tcW w:w="0" w:type="dxa"/>
            <w:vAlign w:val="bottom"/>
          </w:tcPr>
          <w:p>
            <w:pPr>
              <w:spacing w:after="0"/>
              <w:rPr>
                <w:sz w:val="1"/>
                <w:szCs w:val="1"/>
                <w:color w:val="auto"/>
              </w:rPr>
            </w:pPr>
          </w:p>
        </w:tc>
      </w:tr>
      <w:tr>
        <w:trPr>
          <w:trHeight w:val="23"/>
        </w:trPr>
        <w:tc>
          <w:tcPr>
            <w:tcW w:w="19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940" w:type="dxa"/>
            <w:vAlign w:val="bottom"/>
            <w:gridSpan w:val="2"/>
          </w:tcPr>
          <w:p>
            <w:pPr>
              <w:spacing w:after="0"/>
              <w:rPr>
                <w:sz w:val="2"/>
                <w:szCs w:val="2"/>
                <w:color w:val="auto"/>
              </w:rPr>
            </w:pPr>
          </w:p>
        </w:tc>
        <w:tc>
          <w:tcPr>
            <w:tcW w:w="9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7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9"/>
        </w:trPr>
        <w:tc>
          <w:tcPr>
            <w:tcW w:w="1980" w:type="dxa"/>
            <w:vAlign w:val="bottom"/>
            <w:vMerge w:val="restart"/>
            <w:shd w:val="clear" w:color="auto" w:fill="E2E6F4"/>
          </w:tcPr>
          <w:p>
            <w:pPr>
              <w:ind w:left="20"/>
              <w:spacing w:after="0"/>
              <w:rPr>
                <w:sz w:val="20"/>
                <w:szCs w:val="20"/>
                <w:color w:val="auto"/>
              </w:rPr>
            </w:pPr>
            <w:r>
              <w:rPr>
                <w:rFonts w:ascii="Arial" w:cs="Arial" w:eastAsia="Arial" w:hAnsi="Arial"/>
                <w:sz w:val="18"/>
                <w:szCs w:val="18"/>
                <w:b w:val="1"/>
                <w:bCs w:val="1"/>
                <w:color w:val="0067B3"/>
              </w:rPr>
              <w:t>Katsu Nakamura</w:t>
            </w:r>
          </w:p>
        </w:tc>
        <w:tc>
          <w:tcPr>
            <w:tcW w:w="1060" w:type="dxa"/>
            <w:vAlign w:val="bottom"/>
            <w:shd w:val="clear" w:color="auto" w:fill="E2E6F4"/>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E2E6F4"/>
          </w:tcPr>
          <w:p>
            <w:pPr>
              <w:ind w:left="680"/>
              <w:spacing w:after="0"/>
              <w:rPr>
                <w:sz w:val="20"/>
                <w:szCs w:val="20"/>
                <w:color w:val="auto"/>
              </w:rPr>
            </w:pPr>
            <w:r>
              <w:rPr>
                <w:rFonts w:ascii="Arial" w:cs="Arial" w:eastAsia="Arial" w:hAnsi="Arial"/>
                <w:sz w:val="18"/>
                <w:szCs w:val="18"/>
                <w:color w:val="auto"/>
              </w:rPr>
              <w:t>—</w:t>
            </w:r>
          </w:p>
        </w:tc>
        <w:tc>
          <w:tcPr>
            <w:tcW w:w="940" w:type="dxa"/>
            <w:vAlign w:val="bottom"/>
            <w:shd w:val="clear" w:color="auto" w:fill="E2E6F4"/>
          </w:tcPr>
          <w:p>
            <w:pPr>
              <w:jc w:val="right"/>
              <w:spacing w:after="0"/>
              <w:rPr>
                <w:sz w:val="20"/>
                <w:szCs w:val="20"/>
                <w:color w:val="auto"/>
              </w:rPr>
            </w:pPr>
            <w:r>
              <w:rPr>
                <w:rFonts w:ascii="Arial" w:cs="Arial" w:eastAsia="Arial" w:hAnsi="Arial"/>
                <w:sz w:val="18"/>
                <w:szCs w:val="18"/>
                <w:color w:val="auto"/>
              </w:rPr>
              <w:t>500,000</w:t>
            </w:r>
          </w:p>
        </w:tc>
        <w:tc>
          <w:tcPr>
            <w:tcW w:w="980" w:type="dxa"/>
            <w:vAlign w:val="bottom"/>
            <w:shd w:val="clear" w:color="auto" w:fill="E2E6F4"/>
          </w:tcPr>
          <w:p>
            <w:pPr>
              <w:jc w:val="right"/>
              <w:ind w:right="51"/>
              <w:spacing w:after="0"/>
              <w:rPr>
                <w:sz w:val="20"/>
                <w:szCs w:val="20"/>
                <w:color w:val="auto"/>
              </w:rPr>
            </w:pPr>
            <w:r>
              <w:rPr>
                <w:rFonts w:ascii="Arial" w:cs="Arial" w:eastAsia="Arial" w:hAnsi="Arial"/>
                <w:sz w:val="18"/>
                <w:szCs w:val="18"/>
                <w:color w:val="auto"/>
              </w:rPr>
              <w:t>1,250,000</w:t>
            </w:r>
          </w:p>
        </w:tc>
        <w:tc>
          <w:tcPr>
            <w:tcW w:w="1000" w:type="dxa"/>
            <w:vAlign w:val="bottom"/>
            <w:shd w:val="clear" w:color="auto" w:fill="E2E6F4"/>
          </w:tcPr>
          <w:p>
            <w:pPr>
              <w:ind w:left="620"/>
              <w:spacing w:after="0"/>
              <w:rPr>
                <w:sz w:val="20"/>
                <w:szCs w:val="20"/>
                <w:color w:val="auto"/>
              </w:rPr>
            </w:pPr>
            <w:r>
              <w:rPr>
                <w:rFonts w:ascii="Arial" w:cs="Arial" w:eastAsia="Arial" w:hAnsi="Arial"/>
                <w:sz w:val="18"/>
                <w:szCs w:val="18"/>
                <w:color w:val="auto"/>
              </w:rPr>
              <w:t>—</w:t>
            </w:r>
          </w:p>
        </w:tc>
        <w:tc>
          <w:tcPr>
            <w:tcW w:w="780" w:type="dxa"/>
            <w:vAlign w:val="bottom"/>
            <w:shd w:val="clear" w:color="auto" w:fill="E2E6F4"/>
          </w:tcPr>
          <w:p>
            <w:pPr>
              <w:jc w:val="right"/>
              <w:ind w:right="11"/>
              <w:spacing w:after="0"/>
              <w:rPr>
                <w:sz w:val="20"/>
                <w:szCs w:val="20"/>
                <w:color w:val="auto"/>
              </w:rPr>
            </w:pPr>
            <w:r>
              <w:rPr>
                <w:rFonts w:ascii="Arial" w:cs="Arial" w:eastAsia="Arial" w:hAnsi="Arial"/>
                <w:sz w:val="18"/>
                <w:szCs w:val="18"/>
                <w:color w:val="auto"/>
              </w:rPr>
              <w:t>—</w:t>
            </w:r>
          </w:p>
        </w:tc>
        <w:tc>
          <w:tcPr>
            <w:tcW w:w="840" w:type="dxa"/>
            <w:vAlign w:val="bottom"/>
            <w:shd w:val="clear" w:color="auto" w:fill="E2E6F4"/>
          </w:tcPr>
          <w:p>
            <w:pPr>
              <w:jc w:val="right"/>
              <w:spacing w:after="0"/>
              <w:rPr>
                <w:sz w:val="20"/>
                <w:szCs w:val="20"/>
                <w:color w:val="auto"/>
              </w:rPr>
            </w:pPr>
            <w:r>
              <w:rPr>
                <w:rFonts w:ascii="Arial" w:cs="Arial" w:eastAsia="Arial" w:hAnsi="Arial"/>
                <w:sz w:val="18"/>
                <w:szCs w:val="18"/>
                <w:color w:val="auto"/>
              </w:rPr>
              <w:t>—</w:t>
            </w:r>
          </w:p>
        </w:tc>
        <w:tc>
          <w:tcPr>
            <w:tcW w:w="1440" w:type="dxa"/>
            <w:vAlign w:val="bottom"/>
            <w:shd w:val="clear" w:color="auto" w:fill="E2E6F4"/>
          </w:tcPr>
          <w:p>
            <w:pPr>
              <w:jc w:val="right"/>
              <w:ind w:right="72"/>
              <w:spacing w:after="0"/>
              <w:rPr>
                <w:sz w:val="20"/>
                <w:szCs w:val="20"/>
                <w:color w:val="auto"/>
              </w:rPr>
            </w:pPr>
            <w:r>
              <w:rPr>
                <w:rFonts w:ascii="Arial" w:cs="Arial" w:eastAsia="Arial" w:hAnsi="Arial"/>
                <w:sz w:val="18"/>
                <w:szCs w:val="18"/>
                <w:color w:val="auto"/>
              </w:rPr>
              <w:t>—</w:t>
            </w:r>
          </w:p>
        </w:tc>
        <w:tc>
          <w:tcPr>
            <w:tcW w:w="1280" w:type="dxa"/>
            <w:vAlign w:val="bottom"/>
            <w:shd w:val="clear" w:color="auto" w:fill="E2E6F4"/>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11"/>
        </w:trPr>
        <w:tc>
          <w:tcPr>
            <w:tcW w:w="1980" w:type="dxa"/>
            <w:vAlign w:val="bottom"/>
            <w:vMerge w:val="continue"/>
            <w:shd w:val="clear" w:color="auto" w:fill="E2E6F4"/>
          </w:tcPr>
          <w:p>
            <w:pPr>
              <w:spacing w:after="0"/>
              <w:rPr>
                <w:sz w:val="9"/>
                <w:szCs w:val="9"/>
                <w:color w:val="auto"/>
              </w:rPr>
            </w:pPr>
          </w:p>
        </w:tc>
        <w:tc>
          <w:tcPr>
            <w:tcW w:w="1060" w:type="dxa"/>
            <w:vAlign w:val="bottom"/>
            <w:vMerge w:val="restart"/>
            <w:shd w:val="clear" w:color="auto" w:fill="E2E6F4"/>
          </w:tcPr>
          <w:p>
            <w:pPr>
              <w:jc w:val="right"/>
              <w:spacing w:after="0"/>
              <w:rPr>
                <w:sz w:val="20"/>
                <w:szCs w:val="20"/>
                <w:color w:val="auto"/>
              </w:rPr>
            </w:pPr>
            <w:r>
              <w:rPr>
                <w:rFonts w:ascii="Arial" w:cs="Arial" w:eastAsia="Arial" w:hAnsi="Arial"/>
                <w:sz w:val="18"/>
                <w:szCs w:val="18"/>
                <w:color w:val="auto"/>
              </w:rPr>
              <w:t>4/8/2025</w:t>
            </w:r>
          </w:p>
        </w:tc>
        <w:tc>
          <w:tcPr>
            <w:tcW w:w="900" w:type="dxa"/>
            <w:vAlign w:val="bottom"/>
            <w:vMerge w:val="restart"/>
            <w:shd w:val="clear" w:color="auto" w:fill="E2E6F4"/>
          </w:tcPr>
          <w:p>
            <w:pPr>
              <w:ind w:left="680"/>
              <w:spacing w:after="0"/>
              <w:rPr>
                <w:sz w:val="20"/>
                <w:szCs w:val="20"/>
                <w:color w:val="auto"/>
              </w:rPr>
            </w:pPr>
            <w:r>
              <w:rPr>
                <w:rFonts w:ascii="Arial" w:cs="Arial" w:eastAsia="Arial" w:hAnsi="Arial"/>
                <w:sz w:val="18"/>
                <w:szCs w:val="18"/>
                <w:color w:val="auto"/>
              </w:rPr>
              <w:t>—</w:t>
            </w:r>
          </w:p>
        </w:tc>
        <w:tc>
          <w:tcPr>
            <w:tcW w:w="40" w:type="dxa"/>
            <w:vAlign w:val="bottom"/>
            <w:shd w:val="clear" w:color="auto" w:fill="E2E6F4"/>
          </w:tcPr>
          <w:p>
            <w:pPr>
              <w:spacing w:after="0"/>
              <w:rPr>
                <w:sz w:val="9"/>
                <w:szCs w:val="9"/>
                <w:color w:val="auto"/>
              </w:rPr>
            </w:pPr>
          </w:p>
        </w:tc>
        <w:tc>
          <w:tcPr>
            <w:tcW w:w="940" w:type="dxa"/>
            <w:vAlign w:val="bottom"/>
            <w:vMerge w:val="restart"/>
            <w:shd w:val="clear" w:color="auto" w:fill="E2E6F4"/>
          </w:tcPr>
          <w:p>
            <w:pPr>
              <w:jc w:val="right"/>
              <w:spacing w:after="0"/>
              <w:rPr>
                <w:sz w:val="20"/>
                <w:szCs w:val="20"/>
                <w:color w:val="auto"/>
              </w:rPr>
            </w:pPr>
            <w:r>
              <w:rPr>
                <w:rFonts w:ascii="Arial" w:cs="Arial" w:eastAsia="Arial" w:hAnsi="Arial"/>
                <w:sz w:val="18"/>
                <w:szCs w:val="18"/>
                <w:color w:val="auto"/>
              </w:rPr>
              <w:t>—</w:t>
            </w:r>
          </w:p>
        </w:tc>
        <w:tc>
          <w:tcPr>
            <w:tcW w:w="980" w:type="dxa"/>
            <w:vAlign w:val="bottom"/>
            <w:vMerge w:val="restart"/>
            <w:shd w:val="clear" w:color="auto" w:fill="E2E6F4"/>
          </w:tcPr>
          <w:p>
            <w:pPr>
              <w:jc w:val="right"/>
              <w:ind w:right="51"/>
              <w:spacing w:after="0"/>
              <w:rPr>
                <w:sz w:val="20"/>
                <w:szCs w:val="20"/>
                <w:color w:val="auto"/>
              </w:rPr>
            </w:pPr>
            <w:r>
              <w:rPr>
                <w:rFonts w:ascii="Arial" w:cs="Arial" w:eastAsia="Arial" w:hAnsi="Arial"/>
                <w:sz w:val="18"/>
                <w:szCs w:val="18"/>
                <w:color w:val="auto"/>
              </w:rPr>
              <w:t>—</w:t>
            </w:r>
          </w:p>
        </w:tc>
        <w:tc>
          <w:tcPr>
            <w:tcW w:w="1000" w:type="dxa"/>
            <w:vAlign w:val="bottom"/>
            <w:vMerge w:val="restart"/>
            <w:shd w:val="clear" w:color="auto" w:fill="E2E6F4"/>
          </w:tcPr>
          <w:p>
            <w:pPr>
              <w:ind w:left="620"/>
              <w:spacing w:after="0"/>
              <w:rPr>
                <w:sz w:val="20"/>
                <w:szCs w:val="20"/>
                <w:color w:val="auto"/>
              </w:rPr>
            </w:pPr>
            <w:r>
              <w:rPr>
                <w:rFonts w:ascii="Arial" w:cs="Arial" w:eastAsia="Arial" w:hAnsi="Arial"/>
                <w:sz w:val="18"/>
                <w:szCs w:val="18"/>
                <w:color w:val="auto"/>
              </w:rPr>
              <w:t>—</w:t>
            </w:r>
          </w:p>
        </w:tc>
        <w:tc>
          <w:tcPr>
            <w:tcW w:w="780" w:type="dxa"/>
            <w:vAlign w:val="bottom"/>
            <w:vMerge w:val="restart"/>
            <w:shd w:val="clear" w:color="auto" w:fill="E2E6F4"/>
          </w:tcPr>
          <w:p>
            <w:pPr>
              <w:jc w:val="right"/>
              <w:ind w:right="11"/>
              <w:spacing w:after="0"/>
              <w:rPr>
                <w:sz w:val="20"/>
                <w:szCs w:val="20"/>
                <w:color w:val="auto"/>
              </w:rPr>
            </w:pPr>
            <w:r>
              <w:rPr>
                <w:rFonts w:ascii="Arial" w:cs="Arial" w:eastAsia="Arial" w:hAnsi="Arial"/>
                <w:sz w:val="18"/>
                <w:szCs w:val="18"/>
                <w:color w:val="auto"/>
              </w:rPr>
              <w:t>6,779</w:t>
            </w:r>
          </w:p>
        </w:tc>
        <w:tc>
          <w:tcPr>
            <w:tcW w:w="840" w:type="dxa"/>
            <w:vAlign w:val="bottom"/>
            <w:vMerge w:val="restart"/>
            <w:shd w:val="clear" w:color="auto" w:fill="E2E6F4"/>
          </w:tcPr>
          <w:p>
            <w:pPr>
              <w:jc w:val="right"/>
              <w:spacing w:after="0"/>
              <w:rPr>
                <w:sz w:val="20"/>
                <w:szCs w:val="20"/>
                <w:color w:val="auto"/>
              </w:rPr>
            </w:pPr>
            <w:r>
              <w:rPr>
                <w:rFonts w:ascii="Arial" w:cs="Arial" w:eastAsia="Arial" w:hAnsi="Arial"/>
                <w:sz w:val="18"/>
                <w:szCs w:val="18"/>
                <w:color w:val="auto"/>
              </w:rPr>
              <w:t>13,558</w:t>
            </w:r>
          </w:p>
        </w:tc>
        <w:tc>
          <w:tcPr>
            <w:tcW w:w="1440" w:type="dxa"/>
            <w:vAlign w:val="bottom"/>
            <w:vMerge w:val="restart"/>
            <w:shd w:val="clear" w:color="auto" w:fill="E2E6F4"/>
          </w:tcPr>
          <w:p>
            <w:pPr>
              <w:jc w:val="right"/>
              <w:ind w:right="72"/>
              <w:spacing w:after="0"/>
              <w:rPr>
                <w:sz w:val="20"/>
                <w:szCs w:val="20"/>
                <w:color w:val="auto"/>
              </w:rPr>
            </w:pPr>
            <w:r>
              <w:rPr>
                <w:rFonts w:ascii="Arial" w:cs="Arial" w:eastAsia="Arial" w:hAnsi="Arial"/>
                <w:sz w:val="18"/>
                <w:szCs w:val="18"/>
                <w:color w:val="auto"/>
              </w:rPr>
              <w:t>—</w:t>
            </w:r>
          </w:p>
        </w:tc>
        <w:tc>
          <w:tcPr>
            <w:tcW w:w="1280" w:type="dxa"/>
            <w:vAlign w:val="bottom"/>
            <w:vMerge w:val="restart"/>
            <w:shd w:val="clear" w:color="auto" w:fill="E2E6F4"/>
          </w:tcPr>
          <w:p>
            <w:pPr>
              <w:jc w:val="right"/>
              <w:spacing w:after="0"/>
              <w:rPr>
                <w:sz w:val="20"/>
                <w:szCs w:val="20"/>
                <w:color w:val="auto"/>
              </w:rPr>
            </w:pPr>
            <w:r>
              <w:rPr>
                <w:rFonts w:ascii="Arial" w:cs="Arial" w:eastAsia="Arial" w:hAnsi="Arial"/>
                <w:sz w:val="18"/>
                <w:szCs w:val="18"/>
                <w:color w:val="auto"/>
              </w:rPr>
              <w:t>1,050,270</w:t>
            </w:r>
          </w:p>
        </w:tc>
        <w:tc>
          <w:tcPr>
            <w:tcW w:w="0" w:type="dxa"/>
            <w:vAlign w:val="bottom"/>
          </w:tcPr>
          <w:p>
            <w:pPr>
              <w:spacing w:after="0"/>
              <w:rPr>
                <w:sz w:val="1"/>
                <w:szCs w:val="1"/>
                <w:color w:val="auto"/>
              </w:rPr>
            </w:pPr>
          </w:p>
        </w:tc>
      </w:tr>
      <w:tr>
        <w:trPr>
          <w:trHeight w:val="141"/>
        </w:trPr>
        <w:tc>
          <w:tcPr>
            <w:tcW w:w="1980" w:type="dxa"/>
            <w:vAlign w:val="bottom"/>
            <w:shd w:val="clear" w:color="auto" w:fill="E2E6F4"/>
          </w:tcPr>
          <w:p>
            <w:pPr>
              <w:spacing w:after="0"/>
              <w:rPr>
                <w:sz w:val="12"/>
                <w:szCs w:val="12"/>
                <w:color w:val="auto"/>
              </w:rPr>
            </w:pPr>
          </w:p>
        </w:tc>
        <w:tc>
          <w:tcPr>
            <w:tcW w:w="1060" w:type="dxa"/>
            <w:vAlign w:val="bottom"/>
            <w:vMerge w:val="continue"/>
            <w:shd w:val="clear" w:color="auto" w:fill="E2E6F4"/>
          </w:tcPr>
          <w:p>
            <w:pPr>
              <w:spacing w:after="0"/>
              <w:rPr>
                <w:sz w:val="12"/>
                <w:szCs w:val="12"/>
                <w:color w:val="auto"/>
              </w:rPr>
            </w:pPr>
          </w:p>
        </w:tc>
        <w:tc>
          <w:tcPr>
            <w:tcW w:w="900" w:type="dxa"/>
            <w:vAlign w:val="bottom"/>
            <w:vMerge w:val="continue"/>
            <w:shd w:val="clear" w:color="auto" w:fill="E2E6F4"/>
          </w:tcPr>
          <w:p>
            <w:pPr>
              <w:spacing w:after="0"/>
              <w:rPr>
                <w:sz w:val="12"/>
                <w:szCs w:val="12"/>
                <w:color w:val="auto"/>
              </w:rPr>
            </w:pPr>
          </w:p>
        </w:tc>
        <w:tc>
          <w:tcPr>
            <w:tcW w:w="40" w:type="dxa"/>
            <w:vAlign w:val="bottom"/>
            <w:shd w:val="clear" w:color="auto" w:fill="E2E6F4"/>
          </w:tcPr>
          <w:p>
            <w:pPr>
              <w:spacing w:after="0"/>
              <w:rPr>
                <w:sz w:val="12"/>
                <w:szCs w:val="12"/>
                <w:color w:val="auto"/>
              </w:rPr>
            </w:pPr>
          </w:p>
        </w:tc>
        <w:tc>
          <w:tcPr>
            <w:tcW w:w="940" w:type="dxa"/>
            <w:vAlign w:val="bottom"/>
            <w:vMerge w:val="continue"/>
            <w:shd w:val="clear" w:color="auto" w:fill="E2E6F4"/>
          </w:tcPr>
          <w:p>
            <w:pPr>
              <w:spacing w:after="0"/>
              <w:rPr>
                <w:sz w:val="12"/>
                <w:szCs w:val="12"/>
                <w:color w:val="auto"/>
              </w:rPr>
            </w:pPr>
          </w:p>
        </w:tc>
        <w:tc>
          <w:tcPr>
            <w:tcW w:w="980" w:type="dxa"/>
            <w:vAlign w:val="bottom"/>
            <w:vMerge w:val="continue"/>
            <w:shd w:val="clear" w:color="auto" w:fill="E2E6F4"/>
          </w:tcPr>
          <w:p>
            <w:pPr>
              <w:spacing w:after="0"/>
              <w:rPr>
                <w:sz w:val="12"/>
                <w:szCs w:val="12"/>
                <w:color w:val="auto"/>
              </w:rPr>
            </w:pPr>
          </w:p>
        </w:tc>
        <w:tc>
          <w:tcPr>
            <w:tcW w:w="1000" w:type="dxa"/>
            <w:vAlign w:val="bottom"/>
            <w:vMerge w:val="continue"/>
            <w:shd w:val="clear" w:color="auto" w:fill="E2E6F4"/>
          </w:tcPr>
          <w:p>
            <w:pPr>
              <w:spacing w:after="0"/>
              <w:rPr>
                <w:sz w:val="12"/>
                <w:szCs w:val="12"/>
                <w:color w:val="auto"/>
              </w:rPr>
            </w:pPr>
          </w:p>
        </w:tc>
        <w:tc>
          <w:tcPr>
            <w:tcW w:w="780" w:type="dxa"/>
            <w:vAlign w:val="bottom"/>
            <w:vMerge w:val="continue"/>
            <w:shd w:val="clear" w:color="auto" w:fill="E2E6F4"/>
          </w:tcPr>
          <w:p>
            <w:pPr>
              <w:spacing w:after="0"/>
              <w:rPr>
                <w:sz w:val="12"/>
                <w:szCs w:val="12"/>
                <w:color w:val="auto"/>
              </w:rPr>
            </w:pPr>
          </w:p>
        </w:tc>
        <w:tc>
          <w:tcPr>
            <w:tcW w:w="840" w:type="dxa"/>
            <w:vAlign w:val="bottom"/>
            <w:vMerge w:val="continue"/>
            <w:shd w:val="clear" w:color="auto" w:fill="E2E6F4"/>
          </w:tcPr>
          <w:p>
            <w:pPr>
              <w:spacing w:after="0"/>
              <w:rPr>
                <w:sz w:val="12"/>
                <w:szCs w:val="12"/>
                <w:color w:val="auto"/>
              </w:rPr>
            </w:pPr>
          </w:p>
        </w:tc>
        <w:tc>
          <w:tcPr>
            <w:tcW w:w="1440" w:type="dxa"/>
            <w:vAlign w:val="bottom"/>
            <w:vMerge w:val="continue"/>
            <w:shd w:val="clear" w:color="auto" w:fill="E2E6F4"/>
          </w:tcPr>
          <w:p>
            <w:pPr>
              <w:spacing w:after="0"/>
              <w:rPr>
                <w:sz w:val="12"/>
                <w:szCs w:val="12"/>
                <w:color w:val="auto"/>
              </w:rPr>
            </w:pPr>
          </w:p>
        </w:tc>
        <w:tc>
          <w:tcPr>
            <w:tcW w:w="1280" w:type="dxa"/>
            <w:vAlign w:val="bottom"/>
            <w:vMerge w:val="continue"/>
            <w:shd w:val="clear" w:color="auto" w:fill="E2E6F4"/>
          </w:tcPr>
          <w:p>
            <w:pPr>
              <w:spacing w:after="0"/>
              <w:rPr>
                <w:sz w:val="12"/>
                <w:szCs w:val="12"/>
                <w:color w:val="auto"/>
              </w:rPr>
            </w:pPr>
          </w:p>
        </w:tc>
        <w:tc>
          <w:tcPr>
            <w:tcW w:w="0" w:type="dxa"/>
            <w:vAlign w:val="bottom"/>
          </w:tcPr>
          <w:p>
            <w:pPr>
              <w:spacing w:after="0"/>
              <w:rPr>
                <w:sz w:val="1"/>
                <w:szCs w:val="1"/>
                <w:color w:val="auto"/>
              </w:rPr>
            </w:pPr>
          </w:p>
        </w:tc>
      </w:tr>
      <w:tr>
        <w:trPr>
          <w:trHeight w:val="256"/>
        </w:trPr>
        <w:tc>
          <w:tcPr>
            <w:tcW w:w="1980" w:type="dxa"/>
            <w:vAlign w:val="bottom"/>
            <w:shd w:val="clear" w:color="auto" w:fill="E2E6F4"/>
          </w:tcPr>
          <w:p>
            <w:pPr>
              <w:spacing w:after="0"/>
              <w:rPr>
                <w:sz w:val="22"/>
                <w:szCs w:val="22"/>
                <w:color w:val="auto"/>
              </w:rPr>
            </w:pPr>
          </w:p>
        </w:tc>
        <w:tc>
          <w:tcPr>
            <w:tcW w:w="1060" w:type="dxa"/>
            <w:vAlign w:val="bottom"/>
            <w:shd w:val="clear" w:color="auto" w:fill="E2E6F4"/>
          </w:tcPr>
          <w:p>
            <w:pPr>
              <w:jc w:val="right"/>
              <w:spacing w:after="0"/>
              <w:rPr>
                <w:sz w:val="20"/>
                <w:szCs w:val="20"/>
                <w:color w:val="auto"/>
              </w:rPr>
            </w:pPr>
            <w:r>
              <w:rPr>
                <w:rFonts w:ascii="Arial" w:cs="Arial" w:eastAsia="Arial" w:hAnsi="Arial"/>
                <w:sz w:val="18"/>
                <w:szCs w:val="18"/>
                <w:color w:val="auto"/>
              </w:rPr>
              <w:t>4/8/2025</w:t>
            </w:r>
          </w:p>
        </w:tc>
        <w:tc>
          <w:tcPr>
            <w:tcW w:w="900" w:type="dxa"/>
            <w:vAlign w:val="bottom"/>
            <w:shd w:val="clear" w:color="auto" w:fill="E2E6F4"/>
          </w:tcPr>
          <w:p>
            <w:pPr>
              <w:ind w:left="680"/>
              <w:spacing w:after="0"/>
              <w:rPr>
                <w:sz w:val="20"/>
                <w:szCs w:val="20"/>
                <w:color w:val="auto"/>
              </w:rPr>
            </w:pPr>
            <w:r>
              <w:rPr>
                <w:rFonts w:ascii="Arial" w:cs="Arial" w:eastAsia="Arial" w:hAnsi="Arial"/>
                <w:sz w:val="18"/>
                <w:szCs w:val="18"/>
                <w:color w:val="auto"/>
              </w:rPr>
              <w:t>—</w:t>
            </w:r>
          </w:p>
        </w:tc>
        <w:tc>
          <w:tcPr>
            <w:tcW w:w="40" w:type="dxa"/>
            <w:vAlign w:val="bottom"/>
            <w:shd w:val="clear" w:color="auto" w:fill="E2E6F4"/>
          </w:tcPr>
          <w:p>
            <w:pPr>
              <w:spacing w:after="0"/>
              <w:rPr>
                <w:sz w:val="22"/>
                <w:szCs w:val="22"/>
                <w:color w:val="auto"/>
              </w:rPr>
            </w:pPr>
          </w:p>
        </w:tc>
        <w:tc>
          <w:tcPr>
            <w:tcW w:w="940" w:type="dxa"/>
            <w:vAlign w:val="bottom"/>
            <w:shd w:val="clear" w:color="auto" w:fill="E2E6F4"/>
          </w:tcPr>
          <w:p>
            <w:pPr>
              <w:jc w:val="right"/>
              <w:spacing w:after="0"/>
              <w:rPr>
                <w:sz w:val="20"/>
                <w:szCs w:val="20"/>
                <w:color w:val="auto"/>
              </w:rPr>
            </w:pPr>
            <w:r>
              <w:rPr>
                <w:rFonts w:ascii="Arial" w:cs="Arial" w:eastAsia="Arial" w:hAnsi="Arial"/>
                <w:sz w:val="18"/>
                <w:szCs w:val="18"/>
                <w:color w:val="auto"/>
              </w:rPr>
              <w:t>—</w:t>
            </w:r>
          </w:p>
        </w:tc>
        <w:tc>
          <w:tcPr>
            <w:tcW w:w="980" w:type="dxa"/>
            <w:vAlign w:val="bottom"/>
            <w:shd w:val="clear" w:color="auto" w:fill="E2E6F4"/>
          </w:tcPr>
          <w:p>
            <w:pPr>
              <w:jc w:val="right"/>
              <w:ind w:right="51"/>
              <w:spacing w:after="0"/>
              <w:rPr>
                <w:sz w:val="20"/>
                <w:szCs w:val="20"/>
                <w:color w:val="auto"/>
              </w:rPr>
            </w:pPr>
            <w:r>
              <w:rPr>
                <w:rFonts w:ascii="Arial" w:cs="Arial" w:eastAsia="Arial" w:hAnsi="Arial"/>
                <w:sz w:val="18"/>
                <w:szCs w:val="18"/>
                <w:color w:val="auto"/>
              </w:rPr>
              <w:t>—</w:t>
            </w:r>
          </w:p>
        </w:tc>
        <w:tc>
          <w:tcPr>
            <w:tcW w:w="1000" w:type="dxa"/>
            <w:vAlign w:val="bottom"/>
            <w:shd w:val="clear" w:color="auto" w:fill="E2E6F4"/>
          </w:tcPr>
          <w:p>
            <w:pPr>
              <w:ind w:left="620"/>
              <w:spacing w:after="0"/>
              <w:rPr>
                <w:sz w:val="20"/>
                <w:szCs w:val="20"/>
                <w:color w:val="auto"/>
              </w:rPr>
            </w:pPr>
            <w:r>
              <w:rPr>
                <w:rFonts w:ascii="Arial" w:cs="Arial" w:eastAsia="Arial" w:hAnsi="Arial"/>
                <w:sz w:val="18"/>
                <w:szCs w:val="18"/>
                <w:color w:val="auto"/>
              </w:rPr>
              <w:t>—</w:t>
            </w:r>
          </w:p>
        </w:tc>
        <w:tc>
          <w:tcPr>
            <w:tcW w:w="780" w:type="dxa"/>
            <w:vAlign w:val="bottom"/>
            <w:shd w:val="clear" w:color="auto" w:fill="E2E6F4"/>
          </w:tcPr>
          <w:p>
            <w:pPr>
              <w:jc w:val="right"/>
              <w:ind w:right="11"/>
              <w:spacing w:after="0"/>
              <w:rPr>
                <w:sz w:val="20"/>
                <w:szCs w:val="20"/>
                <w:color w:val="auto"/>
              </w:rPr>
            </w:pPr>
            <w:r>
              <w:rPr>
                <w:rFonts w:ascii="Arial" w:cs="Arial" w:eastAsia="Arial" w:hAnsi="Arial"/>
                <w:sz w:val="18"/>
                <w:szCs w:val="18"/>
                <w:color w:val="auto"/>
              </w:rPr>
              <w:t>4,986</w:t>
            </w:r>
          </w:p>
        </w:tc>
        <w:tc>
          <w:tcPr>
            <w:tcW w:w="840" w:type="dxa"/>
            <w:vAlign w:val="bottom"/>
            <w:shd w:val="clear" w:color="auto" w:fill="E2E6F4"/>
          </w:tcPr>
          <w:p>
            <w:pPr>
              <w:jc w:val="right"/>
              <w:spacing w:after="0"/>
              <w:rPr>
                <w:sz w:val="20"/>
                <w:szCs w:val="20"/>
                <w:color w:val="auto"/>
              </w:rPr>
            </w:pPr>
            <w:r>
              <w:rPr>
                <w:rFonts w:ascii="Arial" w:cs="Arial" w:eastAsia="Arial" w:hAnsi="Arial"/>
                <w:sz w:val="18"/>
                <w:szCs w:val="18"/>
                <w:color w:val="auto"/>
              </w:rPr>
              <w:t>9,972</w:t>
            </w:r>
          </w:p>
        </w:tc>
        <w:tc>
          <w:tcPr>
            <w:tcW w:w="1440" w:type="dxa"/>
            <w:vAlign w:val="bottom"/>
            <w:shd w:val="clear" w:color="auto" w:fill="E2E6F4"/>
          </w:tcPr>
          <w:p>
            <w:pPr>
              <w:jc w:val="right"/>
              <w:ind w:right="72"/>
              <w:spacing w:after="0"/>
              <w:rPr>
                <w:sz w:val="20"/>
                <w:szCs w:val="20"/>
                <w:color w:val="auto"/>
              </w:rPr>
            </w:pPr>
            <w:r>
              <w:rPr>
                <w:rFonts w:ascii="Arial" w:cs="Arial" w:eastAsia="Arial" w:hAnsi="Arial"/>
                <w:sz w:val="18"/>
                <w:szCs w:val="18"/>
                <w:color w:val="auto"/>
              </w:rPr>
              <w:t>—</w:t>
            </w:r>
          </w:p>
        </w:tc>
        <w:tc>
          <w:tcPr>
            <w:tcW w:w="1280" w:type="dxa"/>
            <w:vAlign w:val="bottom"/>
            <w:shd w:val="clear" w:color="auto" w:fill="E2E6F4"/>
          </w:tcPr>
          <w:p>
            <w:pPr>
              <w:jc w:val="right"/>
              <w:spacing w:after="0"/>
              <w:rPr>
                <w:sz w:val="20"/>
                <w:szCs w:val="20"/>
                <w:color w:val="auto"/>
              </w:rPr>
            </w:pPr>
            <w:r>
              <w:rPr>
                <w:rFonts w:ascii="Arial" w:cs="Arial" w:eastAsia="Arial" w:hAnsi="Arial"/>
                <w:sz w:val="18"/>
                <w:szCs w:val="18"/>
                <w:color w:val="auto"/>
              </w:rPr>
              <w:t>900,073</w:t>
            </w:r>
          </w:p>
        </w:tc>
        <w:tc>
          <w:tcPr>
            <w:tcW w:w="0" w:type="dxa"/>
            <w:vAlign w:val="bottom"/>
          </w:tcPr>
          <w:p>
            <w:pPr>
              <w:spacing w:after="0"/>
              <w:rPr>
                <w:sz w:val="1"/>
                <w:szCs w:val="1"/>
                <w:color w:val="auto"/>
              </w:rPr>
            </w:pPr>
          </w:p>
        </w:tc>
      </w:tr>
      <w:tr>
        <w:trPr>
          <w:trHeight w:val="260"/>
        </w:trPr>
        <w:tc>
          <w:tcPr>
            <w:tcW w:w="1980" w:type="dxa"/>
            <w:vAlign w:val="bottom"/>
            <w:tcBorders>
              <w:bottom w:val="single" w:sz="8" w:color="E2E6F4"/>
            </w:tcBorders>
            <w:shd w:val="clear" w:color="auto" w:fill="E2E6F4"/>
          </w:tcPr>
          <w:p>
            <w:pPr>
              <w:spacing w:after="0"/>
              <w:rPr>
                <w:sz w:val="22"/>
                <w:szCs w:val="22"/>
                <w:color w:val="auto"/>
              </w:rPr>
            </w:pPr>
          </w:p>
        </w:tc>
        <w:tc>
          <w:tcPr>
            <w:tcW w:w="1060" w:type="dxa"/>
            <w:vAlign w:val="bottom"/>
            <w:tcBorders>
              <w:bottom w:val="single" w:sz="8" w:color="E2E6F4"/>
            </w:tcBorders>
            <w:shd w:val="clear" w:color="auto" w:fill="E2E6F4"/>
          </w:tcPr>
          <w:p>
            <w:pPr>
              <w:jc w:val="right"/>
              <w:spacing w:after="0"/>
              <w:rPr>
                <w:sz w:val="20"/>
                <w:szCs w:val="20"/>
                <w:color w:val="auto"/>
              </w:rPr>
            </w:pPr>
            <w:r>
              <w:rPr>
                <w:rFonts w:ascii="Arial" w:cs="Arial" w:eastAsia="Arial" w:hAnsi="Arial"/>
                <w:sz w:val="18"/>
                <w:szCs w:val="18"/>
                <w:color w:val="auto"/>
              </w:rPr>
              <w:t>4/8/2025</w:t>
            </w:r>
          </w:p>
        </w:tc>
        <w:tc>
          <w:tcPr>
            <w:tcW w:w="900" w:type="dxa"/>
            <w:vAlign w:val="bottom"/>
            <w:tcBorders>
              <w:bottom w:val="single" w:sz="8" w:color="E2E6F4"/>
            </w:tcBorders>
            <w:shd w:val="clear" w:color="auto" w:fill="E2E6F4"/>
          </w:tcPr>
          <w:p>
            <w:pPr>
              <w:ind w:left="680"/>
              <w:spacing w:after="0"/>
              <w:rPr>
                <w:sz w:val="20"/>
                <w:szCs w:val="20"/>
                <w:color w:val="auto"/>
              </w:rPr>
            </w:pPr>
            <w:r>
              <w:rPr>
                <w:rFonts w:ascii="Arial" w:cs="Arial" w:eastAsia="Arial" w:hAnsi="Arial"/>
                <w:sz w:val="18"/>
                <w:szCs w:val="18"/>
                <w:color w:val="auto"/>
              </w:rPr>
              <w:t>—</w:t>
            </w:r>
          </w:p>
        </w:tc>
        <w:tc>
          <w:tcPr>
            <w:tcW w:w="40" w:type="dxa"/>
            <w:vAlign w:val="bottom"/>
            <w:tcBorders>
              <w:bottom w:val="single" w:sz="8" w:color="E2E6F4"/>
            </w:tcBorders>
            <w:shd w:val="clear" w:color="auto" w:fill="E2E6F4"/>
          </w:tcPr>
          <w:p>
            <w:pPr>
              <w:spacing w:after="0"/>
              <w:rPr>
                <w:sz w:val="22"/>
                <w:szCs w:val="22"/>
                <w:color w:val="auto"/>
              </w:rPr>
            </w:pPr>
          </w:p>
        </w:tc>
        <w:tc>
          <w:tcPr>
            <w:tcW w:w="940" w:type="dxa"/>
            <w:vAlign w:val="bottom"/>
            <w:tcBorders>
              <w:bottom w:val="single" w:sz="8" w:color="E2E6F4"/>
            </w:tcBorders>
            <w:shd w:val="clear" w:color="auto" w:fill="E2E6F4"/>
          </w:tcPr>
          <w:p>
            <w:pPr>
              <w:jc w:val="right"/>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E2E6F4"/>
            </w:tcBorders>
            <w:shd w:val="clear" w:color="auto" w:fill="E2E6F4"/>
          </w:tcPr>
          <w:p>
            <w:pPr>
              <w:jc w:val="right"/>
              <w:ind w:right="51"/>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E2E6F4"/>
            </w:tcBorders>
            <w:shd w:val="clear" w:color="auto" w:fill="E2E6F4"/>
          </w:tcPr>
          <w:p>
            <w:pPr>
              <w:ind w:left="620"/>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E2E6F4"/>
            </w:tcBorders>
            <w:shd w:val="clear" w:color="auto" w:fill="E2E6F4"/>
          </w:tcPr>
          <w:p>
            <w:pPr>
              <w:jc w:val="right"/>
              <w:ind w:right="11"/>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E2E6F4"/>
            </w:tcBorders>
            <w:shd w:val="clear" w:color="auto" w:fill="E2E6F4"/>
          </w:tcPr>
          <w:p>
            <w:pPr>
              <w:jc w:val="right"/>
              <w:spacing w:after="0"/>
              <w:rPr>
                <w:sz w:val="20"/>
                <w:szCs w:val="20"/>
                <w:color w:val="auto"/>
              </w:rPr>
            </w:pPr>
            <w:r>
              <w:rPr>
                <w:rFonts w:ascii="Arial" w:cs="Arial" w:eastAsia="Arial" w:hAnsi="Arial"/>
                <w:sz w:val="18"/>
                <w:szCs w:val="18"/>
                <w:color w:val="auto"/>
              </w:rPr>
              <w:t>—</w:t>
            </w:r>
          </w:p>
        </w:tc>
        <w:tc>
          <w:tcPr>
            <w:tcW w:w="1440" w:type="dxa"/>
            <w:vAlign w:val="bottom"/>
            <w:tcBorders>
              <w:bottom w:val="single" w:sz="8" w:color="E2E6F4"/>
            </w:tcBorders>
            <w:shd w:val="clear" w:color="auto" w:fill="E2E6F4"/>
          </w:tcPr>
          <w:p>
            <w:pPr>
              <w:jc w:val="right"/>
              <w:ind w:right="72"/>
              <w:spacing w:after="0"/>
              <w:rPr>
                <w:sz w:val="20"/>
                <w:szCs w:val="20"/>
                <w:color w:val="auto"/>
              </w:rPr>
            </w:pPr>
            <w:r>
              <w:rPr>
                <w:rFonts w:ascii="Arial" w:cs="Arial" w:eastAsia="Arial" w:hAnsi="Arial"/>
                <w:sz w:val="18"/>
                <w:szCs w:val="18"/>
                <w:color w:val="auto"/>
              </w:rPr>
              <w:t>6,698</w:t>
            </w:r>
          </w:p>
        </w:tc>
        <w:tc>
          <w:tcPr>
            <w:tcW w:w="1280" w:type="dxa"/>
            <w:vAlign w:val="bottom"/>
            <w:tcBorders>
              <w:bottom w:val="single" w:sz="8" w:color="E2E6F4"/>
            </w:tcBorders>
            <w:shd w:val="clear" w:color="auto" w:fill="E2E6F4"/>
          </w:tcPr>
          <w:p>
            <w:pPr>
              <w:jc w:val="right"/>
              <w:spacing w:after="0"/>
              <w:rPr>
                <w:sz w:val="20"/>
                <w:szCs w:val="20"/>
                <w:color w:val="auto"/>
              </w:rPr>
            </w:pPr>
            <w:r>
              <w:rPr>
                <w:rFonts w:ascii="Arial" w:cs="Arial" w:eastAsia="Arial" w:hAnsi="Arial"/>
                <w:sz w:val="18"/>
                <w:szCs w:val="18"/>
                <w:color w:val="auto"/>
              </w:rPr>
              <w:t>1,050,112</w:t>
            </w:r>
          </w:p>
        </w:tc>
        <w:tc>
          <w:tcPr>
            <w:tcW w:w="0" w:type="dxa"/>
            <w:vAlign w:val="bottom"/>
          </w:tcPr>
          <w:p>
            <w:pPr>
              <w:spacing w:after="0"/>
              <w:rPr>
                <w:sz w:val="1"/>
                <w:szCs w:val="1"/>
                <w:color w:val="auto"/>
              </w:rPr>
            </w:pPr>
          </w:p>
        </w:tc>
      </w:tr>
      <w:tr>
        <w:trPr>
          <w:trHeight w:val="20"/>
        </w:trPr>
        <w:tc>
          <w:tcPr>
            <w:tcW w:w="1980" w:type="dxa"/>
            <w:vAlign w:val="bottom"/>
            <w:shd w:val="clear" w:color="auto" w:fill="0067B3"/>
          </w:tcPr>
          <w:p>
            <w:pPr>
              <w:spacing w:after="0" w:line="20" w:lineRule="exact"/>
              <w:rPr>
                <w:sz w:val="1"/>
                <w:szCs w:val="1"/>
                <w:color w:val="auto"/>
              </w:rPr>
            </w:pPr>
          </w:p>
        </w:tc>
        <w:tc>
          <w:tcPr>
            <w:tcW w:w="1060" w:type="dxa"/>
            <w:vAlign w:val="bottom"/>
            <w:shd w:val="clear" w:color="auto" w:fill="0067B3"/>
          </w:tcPr>
          <w:p>
            <w:pPr>
              <w:spacing w:after="0" w:line="20" w:lineRule="exact"/>
              <w:rPr>
                <w:sz w:val="1"/>
                <w:szCs w:val="1"/>
                <w:color w:val="auto"/>
              </w:rPr>
            </w:pPr>
          </w:p>
        </w:tc>
        <w:tc>
          <w:tcPr>
            <w:tcW w:w="900" w:type="dxa"/>
            <w:vAlign w:val="bottom"/>
            <w:shd w:val="clear" w:color="auto" w:fill="0067B3"/>
          </w:tcPr>
          <w:p>
            <w:pPr>
              <w:spacing w:after="0" w:line="20" w:lineRule="exact"/>
              <w:rPr>
                <w:sz w:val="1"/>
                <w:szCs w:val="1"/>
                <w:color w:val="auto"/>
              </w:rPr>
            </w:pPr>
          </w:p>
        </w:tc>
        <w:tc>
          <w:tcPr>
            <w:tcW w:w="40" w:type="dxa"/>
            <w:vAlign w:val="bottom"/>
            <w:shd w:val="clear" w:color="auto" w:fill="0067B3"/>
          </w:tcPr>
          <w:p>
            <w:pPr>
              <w:spacing w:after="0" w:line="20" w:lineRule="exact"/>
              <w:rPr>
                <w:sz w:val="1"/>
                <w:szCs w:val="1"/>
                <w:color w:val="auto"/>
              </w:rPr>
            </w:pPr>
          </w:p>
        </w:tc>
        <w:tc>
          <w:tcPr>
            <w:tcW w:w="940" w:type="dxa"/>
            <w:vAlign w:val="bottom"/>
            <w:shd w:val="clear" w:color="auto" w:fill="0067B3"/>
          </w:tcPr>
          <w:p>
            <w:pPr>
              <w:spacing w:after="0" w:line="20" w:lineRule="exact"/>
              <w:rPr>
                <w:sz w:val="1"/>
                <w:szCs w:val="1"/>
                <w:color w:val="auto"/>
              </w:rPr>
            </w:pPr>
          </w:p>
        </w:tc>
        <w:tc>
          <w:tcPr>
            <w:tcW w:w="980" w:type="dxa"/>
            <w:vAlign w:val="bottom"/>
            <w:shd w:val="clear" w:color="auto" w:fill="0067B3"/>
          </w:tcPr>
          <w:p>
            <w:pPr>
              <w:spacing w:after="0" w:line="20" w:lineRule="exact"/>
              <w:rPr>
                <w:sz w:val="1"/>
                <w:szCs w:val="1"/>
                <w:color w:val="auto"/>
              </w:rPr>
            </w:pPr>
          </w:p>
        </w:tc>
        <w:tc>
          <w:tcPr>
            <w:tcW w:w="1000" w:type="dxa"/>
            <w:vAlign w:val="bottom"/>
            <w:shd w:val="clear" w:color="auto" w:fill="0067B3"/>
          </w:tcPr>
          <w:p>
            <w:pPr>
              <w:spacing w:after="0" w:line="20" w:lineRule="exact"/>
              <w:rPr>
                <w:sz w:val="1"/>
                <w:szCs w:val="1"/>
                <w:color w:val="auto"/>
              </w:rPr>
            </w:pPr>
          </w:p>
        </w:tc>
        <w:tc>
          <w:tcPr>
            <w:tcW w:w="780" w:type="dxa"/>
            <w:vAlign w:val="bottom"/>
            <w:shd w:val="clear" w:color="auto" w:fill="0067B3"/>
          </w:tcPr>
          <w:p>
            <w:pPr>
              <w:spacing w:after="0" w:line="20" w:lineRule="exact"/>
              <w:rPr>
                <w:sz w:val="1"/>
                <w:szCs w:val="1"/>
                <w:color w:val="auto"/>
              </w:rPr>
            </w:pPr>
          </w:p>
        </w:tc>
        <w:tc>
          <w:tcPr>
            <w:tcW w:w="840" w:type="dxa"/>
            <w:vAlign w:val="bottom"/>
            <w:shd w:val="clear" w:color="auto" w:fill="0067B3"/>
          </w:tcPr>
          <w:p>
            <w:pPr>
              <w:spacing w:after="0" w:line="20" w:lineRule="exact"/>
              <w:rPr>
                <w:sz w:val="1"/>
                <w:szCs w:val="1"/>
                <w:color w:val="auto"/>
              </w:rPr>
            </w:pPr>
          </w:p>
        </w:tc>
        <w:tc>
          <w:tcPr>
            <w:tcW w:w="1440" w:type="dxa"/>
            <w:vAlign w:val="bottom"/>
            <w:shd w:val="clear" w:color="auto" w:fill="0067B3"/>
          </w:tcPr>
          <w:p>
            <w:pPr>
              <w:spacing w:after="0" w:line="20" w:lineRule="exact"/>
              <w:rPr>
                <w:sz w:val="1"/>
                <w:szCs w:val="1"/>
                <w:color w:val="auto"/>
              </w:rPr>
            </w:pPr>
          </w:p>
        </w:tc>
        <w:tc>
          <w:tcPr>
            <w:tcW w:w="1280" w:type="dxa"/>
            <w:vAlign w:val="bottom"/>
            <w:shd w:val="clear" w:color="auto" w:fill="0067B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1933575</wp:posOffset>
            </wp:positionH>
            <wp:positionV relativeFrom="paragraph">
              <wp:posOffset>-3539490</wp:posOffset>
            </wp:positionV>
            <wp:extent cx="3472180" cy="8255"/>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3472180" cy="8255"/>
                    </a:xfrm>
                    <a:prstGeom prst="rect">
                      <a:avLst/>
                    </a:prstGeom>
                    <a:noFill/>
                  </pic:spPr>
                </pic:pic>
              </a:graphicData>
            </a:graphic>
          </wp:anchor>
        </w:drawing>
      </w:r>
    </w:p>
    <w:p>
      <w:pPr>
        <w:spacing w:after="0" w:line="168" w:lineRule="exact"/>
        <w:rPr>
          <w:sz w:val="20"/>
          <w:szCs w:val="20"/>
          <w:color w:val="auto"/>
        </w:rPr>
      </w:pPr>
    </w:p>
    <w:p>
      <w:pPr>
        <w:ind w:left="200" w:right="280" w:hanging="192"/>
        <w:spacing w:after="0"/>
        <w:tabs>
          <w:tab w:leader="none" w:pos="215" w:val="left"/>
        </w:tabs>
        <w:numPr>
          <w:ilvl w:val="0"/>
          <w:numId w:val="113"/>
        </w:numPr>
        <w:rPr>
          <w:rFonts w:ascii="Arial" w:cs="Arial" w:eastAsia="Arial" w:hAnsi="Arial"/>
          <w:sz w:val="21"/>
          <w:szCs w:val="21"/>
          <w:color w:val="auto"/>
          <w:vertAlign w:val="superscript"/>
        </w:rPr>
      </w:pPr>
      <w:r>
        <w:rPr>
          <w:rFonts w:ascii="Arial" w:cs="Arial" w:eastAsia="Arial" w:hAnsi="Arial"/>
          <w:sz w:val="16"/>
          <w:szCs w:val="16"/>
          <w:color w:val="auto"/>
        </w:rPr>
        <w:t>The amounts shown in the threshold, target, and maximum columns reflect the minimum, target, and maximum amounts payable under our executive performance incentive plan, respectively. Amounts in the maximum column above reflect 250% of the executive officer’s target variable cash incentive, which was the cap under the plan in fiscal year 2025. The actual amounts earned in fiscal year 2025 are reflected in the “Non-Equity Incentive Plan Compensation” column of the Summary Compensation Table and were as follows:</w:t>
      </w:r>
    </w:p>
    <w:p>
      <w:pPr>
        <w:spacing w:after="0" w:line="247" w:lineRule="exact"/>
        <w:rPr>
          <w:sz w:val="20"/>
          <w:szCs w:val="20"/>
          <w:color w:val="auto"/>
        </w:rPr>
      </w:pPr>
    </w:p>
    <w:tbl>
      <w:tblPr>
        <w:tblLayout w:type="fixed"/>
        <w:tblInd w:w="200" w:type="dxa"/>
        <w:tblCellMar>
          <w:top w:w="0" w:type="dxa"/>
          <w:left w:w="0" w:type="dxa"/>
          <w:bottom w:w="0" w:type="dxa"/>
          <w:right w:w="0" w:type="dxa"/>
        </w:tblCellMar>
      </w:tblPr>
      <w:tr>
        <w:trPr>
          <w:trHeight w:val="180"/>
        </w:trPr>
        <w:tc>
          <w:tcPr>
            <w:tcW w:w="5160" w:type="dxa"/>
            <w:vAlign w:val="bottom"/>
            <w:shd w:val="clear" w:color="auto" w:fill="0067B3"/>
          </w:tcPr>
          <w:p>
            <w:pPr>
              <w:spacing w:after="0"/>
              <w:rPr>
                <w:sz w:val="15"/>
                <w:szCs w:val="15"/>
                <w:color w:val="auto"/>
              </w:rPr>
            </w:pPr>
          </w:p>
        </w:tc>
        <w:tc>
          <w:tcPr>
            <w:tcW w:w="5640" w:type="dxa"/>
            <w:vAlign w:val="bottom"/>
            <w:gridSpan w:val="2"/>
            <w:shd w:val="clear" w:color="auto" w:fill="0067B3"/>
          </w:tcPr>
          <w:p>
            <w:pPr>
              <w:jc w:val="right"/>
              <w:spacing w:after="0"/>
              <w:rPr>
                <w:sz w:val="20"/>
                <w:szCs w:val="20"/>
                <w:color w:val="auto"/>
              </w:rPr>
            </w:pPr>
            <w:r>
              <w:rPr>
                <w:rFonts w:ascii="Arial" w:cs="Arial" w:eastAsia="Arial" w:hAnsi="Arial"/>
                <w:sz w:val="14"/>
                <w:szCs w:val="14"/>
                <w:b w:val="1"/>
                <w:bCs w:val="1"/>
                <w:color w:val="FFFFFF"/>
              </w:rPr>
              <w:t>Actual Payout under Non-</w:t>
            </w:r>
          </w:p>
        </w:tc>
      </w:tr>
      <w:tr>
        <w:trPr>
          <w:trHeight w:val="176"/>
        </w:trPr>
        <w:tc>
          <w:tcPr>
            <w:tcW w:w="5160" w:type="dxa"/>
            <w:vAlign w:val="bottom"/>
            <w:shd w:val="clear" w:color="auto" w:fill="0067B3"/>
          </w:tcPr>
          <w:p>
            <w:pPr>
              <w:spacing w:after="0"/>
              <w:rPr>
                <w:sz w:val="15"/>
                <w:szCs w:val="15"/>
                <w:color w:val="auto"/>
              </w:rPr>
            </w:pPr>
          </w:p>
        </w:tc>
        <w:tc>
          <w:tcPr>
            <w:tcW w:w="4880" w:type="dxa"/>
            <w:vAlign w:val="bottom"/>
            <w:shd w:val="clear" w:color="auto" w:fill="0067B3"/>
          </w:tcPr>
          <w:p>
            <w:pPr>
              <w:spacing w:after="0"/>
              <w:rPr>
                <w:sz w:val="15"/>
                <w:szCs w:val="15"/>
                <w:color w:val="auto"/>
              </w:rPr>
            </w:pPr>
          </w:p>
        </w:tc>
        <w:tc>
          <w:tcPr>
            <w:tcW w:w="760" w:type="dxa"/>
            <w:vAlign w:val="bottom"/>
            <w:shd w:val="clear" w:color="auto" w:fill="0067B3"/>
          </w:tcPr>
          <w:p>
            <w:pPr>
              <w:jc w:val="right"/>
              <w:spacing w:after="0"/>
              <w:rPr>
                <w:sz w:val="20"/>
                <w:szCs w:val="20"/>
                <w:color w:val="auto"/>
              </w:rPr>
            </w:pPr>
            <w:r>
              <w:rPr>
                <w:rFonts w:ascii="Arial" w:cs="Arial" w:eastAsia="Arial" w:hAnsi="Arial"/>
                <w:sz w:val="14"/>
                <w:szCs w:val="14"/>
                <w:b w:val="1"/>
                <w:bCs w:val="1"/>
                <w:color w:val="FFFFFF"/>
              </w:rPr>
              <w:t>Equity</w:t>
            </w:r>
          </w:p>
        </w:tc>
      </w:tr>
      <w:tr>
        <w:trPr>
          <w:trHeight w:val="175"/>
        </w:trPr>
        <w:tc>
          <w:tcPr>
            <w:tcW w:w="5160" w:type="dxa"/>
            <w:vAlign w:val="bottom"/>
            <w:shd w:val="clear" w:color="auto" w:fill="0067B3"/>
          </w:tcPr>
          <w:p>
            <w:pPr>
              <w:spacing w:after="0"/>
              <w:rPr>
                <w:sz w:val="15"/>
                <w:szCs w:val="15"/>
                <w:color w:val="auto"/>
              </w:rPr>
            </w:pPr>
          </w:p>
        </w:tc>
        <w:tc>
          <w:tcPr>
            <w:tcW w:w="5640" w:type="dxa"/>
            <w:vAlign w:val="bottom"/>
            <w:gridSpan w:val="2"/>
            <w:shd w:val="clear" w:color="auto" w:fill="0067B3"/>
          </w:tcPr>
          <w:p>
            <w:pPr>
              <w:jc w:val="right"/>
              <w:spacing w:after="0"/>
              <w:rPr>
                <w:sz w:val="20"/>
                <w:szCs w:val="20"/>
                <w:color w:val="auto"/>
              </w:rPr>
            </w:pPr>
            <w:r>
              <w:rPr>
                <w:rFonts w:ascii="Arial" w:cs="Arial" w:eastAsia="Arial" w:hAnsi="Arial"/>
                <w:sz w:val="14"/>
                <w:szCs w:val="14"/>
                <w:b w:val="1"/>
                <w:bCs w:val="1"/>
                <w:color w:val="FFFFFF"/>
              </w:rPr>
              <w:t>Incentive Plans for Fiscal Year</w:t>
            </w:r>
          </w:p>
        </w:tc>
      </w:tr>
      <w:tr>
        <w:trPr>
          <w:trHeight w:val="212"/>
        </w:trPr>
        <w:tc>
          <w:tcPr>
            <w:tcW w:w="5160" w:type="dxa"/>
            <w:vAlign w:val="bottom"/>
            <w:shd w:val="clear" w:color="auto" w:fill="0067B3"/>
          </w:tcPr>
          <w:p>
            <w:pPr>
              <w:ind w:left="20"/>
              <w:spacing w:after="0"/>
              <w:rPr>
                <w:sz w:val="20"/>
                <w:szCs w:val="20"/>
                <w:color w:val="auto"/>
              </w:rPr>
            </w:pPr>
            <w:r>
              <w:rPr>
                <w:rFonts w:ascii="Arial" w:cs="Arial" w:eastAsia="Arial" w:hAnsi="Arial"/>
                <w:sz w:val="14"/>
                <w:szCs w:val="14"/>
                <w:b w:val="1"/>
                <w:bCs w:val="1"/>
                <w:color w:val="FFFFFF"/>
              </w:rPr>
              <w:t>Name</w:t>
            </w:r>
          </w:p>
        </w:tc>
        <w:tc>
          <w:tcPr>
            <w:tcW w:w="4880" w:type="dxa"/>
            <w:vAlign w:val="bottom"/>
            <w:shd w:val="clear" w:color="auto" w:fill="0067B3"/>
          </w:tcPr>
          <w:p>
            <w:pPr>
              <w:spacing w:after="0"/>
              <w:rPr>
                <w:sz w:val="18"/>
                <w:szCs w:val="18"/>
                <w:color w:val="auto"/>
              </w:rPr>
            </w:pPr>
          </w:p>
        </w:tc>
        <w:tc>
          <w:tcPr>
            <w:tcW w:w="760" w:type="dxa"/>
            <w:vAlign w:val="bottom"/>
            <w:shd w:val="clear" w:color="auto" w:fill="0067B3"/>
          </w:tcPr>
          <w:p>
            <w:pPr>
              <w:jc w:val="right"/>
              <w:spacing w:after="0"/>
              <w:rPr>
                <w:sz w:val="20"/>
                <w:szCs w:val="20"/>
                <w:color w:val="auto"/>
              </w:rPr>
            </w:pPr>
            <w:r>
              <w:rPr>
                <w:rFonts w:ascii="Arial" w:cs="Arial" w:eastAsia="Arial" w:hAnsi="Arial"/>
                <w:sz w:val="14"/>
                <w:szCs w:val="14"/>
                <w:b w:val="1"/>
                <w:bCs w:val="1"/>
                <w:color w:val="FFFFFF"/>
              </w:rPr>
              <w:t>2025</w:t>
            </w:r>
          </w:p>
        </w:tc>
      </w:tr>
      <w:tr>
        <w:trPr>
          <w:trHeight w:val="223"/>
        </w:trPr>
        <w:tc>
          <w:tcPr>
            <w:tcW w:w="5160" w:type="dxa"/>
            <w:vAlign w:val="bottom"/>
            <w:tcBorders>
              <w:bottom w:val="single" w:sz="8" w:color="E2E6F4"/>
            </w:tcBorders>
            <w:shd w:val="clear" w:color="auto" w:fill="E2E6F4"/>
          </w:tcPr>
          <w:p>
            <w:pPr>
              <w:ind w:left="20"/>
              <w:spacing w:after="0"/>
              <w:rPr>
                <w:sz w:val="20"/>
                <w:szCs w:val="20"/>
                <w:color w:val="auto"/>
              </w:rPr>
            </w:pPr>
            <w:r>
              <w:rPr>
                <w:rFonts w:ascii="Arial" w:cs="Arial" w:eastAsia="Arial" w:hAnsi="Arial"/>
                <w:sz w:val="15"/>
                <w:szCs w:val="15"/>
                <w:b w:val="1"/>
                <w:bCs w:val="1"/>
                <w:color w:val="0067B3"/>
              </w:rPr>
              <w:t>Vincent Roche</w:t>
            </w:r>
          </w:p>
        </w:tc>
        <w:tc>
          <w:tcPr>
            <w:tcW w:w="4880" w:type="dxa"/>
            <w:vAlign w:val="bottom"/>
            <w:tcBorders>
              <w:bottom w:val="single" w:sz="8" w:color="E2E6F4"/>
            </w:tcBorders>
            <w:shd w:val="clear" w:color="auto" w:fill="E2E6F4"/>
          </w:tcPr>
          <w:p>
            <w:pPr>
              <w:jc w:val="right"/>
              <w:spacing w:after="0"/>
              <w:rPr>
                <w:sz w:val="20"/>
                <w:szCs w:val="20"/>
                <w:color w:val="auto"/>
              </w:rPr>
            </w:pPr>
            <w:r>
              <w:rPr>
                <w:rFonts w:ascii="Arial" w:cs="Arial" w:eastAsia="Arial" w:hAnsi="Arial"/>
                <w:sz w:val="15"/>
                <w:szCs w:val="15"/>
                <w:color w:val="auto"/>
              </w:rPr>
              <w:t>$</w:t>
            </w:r>
          </w:p>
        </w:tc>
        <w:tc>
          <w:tcPr>
            <w:tcW w:w="760" w:type="dxa"/>
            <w:vAlign w:val="bottom"/>
            <w:tcBorders>
              <w:bottom w:val="single" w:sz="8" w:color="E2E6F4"/>
            </w:tcBorders>
            <w:shd w:val="clear" w:color="auto" w:fill="E2E6F4"/>
          </w:tcPr>
          <w:p>
            <w:pPr>
              <w:jc w:val="right"/>
              <w:spacing w:after="0"/>
              <w:rPr>
                <w:sz w:val="20"/>
                <w:szCs w:val="20"/>
                <w:color w:val="auto"/>
              </w:rPr>
            </w:pPr>
            <w:r>
              <w:rPr>
                <w:rFonts w:ascii="Arial" w:cs="Arial" w:eastAsia="Arial" w:hAnsi="Arial"/>
                <w:sz w:val="15"/>
                <w:szCs w:val="15"/>
                <w:color w:val="auto"/>
              </w:rPr>
              <w:t>3,864,000</w:t>
            </w:r>
          </w:p>
        </w:tc>
      </w:tr>
      <w:tr>
        <w:trPr>
          <w:trHeight w:val="218"/>
        </w:trPr>
        <w:tc>
          <w:tcPr>
            <w:tcW w:w="5160" w:type="dxa"/>
            <w:vAlign w:val="bottom"/>
          </w:tcPr>
          <w:p>
            <w:pPr>
              <w:ind w:left="20"/>
              <w:spacing w:after="0"/>
              <w:rPr>
                <w:sz w:val="20"/>
                <w:szCs w:val="20"/>
                <w:color w:val="auto"/>
              </w:rPr>
            </w:pPr>
            <w:r>
              <w:rPr>
                <w:rFonts w:ascii="Arial" w:cs="Arial" w:eastAsia="Arial" w:hAnsi="Arial"/>
                <w:sz w:val="15"/>
                <w:szCs w:val="15"/>
                <w:b w:val="1"/>
                <w:bCs w:val="1"/>
                <w:color w:val="0067B3"/>
              </w:rPr>
              <w:t>Richard C. Puccio, Jr.</w:t>
            </w:r>
          </w:p>
        </w:tc>
        <w:tc>
          <w:tcPr>
            <w:tcW w:w="4880" w:type="dxa"/>
            <w:vAlign w:val="bottom"/>
          </w:tcPr>
          <w:p>
            <w:pPr>
              <w:jc w:val="right"/>
              <w:spacing w:after="0"/>
              <w:rPr>
                <w:sz w:val="20"/>
                <w:szCs w:val="20"/>
                <w:color w:val="auto"/>
              </w:rPr>
            </w:pPr>
            <w:r>
              <w:rPr>
                <w:rFonts w:ascii="Arial" w:cs="Arial" w:eastAsia="Arial" w:hAnsi="Arial"/>
                <w:sz w:val="15"/>
                <w:szCs w:val="15"/>
                <w:color w:val="auto"/>
              </w:rPr>
              <w:t>$</w:t>
            </w:r>
          </w:p>
        </w:tc>
        <w:tc>
          <w:tcPr>
            <w:tcW w:w="760" w:type="dxa"/>
            <w:vAlign w:val="bottom"/>
          </w:tcPr>
          <w:p>
            <w:pPr>
              <w:jc w:val="right"/>
              <w:spacing w:after="0"/>
              <w:rPr>
                <w:sz w:val="20"/>
                <w:szCs w:val="20"/>
                <w:color w:val="auto"/>
              </w:rPr>
            </w:pPr>
            <w:r>
              <w:rPr>
                <w:rFonts w:ascii="Arial" w:cs="Arial" w:eastAsia="Arial" w:hAnsi="Arial"/>
                <w:sz w:val="15"/>
                <w:szCs w:val="15"/>
                <w:color w:val="auto"/>
              </w:rPr>
              <w:t>1,376,240</w:t>
            </w:r>
          </w:p>
        </w:tc>
      </w:tr>
      <w:tr>
        <w:trPr>
          <w:trHeight w:val="25"/>
        </w:trPr>
        <w:tc>
          <w:tcPr>
            <w:tcW w:w="5160" w:type="dxa"/>
            <w:vAlign w:val="bottom"/>
          </w:tcPr>
          <w:p>
            <w:pPr>
              <w:spacing w:after="0"/>
              <w:rPr>
                <w:sz w:val="2"/>
                <w:szCs w:val="2"/>
                <w:color w:val="auto"/>
              </w:rPr>
            </w:pPr>
          </w:p>
        </w:tc>
        <w:tc>
          <w:tcPr>
            <w:tcW w:w="488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23"/>
        </w:trPr>
        <w:tc>
          <w:tcPr>
            <w:tcW w:w="5160" w:type="dxa"/>
            <w:vAlign w:val="bottom"/>
            <w:tcBorders>
              <w:bottom w:val="single" w:sz="8" w:color="E2E6F4"/>
            </w:tcBorders>
            <w:shd w:val="clear" w:color="auto" w:fill="E2E6F4"/>
          </w:tcPr>
          <w:p>
            <w:pPr>
              <w:ind w:left="20"/>
              <w:spacing w:after="0"/>
              <w:rPr>
                <w:sz w:val="20"/>
                <w:szCs w:val="20"/>
                <w:color w:val="auto"/>
              </w:rPr>
            </w:pPr>
            <w:r>
              <w:rPr>
                <w:rFonts w:ascii="Arial" w:cs="Arial" w:eastAsia="Arial" w:hAnsi="Arial"/>
                <w:sz w:val="15"/>
                <w:szCs w:val="15"/>
                <w:b w:val="1"/>
                <w:bCs w:val="1"/>
                <w:color w:val="0067B3"/>
              </w:rPr>
              <w:t>Martin Cotter</w:t>
            </w:r>
          </w:p>
        </w:tc>
        <w:tc>
          <w:tcPr>
            <w:tcW w:w="4880" w:type="dxa"/>
            <w:vAlign w:val="bottom"/>
            <w:tcBorders>
              <w:bottom w:val="single" w:sz="8" w:color="E2E6F4"/>
            </w:tcBorders>
            <w:shd w:val="clear" w:color="auto" w:fill="E2E6F4"/>
          </w:tcPr>
          <w:p>
            <w:pPr>
              <w:jc w:val="right"/>
              <w:spacing w:after="0"/>
              <w:rPr>
                <w:sz w:val="20"/>
                <w:szCs w:val="20"/>
                <w:color w:val="auto"/>
              </w:rPr>
            </w:pPr>
            <w:r>
              <w:rPr>
                <w:rFonts w:ascii="Arial" w:cs="Arial" w:eastAsia="Arial" w:hAnsi="Arial"/>
                <w:sz w:val="15"/>
                <w:szCs w:val="15"/>
                <w:color w:val="auto"/>
              </w:rPr>
              <w:t>$</w:t>
            </w:r>
          </w:p>
        </w:tc>
        <w:tc>
          <w:tcPr>
            <w:tcW w:w="760" w:type="dxa"/>
            <w:vAlign w:val="bottom"/>
            <w:tcBorders>
              <w:bottom w:val="single" w:sz="8" w:color="E2E6F4"/>
            </w:tcBorders>
            <w:shd w:val="clear" w:color="auto" w:fill="E2E6F4"/>
          </w:tcPr>
          <w:p>
            <w:pPr>
              <w:jc w:val="right"/>
              <w:spacing w:after="0"/>
              <w:rPr>
                <w:sz w:val="20"/>
                <w:szCs w:val="20"/>
                <w:color w:val="auto"/>
              </w:rPr>
            </w:pPr>
            <w:r>
              <w:rPr>
                <w:rFonts w:ascii="Arial" w:cs="Arial" w:eastAsia="Arial" w:hAnsi="Arial"/>
                <w:sz w:val="15"/>
                <w:szCs w:val="15"/>
                <w:color w:val="auto"/>
              </w:rPr>
              <w:t>961,356</w:t>
            </w:r>
          </w:p>
        </w:tc>
      </w:tr>
      <w:tr>
        <w:trPr>
          <w:trHeight w:val="218"/>
        </w:trPr>
        <w:tc>
          <w:tcPr>
            <w:tcW w:w="5160" w:type="dxa"/>
            <w:vAlign w:val="bottom"/>
          </w:tcPr>
          <w:p>
            <w:pPr>
              <w:ind w:left="20"/>
              <w:spacing w:after="0"/>
              <w:rPr>
                <w:sz w:val="20"/>
                <w:szCs w:val="20"/>
                <w:color w:val="auto"/>
              </w:rPr>
            </w:pPr>
            <w:r>
              <w:rPr>
                <w:rFonts w:ascii="Arial" w:cs="Arial" w:eastAsia="Arial" w:hAnsi="Arial"/>
                <w:sz w:val="15"/>
                <w:szCs w:val="15"/>
                <w:b w:val="1"/>
                <w:bCs w:val="1"/>
                <w:color w:val="0067B3"/>
              </w:rPr>
              <w:t>Vivek Jain</w:t>
            </w:r>
          </w:p>
        </w:tc>
        <w:tc>
          <w:tcPr>
            <w:tcW w:w="4880" w:type="dxa"/>
            <w:vAlign w:val="bottom"/>
          </w:tcPr>
          <w:p>
            <w:pPr>
              <w:jc w:val="right"/>
              <w:spacing w:after="0"/>
              <w:rPr>
                <w:sz w:val="20"/>
                <w:szCs w:val="20"/>
                <w:color w:val="auto"/>
              </w:rPr>
            </w:pPr>
            <w:r>
              <w:rPr>
                <w:rFonts w:ascii="Arial" w:cs="Arial" w:eastAsia="Arial" w:hAnsi="Arial"/>
                <w:sz w:val="15"/>
                <w:szCs w:val="15"/>
                <w:color w:val="auto"/>
              </w:rPr>
              <w:t>$</w:t>
            </w:r>
          </w:p>
        </w:tc>
        <w:tc>
          <w:tcPr>
            <w:tcW w:w="760" w:type="dxa"/>
            <w:vAlign w:val="bottom"/>
          </w:tcPr>
          <w:p>
            <w:pPr>
              <w:jc w:val="right"/>
              <w:spacing w:after="0"/>
              <w:rPr>
                <w:sz w:val="20"/>
                <w:szCs w:val="20"/>
                <w:color w:val="auto"/>
              </w:rPr>
            </w:pPr>
            <w:r>
              <w:rPr>
                <w:rFonts w:ascii="Arial" w:cs="Arial" w:eastAsia="Arial" w:hAnsi="Arial"/>
                <w:sz w:val="15"/>
                <w:szCs w:val="15"/>
                <w:color w:val="auto"/>
              </w:rPr>
              <w:t>1,354,567</w:t>
            </w:r>
          </w:p>
        </w:tc>
      </w:tr>
      <w:tr>
        <w:trPr>
          <w:trHeight w:val="25"/>
        </w:trPr>
        <w:tc>
          <w:tcPr>
            <w:tcW w:w="5160" w:type="dxa"/>
            <w:vAlign w:val="bottom"/>
          </w:tcPr>
          <w:p>
            <w:pPr>
              <w:spacing w:after="0"/>
              <w:rPr>
                <w:sz w:val="2"/>
                <w:szCs w:val="2"/>
                <w:color w:val="auto"/>
              </w:rPr>
            </w:pPr>
          </w:p>
        </w:tc>
        <w:tc>
          <w:tcPr>
            <w:tcW w:w="488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23"/>
        </w:trPr>
        <w:tc>
          <w:tcPr>
            <w:tcW w:w="5160" w:type="dxa"/>
            <w:vAlign w:val="bottom"/>
            <w:tcBorders>
              <w:bottom w:val="single" w:sz="8" w:color="E2E6F4"/>
            </w:tcBorders>
            <w:shd w:val="clear" w:color="auto" w:fill="E2E6F4"/>
          </w:tcPr>
          <w:p>
            <w:pPr>
              <w:ind w:left="20"/>
              <w:spacing w:after="0"/>
              <w:rPr>
                <w:sz w:val="20"/>
                <w:szCs w:val="20"/>
                <w:color w:val="auto"/>
              </w:rPr>
            </w:pPr>
            <w:r>
              <w:rPr>
                <w:rFonts w:ascii="Arial" w:cs="Arial" w:eastAsia="Arial" w:hAnsi="Arial"/>
                <w:sz w:val="15"/>
                <w:szCs w:val="15"/>
                <w:b w:val="1"/>
                <w:bCs w:val="1"/>
                <w:color w:val="0067B3"/>
              </w:rPr>
              <w:t>Katsu Nakamura</w:t>
            </w:r>
          </w:p>
        </w:tc>
        <w:tc>
          <w:tcPr>
            <w:tcW w:w="4880" w:type="dxa"/>
            <w:vAlign w:val="bottom"/>
            <w:tcBorders>
              <w:bottom w:val="single" w:sz="8" w:color="E2E6F4"/>
            </w:tcBorders>
            <w:shd w:val="clear" w:color="auto" w:fill="E2E6F4"/>
          </w:tcPr>
          <w:p>
            <w:pPr>
              <w:jc w:val="right"/>
              <w:spacing w:after="0"/>
              <w:rPr>
                <w:sz w:val="20"/>
                <w:szCs w:val="20"/>
                <w:color w:val="auto"/>
              </w:rPr>
            </w:pPr>
            <w:r>
              <w:rPr>
                <w:rFonts w:ascii="Arial" w:cs="Arial" w:eastAsia="Arial" w:hAnsi="Arial"/>
                <w:sz w:val="15"/>
                <w:szCs w:val="15"/>
                <w:color w:val="auto"/>
              </w:rPr>
              <w:t>$</w:t>
            </w:r>
          </w:p>
        </w:tc>
        <w:tc>
          <w:tcPr>
            <w:tcW w:w="760" w:type="dxa"/>
            <w:vAlign w:val="bottom"/>
            <w:tcBorders>
              <w:bottom w:val="single" w:sz="8" w:color="E2E6F4"/>
            </w:tcBorders>
            <w:shd w:val="clear" w:color="auto" w:fill="E2E6F4"/>
          </w:tcPr>
          <w:p>
            <w:pPr>
              <w:jc w:val="right"/>
              <w:spacing w:after="0"/>
              <w:rPr>
                <w:sz w:val="20"/>
                <w:szCs w:val="20"/>
                <w:color w:val="auto"/>
              </w:rPr>
            </w:pPr>
            <w:r>
              <w:rPr>
                <w:rFonts w:ascii="Arial" w:cs="Arial" w:eastAsia="Arial" w:hAnsi="Arial"/>
                <w:sz w:val="15"/>
                <w:szCs w:val="15"/>
                <w:color w:val="auto"/>
              </w:rPr>
              <w:t>792,742</w:t>
            </w:r>
          </w:p>
        </w:tc>
      </w:tr>
      <w:tr>
        <w:trPr>
          <w:trHeight w:val="20"/>
        </w:trPr>
        <w:tc>
          <w:tcPr>
            <w:tcW w:w="5160" w:type="dxa"/>
            <w:vAlign w:val="bottom"/>
            <w:shd w:val="clear" w:color="auto" w:fill="0067B3"/>
          </w:tcPr>
          <w:p>
            <w:pPr>
              <w:spacing w:after="0" w:line="20" w:lineRule="exact"/>
              <w:rPr>
                <w:sz w:val="1"/>
                <w:szCs w:val="1"/>
                <w:color w:val="auto"/>
              </w:rPr>
            </w:pPr>
          </w:p>
        </w:tc>
        <w:tc>
          <w:tcPr>
            <w:tcW w:w="4880" w:type="dxa"/>
            <w:vAlign w:val="bottom"/>
            <w:shd w:val="clear" w:color="auto" w:fill="0067B3"/>
          </w:tcPr>
          <w:p>
            <w:pPr>
              <w:spacing w:after="0" w:line="20" w:lineRule="exact"/>
              <w:rPr>
                <w:sz w:val="1"/>
                <w:szCs w:val="1"/>
                <w:color w:val="auto"/>
              </w:rPr>
            </w:pPr>
          </w:p>
        </w:tc>
        <w:tc>
          <w:tcPr>
            <w:tcW w:w="760" w:type="dxa"/>
            <w:vAlign w:val="bottom"/>
            <w:shd w:val="clear" w:color="auto" w:fill="0067B3"/>
          </w:tcPr>
          <w:p>
            <w:pPr>
              <w:spacing w:after="0" w:line="20" w:lineRule="exact"/>
              <w:rPr>
                <w:sz w:val="1"/>
                <w:szCs w:val="1"/>
                <w:color w:val="auto"/>
              </w:rPr>
            </w:pPr>
          </w:p>
        </w:tc>
      </w:tr>
    </w:tbl>
    <w:p>
      <w:pPr>
        <w:spacing w:after="0" w:line="175" w:lineRule="exact"/>
        <w:rPr>
          <w:sz w:val="20"/>
          <w:szCs w:val="20"/>
          <w:color w:val="auto"/>
        </w:rPr>
      </w:pPr>
    </w:p>
    <w:p>
      <w:pPr>
        <w:ind w:left="200"/>
        <w:spacing w:after="0"/>
        <w:rPr>
          <w:sz w:val="20"/>
          <w:szCs w:val="20"/>
          <w:color w:val="auto"/>
        </w:rPr>
      </w:pPr>
      <w:r>
        <w:rPr>
          <w:rFonts w:ascii="Arial" w:cs="Arial" w:eastAsia="Arial" w:hAnsi="Arial"/>
          <w:sz w:val="16"/>
          <w:szCs w:val="16"/>
          <w:color w:val="auto"/>
        </w:rPr>
        <w:t xml:space="preserve">See </w:t>
      </w:r>
      <w:r>
        <w:rPr>
          <w:rFonts w:ascii="Arial" w:cs="Arial" w:eastAsia="Arial" w:hAnsi="Arial"/>
          <w:sz w:val="16"/>
          <w:szCs w:val="16"/>
          <w:i w:val="1"/>
          <w:iCs w:val="1"/>
          <w:color w:val="auto"/>
        </w:rPr>
        <w:t>Compensation Discussion and Analysi</w:t>
      </w:r>
      <w:r>
        <w:rPr>
          <w:rFonts w:ascii="Arial" w:cs="Arial" w:eastAsia="Arial" w:hAnsi="Arial"/>
          <w:sz w:val="16"/>
          <w:szCs w:val="16"/>
          <w:color w:val="auto"/>
        </w:rPr>
        <w:t>s for a discussion of how these amounts were determined under our executive performance incentive plan.</w:t>
      </w:r>
    </w:p>
    <w:p>
      <w:pPr>
        <w:spacing w:after="0" w:line="200" w:lineRule="exact"/>
        <w:rPr>
          <w:sz w:val="20"/>
          <w:szCs w:val="20"/>
          <w:color w:val="auto"/>
        </w:rPr>
      </w:pPr>
    </w:p>
    <w:p>
      <w:pPr>
        <w:spacing w:after="0" w:line="282" w:lineRule="exact"/>
        <w:rPr>
          <w:sz w:val="20"/>
          <w:szCs w:val="20"/>
          <w:color w:val="auto"/>
        </w:rPr>
      </w:pPr>
    </w:p>
    <w:tbl>
      <w:tblPr>
        <w:tblLayout w:type="fixed"/>
        <w:tblInd w:w="0" w:type="dxa"/>
        <w:tblCellMar>
          <w:top w:w="0" w:type="dxa"/>
          <w:left w:w="0" w:type="dxa"/>
          <w:bottom w:w="0" w:type="dxa"/>
          <w:right w:w="0" w:type="dxa"/>
        </w:tblCellMar>
      </w:tblPr>
      <w:tr>
        <w:trPr>
          <w:trHeight w:val="278"/>
        </w:trPr>
        <w:tc>
          <w:tcPr>
            <w:tcW w:w="10800" w:type="dxa"/>
            <w:vAlign w:val="bottom"/>
          </w:tcPr>
          <w:p>
            <w:pPr>
              <w:ind w:left="8980"/>
              <w:spacing w:after="0"/>
              <w:rPr>
                <w:sz w:val="20"/>
                <w:szCs w:val="20"/>
                <w:color w:val="auto"/>
              </w:rPr>
            </w:pPr>
            <w:r>
              <w:rPr>
                <w:rFonts w:ascii="Arial" w:cs="Arial" w:eastAsia="Arial" w:hAnsi="Arial"/>
                <w:sz w:val="16"/>
                <w:szCs w:val="16"/>
                <w:color w:val="0067B3"/>
              </w:rPr>
              <w:t>2026 Proxy Statement</w:t>
            </w:r>
          </w:p>
        </w:tc>
        <w:tc>
          <w:tcPr>
            <w:tcW w:w="440" w:type="dxa"/>
            <w:vAlign w:val="bottom"/>
          </w:tcPr>
          <w:p>
            <w:pPr>
              <w:jc w:val="right"/>
              <w:spacing w:after="0"/>
              <w:rPr>
                <w:sz w:val="20"/>
                <w:szCs w:val="20"/>
                <w:color w:val="auto"/>
              </w:rPr>
            </w:pPr>
            <w:r>
              <w:rPr>
                <w:rFonts w:ascii="Arial" w:cs="Arial" w:eastAsia="Arial" w:hAnsi="Arial"/>
                <w:sz w:val="20"/>
                <w:szCs w:val="20"/>
                <w:b w:val="1"/>
                <w:bCs w:val="1"/>
                <w:color w:val="auto"/>
              </w:rPr>
              <w:t>61</w:t>
            </w:r>
          </w:p>
        </w:tc>
      </w:tr>
      <w:tr>
        <w:trPr>
          <w:trHeight w:val="333"/>
        </w:trPr>
        <w:tc>
          <w:tcPr>
            <w:tcW w:w="1080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311" w:right="339" w:bottom="1440" w:gutter="0" w:footer="0" w:header="0"/>
        </w:sectPr>
      </w:pPr>
    </w:p>
    <w:bookmarkStart w:id="69" w:name="page70"/>
    <w:bookmarkEnd w:id="69"/>
    <w:p>
      <w:pPr>
        <w:ind w:left="192" w:hanging="192"/>
        <w:spacing w:after="0" w:line="249" w:lineRule="auto"/>
        <w:tabs>
          <w:tab w:leader="none" w:pos="207" w:val="left"/>
        </w:tabs>
        <w:numPr>
          <w:ilvl w:val="0"/>
          <w:numId w:val="114"/>
        </w:numPr>
        <w:rPr>
          <w:rFonts w:ascii="Arial" w:cs="Arial" w:eastAsia="Arial" w:hAnsi="Arial"/>
          <w:sz w:val="21"/>
          <w:szCs w:val="21"/>
          <w:color w:val="auto"/>
          <w:vertAlign w:val="superscript"/>
        </w:rPr>
      </w:pPr>
      <w:r>
        <w:rPr>
          <w:rFonts w:ascii="Arial" w:cs="Arial" w:eastAsia="Arial" w:hAnsi="Arial"/>
          <w:sz w:val="16"/>
          <w:szCs w:val="16"/>
          <w:color w:val="auto"/>
        </w:rPr>
        <w:t>Represents PRSUs granted under our 2020 Plan. Our annual equity compensation program included two types of PRSUs for our executive officers: Relative TSR PRSUs and Financial Metric PRSUs. The number of Relative TSR PRSUs that executive officers may earn is based on our TSR performance relative to the TSR performance of other companies in a comparator index, currently the S&amp;P 500 Index, as approved by the Compensation and Talent Committee, over a three-year performance period beginning on March 15, 2025 and ending on March 15, 2028. Target performance of our Relative TSR PRSUs is achieved when ADI’s TSR is at the 55th percentile of the TSRs of the companies in the S&amp;P 500 Index. The actual amount of our Relative TSR PRSUs earned can range from 0%-200% of the target amount, corresponding to the percentile attainment of ADI’s TSR as compared to the companies in the S&amp;P 500 Index. The Financial Metric PRSUs have a performance condition and a service condition, and vest, so long as the executive continues to be employed with us, after the applicable three-year performance period, on March 15, 2028. The number of shares of the company’s common stock to be issued upon vesting of the Financial Metric PRSUs on the third anniversary of the grant date will range from 0% to 200% of the target amount, based on the company’s attainment of three-year cumulative non-GAAP operating profit dollar targets set by the Compensation and Talent Committee.</w:t>
      </w:r>
    </w:p>
    <w:p>
      <w:pPr>
        <w:spacing w:after="0" w:line="245" w:lineRule="exact"/>
        <w:rPr>
          <w:rFonts w:ascii="Arial" w:cs="Arial" w:eastAsia="Arial" w:hAnsi="Arial"/>
          <w:sz w:val="21"/>
          <w:szCs w:val="21"/>
          <w:color w:val="auto"/>
          <w:vertAlign w:val="superscript"/>
        </w:rPr>
      </w:pPr>
    </w:p>
    <w:p>
      <w:pPr>
        <w:ind w:left="192" w:right="120" w:hanging="192"/>
        <w:spacing w:after="0" w:line="238" w:lineRule="auto"/>
        <w:tabs>
          <w:tab w:leader="none" w:pos="207" w:val="left"/>
        </w:tabs>
        <w:numPr>
          <w:ilvl w:val="0"/>
          <w:numId w:val="114"/>
        </w:numPr>
        <w:rPr>
          <w:rFonts w:ascii="Arial" w:cs="Arial" w:eastAsia="Arial" w:hAnsi="Arial"/>
          <w:sz w:val="21"/>
          <w:szCs w:val="21"/>
          <w:color w:val="auto"/>
          <w:vertAlign w:val="superscript"/>
        </w:rPr>
      </w:pPr>
      <w:r>
        <w:rPr>
          <w:rFonts w:ascii="Arial" w:cs="Arial" w:eastAsia="Arial" w:hAnsi="Arial"/>
          <w:sz w:val="16"/>
          <w:szCs w:val="16"/>
          <w:color w:val="auto"/>
        </w:rPr>
        <w:t>Represents time-based RSUs granted under our 2020 Plan. The time-based RSUs granted in April 2025 vest, so long as the executive continues to be employed with us, in four equal installments on each of the first, second, third, and fourth anniversaries of March 15, 2025. Dividends are not payable on unvested RSUs.</w:t>
      </w:r>
    </w:p>
    <w:p>
      <w:pPr>
        <w:spacing w:after="0" w:line="57" w:lineRule="exact"/>
        <w:rPr>
          <w:rFonts w:ascii="Arial" w:cs="Arial" w:eastAsia="Arial" w:hAnsi="Arial"/>
          <w:sz w:val="21"/>
          <w:szCs w:val="21"/>
          <w:color w:val="auto"/>
          <w:vertAlign w:val="superscript"/>
        </w:rPr>
      </w:pPr>
    </w:p>
    <w:p>
      <w:pPr>
        <w:ind w:left="192" w:hanging="192"/>
        <w:spacing w:after="0" w:line="248" w:lineRule="auto"/>
        <w:tabs>
          <w:tab w:leader="none" w:pos="207" w:val="left"/>
        </w:tabs>
        <w:numPr>
          <w:ilvl w:val="0"/>
          <w:numId w:val="114"/>
        </w:numPr>
        <w:rPr>
          <w:rFonts w:ascii="Arial" w:cs="Arial" w:eastAsia="Arial" w:hAnsi="Arial"/>
          <w:sz w:val="21"/>
          <w:szCs w:val="21"/>
          <w:color w:val="auto"/>
          <w:vertAlign w:val="superscript"/>
        </w:rPr>
      </w:pPr>
      <w:r>
        <w:rPr>
          <w:rFonts w:ascii="Arial" w:cs="Arial" w:eastAsia="Arial" w:hAnsi="Arial"/>
          <w:sz w:val="16"/>
          <w:szCs w:val="16"/>
          <w:color w:val="auto"/>
        </w:rPr>
        <w:t>These amounts do not represent the actual amounts paid to or realized by the executives for these awards during the fiscal year. These amounts represent the grant date fair values of the RSUs and PRSUs. The grant date fair value of the Relative TSR PRSUs was calculated using the Monte Carlo simulation model which utilizes multiple input variables that determine the probability of satisfying the performance conditions stipulated in the award grant to calculate the fair market value. The Monte Carlo simulation model also uses stock price volatility and other variables to estimate the probability of satisfying the performance conditions, including the possibility that the market condition may not be satisfied, and the resulting fair value of the award. The grant date fair value per share of the Relative TSR PRSU awards granted on April 8, 2025 was $180.52. For the Financial Metric PRSUs granted on April 8, 2025, the risk-free rate was 3.88%, the dividend yield was 2.38%, and the grant date fair value per share was $154.93 for graded three-year vesting. The grant date fair value of Financial Metric PRSUs represents the value at the grant date based upon the probable outcome of the performance conditions at the date of grant. The grant date fair value of the time-based RSUs is the value of our common stock on the date of grant, reduced by the present value of dividends expected to be paid on our common stock prior to vesting. For the grants of RSUs on April 8, 2025, the risk-free rate was 3.88%, the dividend yield was 2.38% and the grant date fair value per share was $156.78.</w:t>
      </w:r>
    </w:p>
    <w:p>
      <w:pPr>
        <w:spacing w:after="0" w:line="200" w:lineRule="exact"/>
        <w:rPr>
          <w:sz w:val="20"/>
          <w:szCs w:val="20"/>
          <w:color w:val="auto"/>
        </w:rPr>
      </w:pPr>
    </w:p>
    <w:p>
      <w:pPr>
        <w:spacing w:after="0" w:line="266" w:lineRule="exact"/>
        <w:rPr>
          <w:sz w:val="20"/>
          <w:szCs w:val="20"/>
          <w:color w:val="auto"/>
        </w:rPr>
      </w:pPr>
    </w:p>
    <w:p>
      <w:pPr>
        <w:ind w:left="632" w:hanging="614"/>
        <w:spacing w:after="0"/>
        <w:tabs>
          <w:tab w:leader="none" w:pos="632" w:val="left"/>
        </w:tabs>
        <w:numPr>
          <w:ilvl w:val="0"/>
          <w:numId w:val="115"/>
        </w:numPr>
        <w:rPr>
          <w:rFonts w:ascii="Arial" w:cs="Arial" w:eastAsia="Arial" w:hAnsi="Arial"/>
          <w:sz w:val="20"/>
          <w:szCs w:val="20"/>
          <w:b w:val="1"/>
          <w:bCs w:val="1"/>
          <w:color w:val="auto"/>
        </w:rPr>
      </w:pPr>
      <w:r>
        <w:rPr>
          <w:rFonts w:ascii="Arial" w:cs="Arial" w:eastAsia="Arial" w:hAnsi="Arial"/>
          <w:sz w:val="16"/>
          <w:szCs w:val="16"/>
          <w:color w:val="6D6E71"/>
        </w:rPr>
        <w:t>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194310</wp:posOffset>
            </wp:positionV>
            <wp:extent cx="7157720" cy="42545"/>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12"/>
          </w:cols>
          <w:pgMar w:left="328" w:top="1178" w:right="359" w:bottom="1440" w:gutter="0" w:footer="0" w:header="0"/>
        </w:sectPr>
      </w:pPr>
    </w:p>
    <w:bookmarkStart w:id="70" w:name="page71"/>
    <w:bookmarkEnd w:id="70"/>
    <w:p>
      <w:pPr>
        <w:spacing w:after="0"/>
        <w:rPr>
          <w:sz w:val="20"/>
          <w:szCs w:val="20"/>
          <w:color w:val="auto"/>
        </w:rPr>
      </w:pPr>
      <w:r>
        <w:rPr>
          <w:rFonts w:ascii="Arial" w:cs="Arial" w:eastAsia="Arial" w:hAnsi="Arial"/>
          <w:sz w:val="32"/>
          <w:szCs w:val="32"/>
          <w:b w:val="1"/>
          <w:bCs w:val="1"/>
          <w:color w:val="auto"/>
        </w:rPr>
        <w:t>Outstanding Equity Awards at Fiscal Year-End 2025</w:t>
      </w:r>
    </w:p>
    <w:p>
      <w:pPr>
        <w:spacing w:after="0" w:line="156" w:lineRule="exact"/>
        <w:rPr>
          <w:sz w:val="20"/>
          <w:szCs w:val="20"/>
          <w:color w:val="auto"/>
        </w:rPr>
      </w:pPr>
    </w:p>
    <w:p>
      <w:pPr>
        <w:ind w:right="300"/>
        <w:spacing w:after="0" w:line="287" w:lineRule="auto"/>
        <w:rPr>
          <w:sz w:val="20"/>
          <w:szCs w:val="20"/>
          <w:color w:val="auto"/>
        </w:rPr>
      </w:pPr>
      <w:r>
        <w:rPr>
          <w:rFonts w:ascii="Arial" w:cs="Arial" w:eastAsia="Arial" w:hAnsi="Arial"/>
          <w:sz w:val="18"/>
          <w:szCs w:val="18"/>
          <w:color w:val="auto"/>
        </w:rPr>
        <w:t>The following table provides information with respect to outstanding stock options and unvested time-based RSUs and PRSUs for each of our NEOs as of November 1, 2025:</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80" w:type="dxa"/>
            <w:vAlign w:val="bottom"/>
            <w:shd w:val="clear" w:color="auto" w:fill="0067B3"/>
          </w:tcPr>
          <w:p>
            <w:pPr>
              <w:spacing w:after="0"/>
              <w:rPr>
                <w:sz w:val="20"/>
                <w:szCs w:val="20"/>
                <w:color w:val="auto"/>
              </w:rPr>
            </w:pPr>
          </w:p>
        </w:tc>
        <w:tc>
          <w:tcPr>
            <w:tcW w:w="880" w:type="dxa"/>
            <w:vAlign w:val="bottom"/>
            <w:shd w:val="clear" w:color="auto" w:fill="0067B3"/>
          </w:tcPr>
          <w:p>
            <w:pPr>
              <w:spacing w:after="0"/>
              <w:rPr>
                <w:sz w:val="20"/>
                <w:szCs w:val="20"/>
                <w:color w:val="auto"/>
              </w:rPr>
            </w:pPr>
          </w:p>
        </w:tc>
        <w:tc>
          <w:tcPr>
            <w:tcW w:w="960" w:type="dxa"/>
            <w:vAlign w:val="bottom"/>
            <w:shd w:val="clear" w:color="auto" w:fill="0067B3"/>
          </w:tcPr>
          <w:p>
            <w:pPr>
              <w:spacing w:after="0"/>
              <w:rPr>
                <w:sz w:val="20"/>
                <w:szCs w:val="20"/>
                <w:color w:val="auto"/>
              </w:rPr>
            </w:pPr>
          </w:p>
        </w:tc>
        <w:tc>
          <w:tcPr>
            <w:tcW w:w="2100" w:type="dxa"/>
            <w:vAlign w:val="bottom"/>
            <w:gridSpan w:val="2"/>
            <w:shd w:val="clear" w:color="auto" w:fill="0067B3"/>
          </w:tcPr>
          <w:p>
            <w:pPr>
              <w:ind w:left="920"/>
              <w:spacing w:after="0"/>
              <w:rPr>
                <w:sz w:val="20"/>
                <w:szCs w:val="20"/>
                <w:color w:val="auto"/>
              </w:rPr>
            </w:pPr>
            <w:r>
              <w:rPr>
                <w:rFonts w:ascii="Arial" w:cs="Arial" w:eastAsia="Arial" w:hAnsi="Arial"/>
                <w:sz w:val="15"/>
                <w:szCs w:val="15"/>
                <w:b w:val="1"/>
                <w:bCs w:val="1"/>
                <w:color w:val="FFFFFF"/>
              </w:rPr>
              <w:t>Option Awards</w:t>
            </w:r>
          </w:p>
        </w:tc>
        <w:tc>
          <w:tcPr>
            <w:tcW w:w="700" w:type="dxa"/>
            <w:vAlign w:val="bottom"/>
            <w:shd w:val="clear" w:color="auto" w:fill="0067B3"/>
          </w:tcPr>
          <w:p>
            <w:pPr>
              <w:spacing w:after="0"/>
              <w:rPr>
                <w:sz w:val="20"/>
                <w:szCs w:val="20"/>
                <w:color w:val="auto"/>
              </w:rPr>
            </w:pPr>
          </w:p>
        </w:tc>
        <w:tc>
          <w:tcPr>
            <w:tcW w:w="1060" w:type="dxa"/>
            <w:vAlign w:val="bottom"/>
            <w:shd w:val="clear" w:color="auto" w:fill="0067B3"/>
          </w:tcPr>
          <w:p>
            <w:pPr>
              <w:spacing w:after="0"/>
              <w:rPr>
                <w:sz w:val="20"/>
                <w:szCs w:val="20"/>
                <w:color w:val="auto"/>
              </w:rPr>
            </w:pPr>
          </w:p>
        </w:tc>
        <w:tc>
          <w:tcPr>
            <w:tcW w:w="1100" w:type="dxa"/>
            <w:vAlign w:val="bottom"/>
            <w:shd w:val="clear" w:color="auto" w:fill="0067B3"/>
          </w:tcPr>
          <w:p>
            <w:pPr>
              <w:spacing w:after="0"/>
              <w:rPr>
                <w:sz w:val="20"/>
                <w:szCs w:val="20"/>
                <w:color w:val="auto"/>
              </w:rPr>
            </w:pPr>
          </w:p>
        </w:tc>
        <w:tc>
          <w:tcPr>
            <w:tcW w:w="2040" w:type="dxa"/>
            <w:vAlign w:val="bottom"/>
            <w:gridSpan w:val="2"/>
            <w:shd w:val="clear" w:color="auto" w:fill="0067B3"/>
          </w:tcPr>
          <w:p>
            <w:pPr>
              <w:jc w:val="right"/>
              <w:ind w:right="161"/>
              <w:spacing w:after="0"/>
              <w:rPr>
                <w:sz w:val="20"/>
                <w:szCs w:val="20"/>
                <w:color w:val="auto"/>
              </w:rPr>
            </w:pPr>
            <w:r>
              <w:rPr>
                <w:rFonts w:ascii="Arial" w:cs="Arial" w:eastAsia="Arial" w:hAnsi="Arial"/>
                <w:sz w:val="15"/>
                <w:szCs w:val="15"/>
                <w:b w:val="1"/>
                <w:bCs w:val="1"/>
                <w:color w:val="FFFFFF"/>
              </w:rPr>
              <w:t>Stock Awards</w:t>
            </w:r>
          </w:p>
        </w:tc>
        <w:tc>
          <w:tcPr>
            <w:tcW w:w="340" w:type="dxa"/>
            <w:vAlign w:val="bottom"/>
            <w:shd w:val="clear" w:color="auto" w:fill="0067B3"/>
          </w:tcPr>
          <w:p>
            <w:pPr>
              <w:spacing w:after="0"/>
              <w:rPr>
                <w:sz w:val="20"/>
                <w:szCs w:val="20"/>
                <w:color w:val="auto"/>
              </w:rPr>
            </w:pPr>
          </w:p>
        </w:tc>
        <w:tc>
          <w:tcPr>
            <w:tcW w:w="1180" w:type="dxa"/>
            <w:vAlign w:val="bottom"/>
            <w:shd w:val="clear" w:color="auto" w:fill="0067B3"/>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880" w:type="dxa"/>
            <w:vAlign w:val="bottom"/>
            <w:shd w:val="clear" w:color="auto" w:fill="0067B3"/>
          </w:tcPr>
          <w:p>
            <w:pPr>
              <w:spacing w:after="0"/>
              <w:rPr>
                <w:sz w:val="19"/>
                <w:szCs w:val="19"/>
                <w:color w:val="auto"/>
              </w:rPr>
            </w:pPr>
          </w:p>
        </w:tc>
        <w:tc>
          <w:tcPr>
            <w:tcW w:w="880" w:type="dxa"/>
            <w:vAlign w:val="bottom"/>
            <w:shd w:val="clear" w:color="auto" w:fill="0067B3"/>
          </w:tcPr>
          <w:p>
            <w:pPr>
              <w:spacing w:after="0"/>
              <w:rPr>
                <w:sz w:val="19"/>
                <w:szCs w:val="19"/>
                <w:color w:val="auto"/>
              </w:rPr>
            </w:pPr>
          </w:p>
        </w:tc>
        <w:tc>
          <w:tcPr>
            <w:tcW w:w="960" w:type="dxa"/>
            <w:vAlign w:val="bottom"/>
            <w:shd w:val="clear" w:color="auto" w:fill="0067B3"/>
          </w:tcPr>
          <w:p>
            <w:pPr>
              <w:spacing w:after="0"/>
              <w:rPr>
                <w:sz w:val="19"/>
                <w:szCs w:val="19"/>
                <w:color w:val="auto"/>
              </w:rPr>
            </w:pPr>
          </w:p>
        </w:tc>
        <w:tc>
          <w:tcPr>
            <w:tcW w:w="1080" w:type="dxa"/>
            <w:vAlign w:val="bottom"/>
            <w:shd w:val="clear" w:color="auto" w:fill="0067B3"/>
          </w:tcPr>
          <w:p>
            <w:pPr>
              <w:spacing w:after="0"/>
              <w:rPr>
                <w:sz w:val="19"/>
                <w:szCs w:val="19"/>
                <w:color w:val="auto"/>
              </w:rPr>
            </w:pPr>
          </w:p>
        </w:tc>
        <w:tc>
          <w:tcPr>
            <w:tcW w:w="1020" w:type="dxa"/>
            <w:vAlign w:val="bottom"/>
            <w:shd w:val="clear" w:color="auto" w:fill="0067B3"/>
          </w:tcPr>
          <w:p>
            <w:pPr>
              <w:jc w:val="right"/>
              <w:spacing w:after="0"/>
              <w:rPr>
                <w:sz w:val="20"/>
                <w:szCs w:val="20"/>
                <w:color w:val="auto"/>
              </w:rPr>
            </w:pPr>
            <w:r>
              <w:rPr>
                <w:rFonts w:ascii="Arial" w:cs="Arial" w:eastAsia="Arial" w:hAnsi="Arial"/>
                <w:sz w:val="15"/>
                <w:szCs w:val="15"/>
                <w:b w:val="1"/>
                <w:bCs w:val="1"/>
                <w:color w:val="FFFFFF"/>
              </w:rPr>
              <w:t>Equity</w:t>
            </w:r>
          </w:p>
        </w:tc>
        <w:tc>
          <w:tcPr>
            <w:tcW w:w="700" w:type="dxa"/>
            <w:vAlign w:val="bottom"/>
            <w:shd w:val="clear" w:color="auto" w:fill="0067B3"/>
          </w:tcPr>
          <w:p>
            <w:pPr>
              <w:spacing w:after="0"/>
              <w:rPr>
                <w:sz w:val="19"/>
                <w:szCs w:val="19"/>
                <w:color w:val="auto"/>
              </w:rPr>
            </w:pPr>
          </w:p>
        </w:tc>
        <w:tc>
          <w:tcPr>
            <w:tcW w:w="1060" w:type="dxa"/>
            <w:vAlign w:val="bottom"/>
            <w:shd w:val="clear" w:color="auto" w:fill="0067B3"/>
          </w:tcPr>
          <w:p>
            <w:pPr>
              <w:spacing w:after="0"/>
              <w:rPr>
                <w:sz w:val="19"/>
                <w:szCs w:val="19"/>
                <w:color w:val="auto"/>
              </w:rPr>
            </w:pPr>
          </w:p>
        </w:tc>
        <w:tc>
          <w:tcPr>
            <w:tcW w:w="1100" w:type="dxa"/>
            <w:vAlign w:val="bottom"/>
            <w:shd w:val="clear" w:color="auto" w:fill="0067B3"/>
          </w:tcPr>
          <w:p>
            <w:pPr>
              <w:spacing w:after="0"/>
              <w:rPr>
                <w:sz w:val="19"/>
                <w:szCs w:val="19"/>
                <w:color w:val="auto"/>
              </w:rPr>
            </w:pPr>
          </w:p>
        </w:tc>
        <w:tc>
          <w:tcPr>
            <w:tcW w:w="1000" w:type="dxa"/>
            <w:vAlign w:val="bottom"/>
            <w:shd w:val="clear" w:color="auto" w:fill="0067B3"/>
          </w:tcPr>
          <w:p>
            <w:pPr>
              <w:spacing w:after="0"/>
              <w:rPr>
                <w:sz w:val="19"/>
                <w:szCs w:val="19"/>
                <w:color w:val="auto"/>
              </w:rPr>
            </w:pPr>
          </w:p>
        </w:tc>
        <w:tc>
          <w:tcPr>
            <w:tcW w:w="1040" w:type="dxa"/>
            <w:vAlign w:val="bottom"/>
            <w:shd w:val="clear" w:color="auto" w:fill="0067B3"/>
          </w:tcPr>
          <w:p>
            <w:pPr>
              <w:jc w:val="right"/>
              <w:spacing w:after="0"/>
              <w:rPr>
                <w:sz w:val="20"/>
                <w:szCs w:val="20"/>
                <w:color w:val="auto"/>
              </w:rPr>
            </w:pPr>
            <w:r>
              <w:rPr>
                <w:rFonts w:ascii="Arial" w:cs="Arial" w:eastAsia="Arial" w:hAnsi="Arial"/>
                <w:sz w:val="15"/>
                <w:szCs w:val="15"/>
                <w:b w:val="1"/>
                <w:bCs w:val="1"/>
                <w:color w:val="FFFFFF"/>
              </w:rPr>
              <w:t>Equity</w:t>
            </w:r>
          </w:p>
        </w:tc>
        <w:tc>
          <w:tcPr>
            <w:tcW w:w="340" w:type="dxa"/>
            <w:vAlign w:val="bottom"/>
            <w:shd w:val="clear" w:color="auto" w:fill="0067B3"/>
          </w:tcPr>
          <w:p>
            <w:pPr>
              <w:spacing w:after="0"/>
              <w:rPr>
                <w:sz w:val="19"/>
                <w:szCs w:val="19"/>
                <w:color w:val="auto"/>
              </w:rPr>
            </w:pPr>
          </w:p>
        </w:tc>
        <w:tc>
          <w:tcPr>
            <w:tcW w:w="1180" w:type="dxa"/>
            <w:vAlign w:val="bottom"/>
            <w:shd w:val="clear" w:color="auto" w:fill="0067B3"/>
          </w:tcPr>
          <w:p>
            <w:pPr>
              <w:jc w:val="right"/>
              <w:spacing w:after="0"/>
              <w:rPr>
                <w:sz w:val="20"/>
                <w:szCs w:val="20"/>
                <w:color w:val="auto"/>
              </w:rPr>
            </w:pPr>
            <w:r>
              <w:rPr>
                <w:rFonts w:ascii="Arial" w:cs="Arial" w:eastAsia="Arial" w:hAnsi="Arial"/>
                <w:sz w:val="15"/>
                <w:szCs w:val="15"/>
                <w:b w:val="1"/>
                <w:bCs w:val="1"/>
                <w:color w:val="FFFFFF"/>
              </w:rPr>
              <w:t>Equity</w:t>
            </w:r>
          </w:p>
        </w:tc>
        <w:tc>
          <w:tcPr>
            <w:tcW w:w="0" w:type="dxa"/>
            <w:vAlign w:val="bottom"/>
          </w:tcPr>
          <w:p>
            <w:pPr>
              <w:spacing w:after="0"/>
              <w:rPr>
                <w:sz w:val="1"/>
                <w:szCs w:val="1"/>
                <w:color w:val="auto"/>
              </w:rPr>
            </w:pPr>
          </w:p>
        </w:tc>
      </w:tr>
      <w:tr>
        <w:trPr>
          <w:trHeight w:val="189"/>
        </w:trPr>
        <w:tc>
          <w:tcPr>
            <w:tcW w:w="880" w:type="dxa"/>
            <w:vAlign w:val="bottom"/>
            <w:shd w:val="clear" w:color="auto" w:fill="0067B3"/>
          </w:tcPr>
          <w:p>
            <w:pPr>
              <w:spacing w:after="0"/>
              <w:rPr>
                <w:sz w:val="16"/>
                <w:szCs w:val="16"/>
                <w:color w:val="auto"/>
              </w:rPr>
            </w:pPr>
          </w:p>
        </w:tc>
        <w:tc>
          <w:tcPr>
            <w:tcW w:w="880" w:type="dxa"/>
            <w:vAlign w:val="bottom"/>
            <w:shd w:val="clear" w:color="auto" w:fill="0067B3"/>
          </w:tcPr>
          <w:p>
            <w:pPr>
              <w:spacing w:after="0"/>
              <w:rPr>
                <w:sz w:val="16"/>
                <w:szCs w:val="16"/>
                <w:color w:val="auto"/>
              </w:rPr>
            </w:pPr>
          </w:p>
        </w:tc>
        <w:tc>
          <w:tcPr>
            <w:tcW w:w="960" w:type="dxa"/>
            <w:vAlign w:val="bottom"/>
            <w:shd w:val="clear" w:color="auto" w:fill="0067B3"/>
          </w:tcPr>
          <w:p>
            <w:pPr>
              <w:spacing w:after="0"/>
              <w:rPr>
                <w:sz w:val="16"/>
                <w:szCs w:val="16"/>
                <w:color w:val="auto"/>
              </w:rPr>
            </w:pPr>
          </w:p>
        </w:tc>
        <w:tc>
          <w:tcPr>
            <w:tcW w:w="1080" w:type="dxa"/>
            <w:vAlign w:val="bottom"/>
            <w:shd w:val="clear" w:color="auto" w:fill="0067B3"/>
          </w:tcPr>
          <w:p>
            <w:pPr>
              <w:spacing w:after="0"/>
              <w:rPr>
                <w:sz w:val="16"/>
                <w:szCs w:val="16"/>
                <w:color w:val="auto"/>
              </w:rPr>
            </w:pPr>
          </w:p>
        </w:tc>
        <w:tc>
          <w:tcPr>
            <w:tcW w:w="1020" w:type="dxa"/>
            <w:vAlign w:val="bottom"/>
            <w:shd w:val="clear" w:color="auto" w:fill="0067B3"/>
          </w:tcPr>
          <w:p>
            <w:pPr>
              <w:jc w:val="right"/>
              <w:spacing w:after="0"/>
              <w:rPr>
                <w:sz w:val="20"/>
                <w:szCs w:val="20"/>
                <w:color w:val="auto"/>
              </w:rPr>
            </w:pPr>
            <w:r>
              <w:rPr>
                <w:rFonts w:ascii="Arial" w:cs="Arial" w:eastAsia="Arial" w:hAnsi="Arial"/>
                <w:sz w:val="15"/>
                <w:szCs w:val="15"/>
                <w:b w:val="1"/>
                <w:bCs w:val="1"/>
                <w:color w:val="FFFFFF"/>
              </w:rPr>
              <w:t>Incentive</w:t>
            </w:r>
          </w:p>
        </w:tc>
        <w:tc>
          <w:tcPr>
            <w:tcW w:w="700" w:type="dxa"/>
            <w:vAlign w:val="bottom"/>
            <w:shd w:val="clear" w:color="auto" w:fill="0067B3"/>
          </w:tcPr>
          <w:p>
            <w:pPr>
              <w:spacing w:after="0"/>
              <w:rPr>
                <w:sz w:val="16"/>
                <w:szCs w:val="16"/>
                <w:color w:val="auto"/>
              </w:rPr>
            </w:pPr>
          </w:p>
        </w:tc>
        <w:tc>
          <w:tcPr>
            <w:tcW w:w="1060" w:type="dxa"/>
            <w:vAlign w:val="bottom"/>
            <w:shd w:val="clear" w:color="auto" w:fill="0067B3"/>
          </w:tcPr>
          <w:p>
            <w:pPr>
              <w:spacing w:after="0"/>
              <w:rPr>
                <w:sz w:val="16"/>
                <w:szCs w:val="16"/>
                <w:color w:val="auto"/>
              </w:rPr>
            </w:pPr>
          </w:p>
        </w:tc>
        <w:tc>
          <w:tcPr>
            <w:tcW w:w="1100" w:type="dxa"/>
            <w:vAlign w:val="bottom"/>
            <w:shd w:val="clear" w:color="auto" w:fill="0067B3"/>
          </w:tcPr>
          <w:p>
            <w:pPr>
              <w:spacing w:after="0"/>
              <w:rPr>
                <w:sz w:val="16"/>
                <w:szCs w:val="16"/>
                <w:color w:val="auto"/>
              </w:rPr>
            </w:pPr>
          </w:p>
        </w:tc>
        <w:tc>
          <w:tcPr>
            <w:tcW w:w="1000" w:type="dxa"/>
            <w:vAlign w:val="bottom"/>
            <w:shd w:val="clear" w:color="auto" w:fill="0067B3"/>
          </w:tcPr>
          <w:p>
            <w:pPr>
              <w:spacing w:after="0"/>
              <w:rPr>
                <w:sz w:val="16"/>
                <w:szCs w:val="16"/>
                <w:color w:val="auto"/>
              </w:rPr>
            </w:pPr>
          </w:p>
        </w:tc>
        <w:tc>
          <w:tcPr>
            <w:tcW w:w="1040" w:type="dxa"/>
            <w:vAlign w:val="bottom"/>
            <w:shd w:val="clear" w:color="auto" w:fill="0067B3"/>
          </w:tcPr>
          <w:p>
            <w:pPr>
              <w:jc w:val="right"/>
              <w:spacing w:after="0"/>
              <w:rPr>
                <w:sz w:val="20"/>
                <w:szCs w:val="20"/>
                <w:color w:val="auto"/>
              </w:rPr>
            </w:pPr>
            <w:r>
              <w:rPr>
                <w:rFonts w:ascii="Arial" w:cs="Arial" w:eastAsia="Arial" w:hAnsi="Arial"/>
                <w:sz w:val="15"/>
                <w:szCs w:val="15"/>
                <w:b w:val="1"/>
                <w:bCs w:val="1"/>
                <w:color w:val="FFFFFF"/>
              </w:rPr>
              <w:t>Incentive</w:t>
            </w:r>
          </w:p>
        </w:tc>
        <w:tc>
          <w:tcPr>
            <w:tcW w:w="340" w:type="dxa"/>
            <w:vAlign w:val="bottom"/>
            <w:shd w:val="clear" w:color="auto" w:fill="0067B3"/>
          </w:tcPr>
          <w:p>
            <w:pPr>
              <w:spacing w:after="0"/>
              <w:rPr>
                <w:sz w:val="16"/>
                <w:szCs w:val="16"/>
                <w:color w:val="auto"/>
              </w:rPr>
            </w:pPr>
          </w:p>
        </w:tc>
        <w:tc>
          <w:tcPr>
            <w:tcW w:w="1180" w:type="dxa"/>
            <w:vAlign w:val="bottom"/>
            <w:shd w:val="clear" w:color="auto" w:fill="0067B3"/>
          </w:tcPr>
          <w:p>
            <w:pPr>
              <w:jc w:val="right"/>
              <w:spacing w:after="0"/>
              <w:rPr>
                <w:sz w:val="20"/>
                <w:szCs w:val="20"/>
                <w:color w:val="auto"/>
              </w:rPr>
            </w:pPr>
            <w:r>
              <w:rPr>
                <w:rFonts w:ascii="Arial" w:cs="Arial" w:eastAsia="Arial" w:hAnsi="Arial"/>
                <w:sz w:val="15"/>
                <w:szCs w:val="15"/>
                <w:b w:val="1"/>
                <w:bCs w:val="1"/>
                <w:color w:val="FFFFFF"/>
              </w:rPr>
              <w:t>Incentive</w:t>
            </w:r>
          </w:p>
        </w:tc>
        <w:tc>
          <w:tcPr>
            <w:tcW w:w="0" w:type="dxa"/>
            <w:vAlign w:val="bottom"/>
          </w:tcPr>
          <w:p>
            <w:pPr>
              <w:spacing w:after="0"/>
              <w:rPr>
                <w:sz w:val="1"/>
                <w:szCs w:val="1"/>
                <w:color w:val="auto"/>
              </w:rPr>
            </w:pPr>
          </w:p>
        </w:tc>
      </w:tr>
      <w:tr>
        <w:trPr>
          <w:trHeight w:val="176"/>
        </w:trPr>
        <w:tc>
          <w:tcPr>
            <w:tcW w:w="880" w:type="dxa"/>
            <w:vAlign w:val="bottom"/>
            <w:shd w:val="clear" w:color="auto" w:fill="0067B3"/>
          </w:tcPr>
          <w:p>
            <w:pPr>
              <w:spacing w:after="0"/>
              <w:rPr>
                <w:sz w:val="15"/>
                <w:szCs w:val="15"/>
                <w:color w:val="auto"/>
              </w:rPr>
            </w:pPr>
          </w:p>
        </w:tc>
        <w:tc>
          <w:tcPr>
            <w:tcW w:w="880" w:type="dxa"/>
            <w:vAlign w:val="bottom"/>
            <w:shd w:val="clear" w:color="auto" w:fill="0067B3"/>
          </w:tcPr>
          <w:p>
            <w:pPr>
              <w:spacing w:after="0"/>
              <w:rPr>
                <w:sz w:val="15"/>
                <w:szCs w:val="15"/>
                <w:color w:val="auto"/>
              </w:rPr>
            </w:pPr>
          </w:p>
        </w:tc>
        <w:tc>
          <w:tcPr>
            <w:tcW w:w="960" w:type="dxa"/>
            <w:vAlign w:val="bottom"/>
            <w:shd w:val="clear" w:color="auto" w:fill="0067B3"/>
          </w:tcPr>
          <w:p>
            <w:pPr>
              <w:spacing w:after="0"/>
              <w:rPr>
                <w:sz w:val="15"/>
                <w:szCs w:val="15"/>
                <w:color w:val="auto"/>
              </w:rPr>
            </w:pPr>
          </w:p>
        </w:tc>
        <w:tc>
          <w:tcPr>
            <w:tcW w:w="1080" w:type="dxa"/>
            <w:vAlign w:val="bottom"/>
            <w:shd w:val="clear" w:color="auto" w:fill="0067B3"/>
          </w:tcPr>
          <w:p>
            <w:pPr>
              <w:spacing w:after="0"/>
              <w:rPr>
                <w:sz w:val="15"/>
                <w:szCs w:val="15"/>
                <w:color w:val="auto"/>
              </w:rPr>
            </w:pPr>
          </w:p>
        </w:tc>
        <w:tc>
          <w:tcPr>
            <w:tcW w:w="1020" w:type="dxa"/>
            <w:vAlign w:val="bottom"/>
            <w:shd w:val="clear" w:color="auto" w:fill="0067B3"/>
          </w:tcPr>
          <w:p>
            <w:pPr>
              <w:jc w:val="right"/>
              <w:spacing w:after="0"/>
              <w:rPr>
                <w:sz w:val="20"/>
                <w:szCs w:val="20"/>
                <w:color w:val="auto"/>
              </w:rPr>
            </w:pPr>
            <w:r>
              <w:rPr>
                <w:rFonts w:ascii="Arial" w:cs="Arial" w:eastAsia="Arial" w:hAnsi="Arial"/>
                <w:sz w:val="15"/>
                <w:szCs w:val="15"/>
                <w:b w:val="1"/>
                <w:bCs w:val="1"/>
                <w:color w:val="FFFFFF"/>
              </w:rPr>
              <w:t>Plan Awards:</w:t>
            </w:r>
          </w:p>
        </w:tc>
        <w:tc>
          <w:tcPr>
            <w:tcW w:w="700" w:type="dxa"/>
            <w:vAlign w:val="bottom"/>
            <w:shd w:val="clear" w:color="auto" w:fill="0067B3"/>
          </w:tcPr>
          <w:p>
            <w:pPr>
              <w:spacing w:after="0"/>
              <w:rPr>
                <w:sz w:val="15"/>
                <w:szCs w:val="15"/>
                <w:color w:val="auto"/>
              </w:rPr>
            </w:pPr>
          </w:p>
        </w:tc>
        <w:tc>
          <w:tcPr>
            <w:tcW w:w="1060" w:type="dxa"/>
            <w:vAlign w:val="bottom"/>
            <w:shd w:val="clear" w:color="auto" w:fill="0067B3"/>
          </w:tcPr>
          <w:p>
            <w:pPr>
              <w:spacing w:after="0"/>
              <w:rPr>
                <w:sz w:val="15"/>
                <w:szCs w:val="15"/>
                <w:color w:val="auto"/>
              </w:rPr>
            </w:pPr>
          </w:p>
        </w:tc>
        <w:tc>
          <w:tcPr>
            <w:tcW w:w="1100" w:type="dxa"/>
            <w:vAlign w:val="bottom"/>
            <w:shd w:val="clear" w:color="auto" w:fill="0067B3"/>
          </w:tcPr>
          <w:p>
            <w:pPr>
              <w:spacing w:after="0"/>
              <w:rPr>
                <w:sz w:val="15"/>
                <w:szCs w:val="15"/>
                <w:color w:val="auto"/>
              </w:rPr>
            </w:pPr>
          </w:p>
        </w:tc>
        <w:tc>
          <w:tcPr>
            <w:tcW w:w="1000" w:type="dxa"/>
            <w:vAlign w:val="bottom"/>
            <w:shd w:val="clear" w:color="auto" w:fill="0067B3"/>
          </w:tcPr>
          <w:p>
            <w:pPr>
              <w:spacing w:after="0"/>
              <w:rPr>
                <w:sz w:val="15"/>
                <w:szCs w:val="15"/>
                <w:color w:val="auto"/>
              </w:rPr>
            </w:pPr>
          </w:p>
        </w:tc>
        <w:tc>
          <w:tcPr>
            <w:tcW w:w="1040" w:type="dxa"/>
            <w:vAlign w:val="bottom"/>
            <w:shd w:val="clear" w:color="auto" w:fill="0067B3"/>
          </w:tcPr>
          <w:p>
            <w:pPr>
              <w:jc w:val="right"/>
              <w:spacing w:after="0"/>
              <w:rPr>
                <w:sz w:val="20"/>
                <w:szCs w:val="20"/>
                <w:color w:val="auto"/>
              </w:rPr>
            </w:pPr>
            <w:r>
              <w:rPr>
                <w:rFonts w:ascii="Arial" w:cs="Arial" w:eastAsia="Arial" w:hAnsi="Arial"/>
                <w:sz w:val="15"/>
                <w:szCs w:val="15"/>
                <w:b w:val="1"/>
                <w:bCs w:val="1"/>
                <w:color w:val="FFFFFF"/>
              </w:rPr>
              <w:t>Plan Awards:</w:t>
            </w:r>
          </w:p>
        </w:tc>
        <w:tc>
          <w:tcPr>
            <w:tcW w:w="340" w:type="dxa"/>
            <w:vAlign w:val="bottom"/>
            <w:shd w:val="clear" w:color="auto" w:fill="0067B3"/>
          </w:tcPr>
          <w:p>
            <w:pPr>
              <w:spacing w:after="0"/>
              <w:rPr>
                <w:sz w:val="15"/>
                <w:szCs w:val="15"/>
                <w:color w:val="auto"/>
              </w:rPr>
            </w:pPr>
          </w:p>
        </w:tc>
        <w:tc>
          <w:tcPr>
            <w:tcW w:w="1180" w:type="dxa"/>
            <w:vAlign w:val="bottom"/>
            <w:shd w:val="clear" w:color="auto" w:fill="0067B3"/>
          </w:tcPr>
          <w:p>
            <w:pPr>
              <w:jc w:val="right"/>
              <w:spacing w:after="0"/>
              <w:rPr>
                <w:sz w:val="20"/>
                <w:szCs w:val="20"/>
                <w:color w:val="auto"/>
              </w:rPr>
            </w:pPr>
            <w:r>
              <w:rPr>
                <w:rFonts w:ascii="Arial" w:cs="Arial" w:eastAsia="Arial" w:hAnsi="Arial"/>
                <w:sz w:val="15"/>
                <w:szCs w:val="15"/>
                <w:b w:val="1"/>
                <w:bCs w:val="1"/>
                <w:color w:val="FFFFFF"/>
              </w:rPr>
              <w:t>Plan Awards:</w:t>
            </w:r>
          </w:p>
        </w:tc>
        <w:tc>
          <w:tcPr>
            <w:tcW w:w="0" w:type="dxa"/>
            <w:vAlign w:val="bottom"/>
          </w:tcPr>
          <w:p>
            <w:pPr>
              <w:spacing w:after="0"/>
              <w:rPr>
                <w:sz w:val="1"/>
                <w:szCs w:val="1"/>
                <w:color w:val="auto"/>
              </w:rPr>
            </w:pPr>
          </w:p>
        </w:tc>
      </w:tr>
      <w:tr>
        <w:trPr>
          <w:trHeight w:val="175"/>
        </w:trPr>
        <w:tc>
          <w:tcPr>
            <w:tcW w:w="880" w:type="dxa"/>
            <w:vAlign w:val="bottom"/>
            <w:shd w:val="clear" w:color="auto" w:fill="0067B3"/>
          </w:tcPr>
          <w:p>
            <w:pPr>
              <w:spacing w:after="0"/>
              <w:rPr>
                <w:sz w:val="15"/>
                <w:szCs w:val="15"/>
                <w:color w:val="auto"/>
              </w:rPr>
            </w:pPr>
          </w:p>
        </w:tc>
        <w:tc>
          <w:tcPr>
            <w:tcW w:w="880" w:type="dxa"/>
            <w:vAlign w:val="bottom"/>
            <w:shd w:val="clear" w:color="auto" w:fill="0067B3"/>
          </w:tcPr>
          <w:p>
            <w:pPr>
              <w:spacing w:after="0"/>
              <w:rPr>
                <w:sz w:val="15"/>
                <w:szCs w:val="15"/>
                <w:color w:val="auto"/>
              </w:rPr>
            </w:pPr>
          </w:p>
        </w:tc>
        <w:tc>
          <w:tcPr>
            <w:tcW w:w="960" w:type="dxa"/>
            <w:vAlign w:val="bottom"/>
            <w:shd w:val="clear" w:color="auto" w:fill="0067B3"/>
          </w:tcPr>
          <w:p>
            <w:pPr>
              <w:spacing w:after="0"/>
              <w:rPr>
                <w:sz w:val="15"/>
                <w:szCs w:val="15"/>
                <w:color w:val="auto"/>
              </w:rPr>
            </w:pPr>
          </w:p>
        </w:tc>
        <w:tc>
          <w:tcPr>
            <w:tcW w:w="1080" w:type="dxa"/>
            <w:vAlign w:val="bottom"/>
            <w:shd w:val="clear" w:color="auto" w:fill="0067B3"/>
          </w:tcPr>
          <w:p>
            <w:pPr>
              <w:spacing w:after="0"/>
              <w:rPr>
                <w:sz w:val="15"/>
                <w:szCs w:val="15"/>
                <w:color w:val="auto"/>
              </w:rPr>
            </w:pPr>
          </w:p>
        </w:tc>
        <w:tc>
          <w:tcPr>
            <w:tcW w:w="1020" w:type="dxa"/>
            <w:vAlign w:val="bottom"/>
            <w:shd w:val="clear" w:color="auto" w:fill="0067B3"/>
          </w:tcPr>
          <w:p>
            <w:pPr>
              <w:jc w:val="right"/>
              <w:spacing w:after="0"/>
              <w:rPr>
                <w:sz w:val="20"/>
                <w:szCs w:val="20"/>
                <w:color w:val="auto"/>
              </w:rPr>
            </w:pPr>
            <w:r>
              <w:rPr>
                <w:rFonts w:ascii="Arial" w:cs="Arial" w:eastAsia="Arial" w:hAnsi="Arial"/>
                <w:sz w:val="15"/>
                <w:szCs w:val="15"/>
                <w:b w:val="1"/>
                <w:bCs w:val="1"/>
                <w:color w:val="FFFFFF"/>
              </w:rPr>
              <w:t>Number of</w:t>
            </w:r>
          </w:p>
        </w:tc>
        <w:tc>
          <w:tcPr>
            <w:tcW w:w="700" w:type="dxa"/>
            <w:vAlign w:val="bottom"/>
            <w:shd w:val="clear" w:color="auto" w:fill="0067B3"/>
          </w:tcPr>
          <w:p>
            <w:pPr>
              <w:spacing w:after="0"/>
              <w:rPr>
                <w:sz w:val="15"/>
                <w:szCs w:val="15"/>
                <w:color w:val="auto"/>
              </w:rPr>
            </w:pPr>
          </w:p>
        </w:tc>
        <w:tc>
          <w:tcPr>
            <w:tcW w:w="1060" w:type="dxa"/>
            <w:vAlign w:val="bottom"/>
            <w:shd w:val="clear" w:color="auto" w:fill="0067B3"/>
          </w:tcPr>
          <w:p>
            <w:pPr>
              <w:spacing w:after="0"/>
              <w:rPr>
                <w:sz w:val="15"/>
                <w:szCs w:val="15"/>
                <w:color w:val="auto"/>
              </w:rPr>
            </w:pPr>
          </w:p>
        </w:tc>
        <w:tc>
          <w:tcPr>
            <w:tcW w:w="1100" w:type="dxa"/>
            <w:vAlign w:val="bottom"/>
            <w:shd w:val="clear" w:color="auto" w:fill="0067B3"/>
          </w:tcPr>
          <w:p>
            <w:pPr>
              <w:jc w:val="right"/>
              <w:spacing w:after="0"/>
              <w:rPr>
                <w:sz w:val="20"/>
                <w:szCs w:val="20"/>
                <w:color w:val="auto"/>
              </w:rPr>
            </w:pPr>
            <w:r>
              <w:rPr>
                <w:rFonts w:ascii="Arial" w:cs="Arial" w:eastAsia="Arial" w:hAnsi="Arial"/>
                <w:sz w:val="15"/>
                <w:szCs w:val="15"/>
                <w:b w:val="1"/>
                <w:bCs w:val="1"/>
                <w:color w:val="FFFFFF"/>
              </w:rPr>
              <w:t>Number</w:t>
            </w:r>
          </w:p>
        </w:tc>
        <w:tc>
          <w:tcPr>
            <w:tcW w:w="1000" w:type="dxa"/>
            <w:vAlign w:val="bottom"/>
            <w:shd w:val="clear" w:color="auto" w:fill="0067B3"/>
          </w:tcPr>
          <w:p>
            <w:pPr>
              <w:spacing w:after="0"/>
              <w:rPr>
                <w:sz w:val="15"/>
                <w:szCs w:val="15"/>
                <w:color w:val="auto"/>
              </w:rPr>
            </w:pPr>
          </w:p>
        </w:tc>
        <w:tc>
          <w:tcPr>
            <w:tcW w:w="1040" w:type="dxa"/>
            <w:vAlign w:val="bottom"/>
            <w:shd w:val="clear" w:color="auto" w:fill="0067B3"/>
          </w:tcPr>
          <w:p>
            <w:pPr>
              <w:jc w:val="right"/>
              <w:spacing w:after="0"/>
              <w:rPr>
                <w:sz w:val="20"/>
                <w:szCs w:val="20"/>
                <w:color w:val="auto"/>
              </w:rPr>
            </w:pPr>
            <w:r>
              <w:rPr>
                <w:rFonts w:ascii="Arial" w:cs="Arial" w:eastAsia="Arial" w:hAnsi="Arial"/>
                <w:sz w:val="15"/>
                <w:szCs w:val="15"/>
                <w:b w:val="1"/>
                <w:bCs w:val="1"/>
                <w:color w:val="FFFFFF"/>
              </w:rPr>
              <w:t>Number of</w:t>
            </w:r>
          </w:p>
        </w:tc>
        <w:tc>
          <w:tcPr>
            <w:tcW w:w="340" w:type="dxa"/>
            <w:vAlign w:val="bottom"/>
            <w:shd w:val="clear" w:color="auto" w:fill="0067B3"/>
          </w:tcPr>
          <w:p>
            <w:pPr>
              <w:spacing w:after="0"/>
              <w:rPr>
                <w:sz w:val="15"/>
                <w:szCs w:val="15"/>
                <w:color w:val="auto"/>
              </w:rPr>
            </w:pPr>
          </w:p>
        </w:tc>
        <w:tc>
          <w:tcPr>
            <w:tcW w:w="1180" w:type="dxa"/>
            <w:vAlign w:val="bottom"/>
            <w:shd w:val="clear" w:color="auto" w:fill="0067B3"/>
          </w:tcPr>
          <w:p>
            <w:pPr>
              <w:jc w:val="right"/>
              <w:spacing w:after="0"/>
              <w:rPr>
                <w:sz w:val="20"/>
                <w:szCs w:val="20"/>
                <w:color w:val="auto"/>
              </w:rPr>
            </w:pPr>
            <w:r>
              <w:rPr>
                <w:rFonts w:ascii="Arial" w:cs="Arial" w:eastAsia="Arial" w:hAnsi="Arial"/>
                <w:sz w:val="15"/>
                <w:szCs w:val="15"/>
                <w:b w:val="1"/>
                <w:bCs w:val="1"/>
                <w:color w:val="FFFFFF"/>
              </w:rPr>
              <w:t>Market or</w:t>
            </w:r>
          </w:p>
        </w:tc>
        <w:tc>
          <w:tcPr>
            <w:tcW w:w="0" w:type="dxa"/>
            <w:vAlign w:val="bottom"/>
          </w:tcPr>
          <w:p>
            <w:pPr>
              <w:spacing w:after="0"/>
              <w:rPr>
                <w:sz w:val="1"/>
                <w:szCs w:val="1"/>
                <w:color w:val="auto"/>
              </w:rPr>
            </w:pPr>
          </w:p>
        </w:tc>
      </w:tr>
      <w:tr>
        <w:trPr>
          <w:trHeight w:val="189"/>
        </w:trPr>
        <w:tc>
          <w:tcPr>
            <w:tcW w:w="880" w:type="dxa"/>
            <w:vAlign w:val="bottom"/>
            <w:shd w:val="clear" w:color="auto" w:fill="0067B3"/>
          </w:tcPr>
          <w:p>
            <w:pPr>
              <w:spacing w:after="0"/>
              <w:rPr>
                <w:sz w:val="16"/>
                <w:szCs w:val="16"/>
                <w:color w:val="auto"/>
              </w:rPr>
            </w:pPr>
          </w:p>
        </w:tc>
        <w:tc>
          <w:tcPr>
            <w:tcW w:w="880" w:type="dxa"/>
            <w:vAlign w:val="bottom"/>
            <w:shd w:val="clear" w:color="auto" w:fill="0067B3"/>
          </w:tcPr>
          <w:p>
            <w:pPr>
              <w:spacing w:after="0"/>
              <w:rPr>
                <w:sz w:val="16"/>
                <w:szCs w:val="16"/>
                <w:color w:val="auto"/>
              </w:rPr>
            </w:pPr>
          </w:p>
        </w:tc>
        <w:tc>
          <w:tcPr>
            <w:tcW w:w="960" w:type="dxa"/>
            <w:vAlign w:val="bottom"/>
            <w:shd w:val="clear" w:color="auto" w:fill="0067B3"/>
          </w:tcPr>
          <w:p>
            <w:pPr>
              <w:jc w:val="right"/>
              <w:spacing w:after="0"/>
              <w:rPr>
                <w:sz w:val="20"/>
                <w:szCs w:val="20"/>
                <w:color w:val="auto"/>
              </w:rPr>
            </w:pPr>
            <w:r>
              <w:rPr>
                <w:rFonts w:ascii="Arial" w:cs="Arial" w:eastAsia="Arial" w:hAnsi="Arial"/>
                <w:sz w:val="15"/>
                <w:szCs w:val="15"/>
                <w:b w:val="1"/>
                <w:bCs w:val="1"/>
                <w:color w:val="FFFFFF"/>
              </w:rPr>
              <w:t>Number of</w:t>
            </w:r>
          </w:p>
        </w:tc>
        <w:tc>
          <w:tcPr>
            <w:tcW w:w="1080" w:type="dxa"/>
            <w:vAlign w:val="bottom"/>
            <w:shd w:val="clear" w:color="auto" w:fill="0067B3"/>
          </w:tcPr>
          <w:p>
            <w:pPr>
              <w:jc w:val="right"/>
              <w:spacing w:after="0"/>
              <w:rPr>
                <w:sz w:val="20"/>
                <w:szCs w:val="20"/>
                <w:color w:val="auto"/>
              </w:rPr>
            </w:pPr>
            <w:r>
              <w:rPr>
                <w:rFonts w:ascii="Arial" w:cs="Arial" w:eastAsia="Arial" w:hAnsi="Arial"/>
                <w:sz w:val="15"/>
                <w:szCs w:val="15"/>
                <w:b w:val="1"/>
                <w:bCs w:val="1"/>
                <w:color w:val="FFFFFF"/>
              </w:rPr>
              <w:t>Number of</w:t>
            </w:r>
          </w:p>
        </w:tc>
        <w:tc>
          <w:tcPr>
            <w:tcW w:w="1020" w:type="dxa"/>
            <w:vAlign w:val="bottom"/>
            <w:shd w:val="clear" w:color="auto" w:fill="0067B3"/>
          </w:tcPr>
          <w:p>
            <w:pPr>
              <w:jc w:val="right"/>
              <w:spacing w:after="0"/>
              <w:rPr>
                <w:sz w:val="20"/>
                <w:szCs w:val="20"/>
                <w:color w:val="auto"/>
              </w:rPr>
            </w:pPr>
            <w:r>
              <w:rPr>
                <w:rFonts w:ascii="Arial" w:cs="Arial" w:eastAsia="Arial" w:hAnsi="Arial"/>
                <w:sz w:val="15"/>
                <w:szCs w:val="15"/>
                <w:b w:val="1"/>
                <w:bCs w:val="1"/>
                <w:color w:val="FFFFFF"/>
              </w:rPr>
              <w:t>Securities</w:t>
            </w:r>
          </w:p>
        </w:tc>
        <w:tc>
          <w:tcPr>
            <w:tcW w:w="700" w:type="dxa"/>
            <w:vAlign w:val="bottom"/>
            <w:shd w:val="clear" w:color="auto" w:fill="0067B3"/>
          </w:tcPr>
          <w:p>
            <w:pPr>
              <w:spacing w:after="0"/>
              <w:rPr>
                <w:sz w:val="16"/>
                <w:szCs w:val="16"/>
                <w:color w:val="auto"/>
              </w:rPr>
            </w:pPr>
          </w:p>
        </w:tc>
        <w:tc>
          <w:tcPr>
            <w:tcW w:w="1060" w:type="dxa"/>
            <w:vAlign w:val="bottom"/>
            <w:shd w:val="clear" w:color="auto" w:fill="0067B3"/>
          </w:tcPr>
          <w:p>
            <w:pPr>
              <w:spacing w:after="0"/>
              <w:rPr>
                <w:sz w:val="16"/>
                <w:szCs w:val="16"/>
                <w:color w:val="auto"/>
              </w:rPr>
            </w:pPr>
          </w:p>
        </w:tc>
        <w:tc>
          <w:tcPr>
            <w:tcW w:w="2100" w:type="dxa"/>
            <w:vAlign w:val="bottom"/>
            <w:gridSpan w:val="2"/>
            <w:shd w:val="clear" w:color="auto" w:fill="0067B3"/>
          </w:tcPr>
          <w:p>
            <w:pPr>
              <w:jc w:val="right"/>
              <w:spacing w:after="0"/>
              <w:rPr>
                <w:sz w:val="20"/>
                <w:szCs w:val="20"/>
                <w:color w:val="auto"/>
              </w:rPr>
            </w:pPr>
            <w:r>
              <w:rPr>
                <w:rFonts w:ascii="Arial" w:cs="Arial" w:eastAsia="Arial" w:hAnsi="Arial"/>
                <w:sz w:val="15"/>
                <w:szCs w:val="15"/>
                <w:b w:val="1"/>
                <w:bCs w:val="1"/>
                <w:color w:val="FFFFFF"/>
              </w:rPr>
              <w:t>of Shares Market Value</w:t>
            </w:r>
          </w:p>
        </w:tc>
        <w:tc>
          <w:tcPr>
            <w:tcW w:w="1040" w:type="dxa"/>
            <w:vAlign w:val="bottom"/>
            <w:shd w:val="clear" w:color="auto" w:fill="0067B3"/>
          </w:tcPr>
          <w:p>
            <w:pPr>
              <w:jc w:val="right"/>
              <w:spacing w:after="0"/>
              <w:rPr>
                <w:sz w:val="20"/>
                <w:szCs w:val="20"/>
                <w:color w:val="auto"/>
              </w:rPr>
            </w:pPr>
            <w:r>
              <w:rPr>
                <w:rFonts w:ascii="Arial" w:cs="Arial" w:eastAsia="Arial" w:hAnsi="Arial"/>
                <w:sz w:val="15"/>
                <w:szCs w:val="15"/>
                <w:b w:val="1"/>
                <w:bCs w:val="1"/>
                <w:color w:val="FFFFFF"/>
              </w:rPr>
              <w:t>Unearned</w:t>
            </w:r>
          </w:p>
        </w:tc>
        <w:tc>
          <w:tcPr>
            <w:tcW w:w="340" w:type="dxa"/>
            <w:vAlign w:val="bottom"/>
            <w:shd w:val="clear" w:color="auto" w:fill="0067B3"/>
          </w:tcPr>
          <w:p>
            <w:pPr>
              <w:spacing w:after="0"/>
              <w:rPr>
                <w:sz w:val="16"/>
                <w:szCs w:val="16"/>
                <w:color w:val="auto"/>
              </w:rPr>
            </w:pPr>
          </w:p>
        </w:tc>
        <w:tc>
          <w:tcPr>
            <w:tcW w:w="1180" w:type="dxa"/>
            <w:vAlign w:val="bottom"/>
            <w:shd w:val="clear" w:color="auto" w:fill="0067B3"/>
          </w:tcPr>
          <w:p>
            <w:pPr>
              <w:jc w:val="right"/>
              <w:spacing w:after="0"/>
              <w:rPr>
                <w:sz w:val="20"/>
                <w:szCs w:val="20"/>
                <w:color w:val="auto"/>
              </w:rPr>
            </w:pPr>
            <w:r>
              <w:rPr>
                <w:rFonts w:ascii="Arial" w:cs="Arial" w:eastAsia="Arial" w:hAnsi="Arial"/>
                <w:sz w:val="15"/>
                <w:szCs w:val="15"/>
                <w:b w:val="1"/>
                <w:bCs w:val="1"/>
                <w:color w:val="FFFFFF"/>
              </w:rPr>
              <w:t>Payout Value</w:t>
            </w:r>
          </w:p>
        </w:tc>
        <w:tc>
          <w:tcPr>
            <w:tcW w:w="0" w:type="dxa"/>
            <w:vAlign w:val="bottom"/>
          </w:tcPr>
          <w:p>
            <w:pPr>
              <w:spacing w:after="0"/>
              <w:rPr>
                <w:sz w:val="1"/>
                <w:szCs w:val="1"/>
                <w:color w:val="auto"/>
              </w:rPr>
            </w:pPr>
          </w:p>
        </w:tc>
      </w:tr>
      <w:tr>
        <w:trPr>
          <w:trHeight w:val="189"/>
        </w:trPr>
        <w:tc>
          <w:tcPr>
            <w:tcW w:w="880" w:type="dxa"/>
            <w:vAlign w:val="bottom"/>
            <w:shd w:val="clear" w:color="auto" w:fill="0067B3"/>
          </w:tcPr>
          <w:p>
            <w:pPr>
              <w:spacing w:after="0"/>
              <w:rPr>
                <w:sz w:val="16"/>
                <w:szCs w:val="16"/>
                <w:color w:val="auto"/>
              </w:rPr>
            </w:pPr>
          </w:p>
        </w:tc>
        <w:tc>
          <w:tcPr>
            <w:tcW w:w="880" w:type="dxa"/>
            <w:vAlign w:val="bottom"/>
            <w:shd w:val="clear" w:color="auto" w:fill="0067B3"/>
          </w:tcPr>
          <w:p>
            <w:pPr>
              <w:spacing w:after="0"/>
              <w:rPr>
                <w:sz w:val="16"/>
                <w:szCs w:val="16"/>
                <w:color w:val="auto"/>
              </w:rPr>
            </w:pPr>
          </w:p>
        </w:tc>
        <w:tc>
          <w:tcPr>
            <w:tcW w:w="960" w:type="dxa"/>
            <w:vAlign w:val="bottom"/>
            <w:shd w:val="clear" w:color="auto" w:fill="0067B3"/>
          </w:tcPr>
          <w:p>
            <w:pPr>
              <w:jc w:val="right"/>
              <w:spacing w:after="0"/>
              <w:rPr>
                <w:sz w:val="20"/>
                <w:szCs w:val="20"/>
                <w:color w:val="auto"/>
              </w:rPr>
            </w:pPr>
            <w:r>
              <w:rPr>
                <w:rFonts w:ascii="Arial" w:cs="Arial" w:eastAsia="Arial" w:hAnsi="Arial"/>
                <w:sz w:val="15"/>
                <w:szCs w:val="15"/>
                <w:b w:val="1"/>
                <w:bCs w:val="1"/>
                <w:color w:val="FFFFFF"/>
              </w:rPr>
              <w:t>Securities</w:t>
            </w:r>
          </w:p>
        </w:tc>
        <w:tc>
          <w:tcPr>
            <w:tcW w:w="1080" w:type="dxa"/>
            <w:vAlign w:val="bottom"/>
            <w:shd w:val="clear" w:color="auto" w:fill="0067B3"/>
          </w:tcPr>
          <w:p>
            <w:pPr>
              <w:jc w:val="right"/>
              <w:spacing w:after="0"/>
              <w:rPr>
                <w:sz w:val="20"/>
                <w:szCs w:val="20"/>
                <w:color w:val="auto"/>
              </w:rPr>
            </w:pPr>
            <w:r>
              <w:rPr>
                <w:rFonts w:ascii="Arial" w:cs="Arial" w:eastAsia="Arial" w:hAnsi="Arial"/>
                <w:sz w:val="15"/>
                <w:szCs w:val="15"/>
                <w:b w:val="1"/>
                <w:bCs w:val="1"/>
                <w:color w:val="FFFFFF"/>
              </w:rPr>
              <w:t>Securities</w:t>
            </w:r>
          </w:p>
        </w:tc>
        <w:tc>
          <w:tcPr>
            <w:tcW w:w="1020" w:type="dxa"/>
            <w:vAlign w:val="bottom"/>
            <w:shd w:val="clear" w:color="auto" w:fill="0067B3"/>
          </w:tcPr>
          <w:p>
            <w:pPr>
              <w:jc w:val="right"/>
              <w:spacing w:after="0"/>
              <w:rPr>
                <w:sz w:val="20"/>
                <w:szCs w:val="20"/>
                <w:color w:val="auto"/>
              </w:rPr>
            </w:pPr>
            <w:r>
              <w:rPr>
                <w:rFonts w:ascii="Arial" w:cs="Arial" w:eastAsia="Arial" w:hAnsi="Arial"/>
                <w:sz w:val="15"/>
                <w:szCs w:val="15"/>
                <w:b w:val="1"/>
                <w:bCs w:val="1"/>
                <w:color w:val="FFFFFF"/>
              </w:rPr>
              <w:t>Underlying</w:t>
            </w:r>
          </w:p>
        </w:tc>
        <w:tc>
          <w:tcPr>
            <w:tcW w:w="700" w:type="dxa"/>
            <w:vAlign w:val="bottom"/>
            <w:shd w:val="clear" w:color="auto" w:fill="0067B3"/>
          </w:tcPr>
          <w:p>
            <w:pPr>
              <w:spacing w:after="0"/>
              <w:rPr>
                <w:sz w:val="16"/>
                <w:szCs w:val="16"/>
                <w:color w:val="auto"/>
              </w:rPr>
            </w:pPr>
          </w:p>
        </w:tc>
        <w:tc>
          <w:tcPr>
            <w:tcW w:w="1060" w:type="dxa"/>
            <w:vAlign w:val="bottom"/>
            <w:shd w:val="clear" w:color="auto" w:fill="0067B3"/>
          </w:tcPr>
          <w:p>
            <w:pPr>
              <w:spacing w:after="0"/>
              <w:rPr>
                <w:sz w:val="16"/>
                <w:szCs w:val="16"/>
                <w:color w:val="auto"/>
              </w:rPr>
            </w:pPr>
          </w:p>
        </w:tc>
        <w:tc>
          <w:tcPr>
            <w:tcW w:w="1100" w:type="dxa"/>
            <w:vAlign w:val="bottom"/>
            <w:shd w:val="clear" w:color="auto" w:fill="0067B3"/>
          </w:tcPr>
          <w:p>
            <w:pPr>
              <w:jc w:val="right"/>
              <w:spacing w:after="0"/>
              <w:rPr>
                <w:sz w:val="20"/>
                <w:szCs w:val="20"/>
                <w:color w:val="auto"/>
              </w:rPr>
            </w:pPr>
            <w:r>
              <w:rPr>
                <w:rFonts w:ascii="Arial" w:cs="Arial" w:eastAsia="Arial" w:hAnsi="Arial"/>
                <w:sz w:val="15"/>
                <w:szCs w:val="15"/>
                <w:b w:val="1"/>
                <w:bCs w:val="1"/>
                <w:color w:val="FFFFFF"/>
              </w:rPr>
              <w:t>or Units/</w:t>
            </w:r>
          </w:p>
        </w:tc>
        <w:tc>
          <w:tcPr>
            <w:tcW w:w="2040" w:type="dxa"/>
            <w:vAlign w:val="bottom"/>
            <w:gridSpan w:val="2"/>
            <w:shd w:val="clear" w:color="auto" w:fill="0067B3"/>
          </w:tcPr>
          <w:p>
            <w:pPr>
              <w:jc w:val="right"/>
              <w:spacing w:after="0"/>
              <w:rPr>
                <w:sz w:val="20"/>
                <w:szCs w:val="20"/>
                <w:color w:val="auto"/>
              </w:rPr>
            </w:pPr>
            <w:r>
              <w:rPr>
                <w:rFonts w:ascii="Arial" w:cs="Arial" w:eastAsia="Arial" w:hAnsi="Arial"/>
                <w:sz w:val="15"/>
                <w:szCs w:val="15"/>
                <w:b w:val="1"/>
                <w:bCs w:val="1"/>
                <w:color w:val="FFFFFF"/>
              </w:rPr>
              <w:t>of Shares or Shares, Units,</w:t>
            </w:r>
          </w:p>
        </w:tc>
        <w:tc>
          <w:tcPr>
            <w:tcW w:w="340" w:type="dxa"/>
            <w:vAlign w:val="bottom"/>
            <w:shd w:val="clear" w:color="auto" w:fill="0067B3"/>
          </w:tcPr>
          <w:p>
            <w:pPr>
              <w:spacing w:after="0"/>
              <w:rPr>
                <w:sz w:val="16"/>
                <w:szCs w:val="16"/>
                <w:color w:val="auto"/>
              </w:rPr>
            </w:pPr>
          </w:p>
        </w:tc>
        <w:tc>
          <w:tcPr>
            <w:tcW w:w="1180" w:type="dxa"/>
            <w:vAlign w:val="bottom"/>
            <w:shd w:val="clear" w:color="auto" w:fill="0067B3"/>
          </w:tcPr>
          <w:p>
            <w:pPr>
              <w:jc w:val="right"/>
              <w:spacing w:after="0"/>
              <w:rPr>
                <w:sz w:val="20"/>
                <w:szCs w:val="20"/>
                <w:color w:val="auto"/>
              </w:rPr>
            </w:pPr>
            <w:r>
              <w:rPr>
                <w:rFonts w:ascii="Arial" w:cs="Arial" w:eastAsia="Arial" w:hAnsi="Arial"/>
                <w:sz w:val="15"/>
                <w:szCs w:val="15"/>
                <w:b w:val="1"/>
                <w:bCs w:val="1"/>
                <w:color w:val="FFFFFF"/>
              </w:rPr>
              <w:t>of Unearned</w:t>
            </w:r>
          </w:p>
        </w:tc>
        <w:tc>
          <w:tcPr>
            <w:tcW w:w="0" w:type="dxa"/>
            <w:vAlign w:val="bottom"/>
          </w:tcPr>
          <w:p>
            <w:pPr>
              <w:spacing w:after="0"/>
              <w:rPr>
                <w:sz w:val="1"/>
                <w:szCs w:val="1"/>
                <w:color w:val="auto"/>
              </w:rPr>
            </w:pPr>
          </w:p>
        </w:tc>
      </w:tr>
      <w:tr>
        <w:trPr>
          <w:trHeight w:val="175"/>
        </w:trPr>
        <w:tc>
          <w:tcPr>
            <w:tcW w:w="880" w:type="dxa"/>
            <w:vAlign w:val="bottom"/>
            <w:shd w:val="clear" w:color="auto" w:fill="0067B3"/>
          </w:tcPr>
          <w:p>
            <w:pPr>
              <w:spacing w:after="0"/>
              <w:rPr>
                <w:sz w:val="15"/>
                <w:szCs w:val="15"/>
                <w:color w:val="auto"/>
              </w:rPr>
            </w:pPr>
          </w:p>
        </w:tc>
        <w:tc>
          <w:tcPr>
            <w:tcW w:w="880" w:type="dxa"/>
            <w:vAlign w:val="bottom"/>
            <w:shd w:val="clear" w:color="auto" w:fill="0067B3"/>
          </w:tcPr>
          <w:p>
            <w:pPr>
              <w:spacing w:after="0"/>
              <w:rPr>
                <w:sz w:val="15"/>
                <w:szCs w:val="15"/>
                <w:color w:val="auto"/>
              </w:rPr>
            </w:pPr>
          </w:p>
        </w:tc>
        <w:tc>
          <w:tcPr>
            <w:tcW w:w="960" w:type="dxa"/>
            <w:vAlign w:val="bottom"/>
            <w:shd w:val="clear" w:color="auto" w:fill="0067B3"/>
          </w:tcPr>
          <w:p>
            <w:pPr>
              <w:jc w:val="right"/>
              <w:spacing w:after="0"/>
              <w:rPr>
                <w:sz w:val="20"/>
                <w:szCs w:val="20"/>
                <w:color w:val="auto"/>
              </w:rPr>
            </w:pPr>
            <w:r>
              <w:rPr>
                <w:rFonts w:ascii="Arial" w:cs="Arial" w:eastAsia="Arial" w:hAnsi="Arial"/>
                <w:sz w:val="15"/>
                <w:szCs w:val="15"/>
                <w:b w:val="1"/>
                <w:bCs w:val="1"/>
                <w:color w:val="FFFFFF"/>
              </w:rPr>
              <w:t>Underlying</w:t>
            </w:r>
          </w:p>
        </w:tc>
        <w:tc>
          <w:tcPr>
            <w:tcW w:w="1080" w:type="dxa"/>
            <w:vAlign w:val="bottom"/>
            <w:shd w:val="clear" w:color="auto" w:fill="0067B3"/>
          </w:tcPr>
          <w:p>
            <w:pPr>
              <w:jc w:val="right"/>
              <w:spacing w:after="0"/>
              <w:rPr>
                <w:sz w:val="20"/>
                <w:szCs w:val="20"/>
                <w:color w:val="auto"/>
              </w:rPr>
            </w:pPr>
            <w:r>
              <w:rPr>
                <w:rFonts w:ascii="Arial" w:cs="Arial" w:eastAsia="Arial" w:hAnsi="Arial"/>
                <w:sz w:val="15"/>
                <w:szCs w:val="15"/>
                <w:b w:val="1"/>
                <w:bCs w:val="1"/>
                <w:color w:val="FFFFFF"/>
              </w:rPr>
              <w:t>Underlying</w:t>
            </w:r>
          </w:p>
        </w:tc>
        <w:tc>
          <w:tcPr>
            <w:tcW w:w="1020" w:type="dxa"/>
            <w:vAlign w:val="bottom"/>
            <w:shd w:val="clear" w:color="auto" w:fill="0067B3"/>
          </w:tcPr>
          <w:p>
            <w:pPr>
              <w:jc w:val="right"/>
              <w:spacing w:after="0"/>
              <w:rPr>
                <w:sz w:val="20"/>
                <w:szCs w:val="20"/>
                <w:color w:val="auto"/>
              </w:rPr>
            </w:pPr>
            <w:r>
              <w:rPr>
                <w:rFonts w:ascii="Arial" w:cs="Arial" w:eastAsia="Arial" w:hAnsi="Arial"/>
                <w:sz w:val="15"/>
                <w:szCs w:val="15"/>
                <w:b w:val="1"/>
                <w:bCs w:val="1"/>
                <w:color w:val="FFFFFF"/>
              </w:rPr>
              <w:t>Unexercised</w:t>
            </w:r>
          </w:p>
        </w:tc>
        <w:tc>
          <w:tcPr>
            <w:tcW w:w="700" w:type="dxa"/>
            <w:vAlign w:val="bottom"/>
            <w:shd w:val="clear" w:color="auto" w:fill="0067B3"/>
          </w:tcPr>
          <w:p>
            <w:pPr>
              <w:spacing w:after="0"/>
              <w:rPr>
                <w:sz w:val="15"/>
                <w:szCs w:val="15"/>
                <w:color w:val="auto"/>
              </w:rPr>
            </w:pPr>
          </w:p>
        </w:tc>
        <w:tc>
          <w:tcPr>
            <w:tcW w:w="1060" w:type="dxa"/>
            <w:vAlign w:val="bottom"/>
            <w:shd w:val="clear" w:color="auto" w:fill="0067B3"/>
          </w:tcPr>
          <w:p>
            <w:pPr>
              <w:spacing w:after="0"/>
              <w:rPr>
                <w:sz w:val="15"/>
                <w:szCs w:val="15"/>
                <w:color w:val="auto"/>
              </w:rPr>
            </w:pPr>
          </w:p>
        </w:tc>
        <w:tc>
          <w:tcPr>
            <w:tcW w:w="2100" w:type="dxa"/>
            <w:vAlign w:val="bottom"/>
            <w:gridSpan w:val="2"/>
            <w:shd w:val="clear" w:color="auto" w:fill="0067B3"/>
          </w:tcPr>
          <w:p>
            <w:pPr>
              <w:jc w:val="right"/>
              <w:spacing w:after="0"/>
              <w:rPr>
                <w:sz w:val="20"/>
                <w:szCs w:val="20"/>
                <w:color w:val="auto"/>
              </w:rPr>
            </w:pPr>
            <w:r>
              <w:rPr>
                <w:rFonts w:ascii="Arial" w:cs="Arial" w:eastAsia="Arial" w:hAnsi="Arial"/>
                <w:sz w:val="15"/>
                <w:szCs w:val="15"/>
                <w:b w:val="1"/>
                <w:bCs w:val="1"/>
                <w:color w:val="FFFFFF"/>
              </w:rPr>
              <w:t>Awards of Units/Awards</w:t>
            </w:r>
          </w:p>
        </w:tc>
        <w:tc>
          <w:tcPr>
            <w:tcW w:w="1040" w:type="dxa"/>
            <w:vAlign w:val="bottom"/>
            <w:shd w:val="clear" w:color="auto" w:fill="0067B3"/>
          </w:tcPr>
          <w:p>
            <w:pPr>
              <w:jc w:val="right"/>
              <w:spacing w:after="0"/>
              <w:rPr>
                <w:sz w:val="20"/>
                <w:szCs w:val="20"/>
                <w:color w:val="auto"/>
              </w:rPr>
            </w:pPr>
            <w:r>
              <w:rPr>
                <w:rFonts w:ascii="Arial" w:cs="Arial" w:eastAsia="Arial" w:hAnsi="Arial"/>
                <w:sz w:val="15"/>
                <w:szCs w:val="15"/>
                <w:b w:val="1"/>
                <w:bCs w:val="1"/>
                <w:color w:val="FFFFFF"/>
              </w:rPr>
              <w:t>or Other</w:t>
            </w:r>
          </w:p>
        </w:tc>
        <w:tc>
          <w:tcPr>
            <w:tcW w:w="340" w:type="dxa"/>
            <w:vAlign w:val="bottom"/>
            <w:shd w:val="clear" w:color="auto" w:fill="0067B3"/>
          </w:tcPr>
          <w:p>
            <w:pPr>
              <w:spacing w:after="0"/>
              <w:rPr>
                <w:sz w:val="15"/>
                <w:szCs w:val="15"/>
                <w:color w:val="auto"/>
              </w:rPr>
            </w:pPr>
          </w:p>
        </w:tc>
        <w:tc>
          <w:tcPr>
            <w:tcW w:w="1180" w:type="dxa"/>
            <w:vAlign w:val="bottom"/>
            <w:shd w:val="clear" w:color="auto" w:fill="0067B3"/>
          </w:tcPr>
          <w:p>
            <w:pPr>
              <w:jc w:val="right"/>
              <w:spacing w:after="0"/>
              <w:rPr>
                <w:sz w:val="20"/>
                <w:szCs w:val="20"/>
                <w:color w:val="auto"/>
              </w:rPr>
            </w:pPr>
            <w:r>
              <w:rPr>
                <w:rFonts w:ascii="Arial" w:cs="Arial" w:eastAsia="Arial" w:hAnsi="Arial"/>
                <w:sz w:val="15"/>
                <w:szCs w:val="15"/>
                <w:b w:val="1"/>
                <w:bCs w:val="1"/>
                <w:color w:val="FFFFFF"/>
              </w:rPr>
              <w:t>Shares, Units</w:t>
            </w:r>
          </w:p>
        </w:tc>
        <w:tc>
          <w:tcPr>
            <w:tcW w:w="0" w:type="dxa"/>
            <w:vAlign w:val="bottom"/>
          </w:tcPr>
          <w:p>
            <w:pPr>
              <w:spacing w:after="0"/>
              <w:rPr>
                <w:sz w:val="1"/>
                <w:szCs w:val="1"/>
                <w:color w:val="auto"/>
              </w:rPr>
            </w:pPr>
          </w:p>
        </w:tc>
      </w:tr>
      <w:tr>
        <w:trPr>
          <w:trHeight w:val="189"/>
        </w:trPr>
        <w:tc>
          <w:tcPr>
            <w:tcW w:w="880" w:type="dxa"/>
            <w:vAlign w:val="bottom"/>
            <w:shd w:val="clear" w:color="auto" w:fill="0067B3"/>
          </w:tcPr>
          <w:p>
            <w:pPr>
              <w:spacing w:after="0"/>
              <w:rPr>
                <w:sz w:val="16"/>
                <w:szCs w:val="16"/>
                <w:color w:val="auto"/>
              </w:rPr>
            </w:pPr>
          </w:p>
        </w:tc>
        <w:tc>
          <w:tcPr>
            <w:tcW w:w="880" w:type="dxa"/>
            <w:vAlign w:val="bottom"/>
            <w:shd w:val="clear" w:color="auto" w:fill="0067B3"/>
          </w:tcPr>
          <w:p>
            <w:pPr>
              <w:spacing w:after="0"/>
              <w:rPr>
                <w:sz w:val="16"/>
                <w:szCs w:val="16"/>
                <w:color w:val="auto"/>
              </w:rPr>
            </w:pPr>
          </w:p>
        </w:tc>
        <w:tc>
          <w:tcPr>
            <w:tcW w:w="960" w:type="dxa"/>
            <w:vAlign w:val="bottom"/>
            <w:shd w:val="clear" w:color="auto" w:fill="0067B3"/>
          </w:tcPr>
          <w:p>
            <w:pPr>
              <w:jc w:val="right"/>
              <w:spacing w:after="0"/>
              <w:rPr>
                <w:sz w:val="20"/>
                <w:szCs w:val="20"/>
                <w:color w:val="auto"/>
              </w:rPr>
            </w:pPr>
            <w:r>
              <w:rPr>
                <w:rFonts w:ascii="Arial" w:cs="Arial" w:eastAsia="Arial" w:hAnsi="Arial"/>
                <w:sz w:val="15"/>
                <w:szCs w:val="15"/>
                <w:b w:val="1"/>
                <w:bCs w:val="1"/>
                <w:color w:val="FFFFFF"/>
              </w:rPr>
              <w:t>Unexercised</w:t>
            </w:r>
          </w:p>
        </w:tc>
        <w:tc>
          <w:tcPr>
            <w:tcW w:w="1080" w:type="dxa"/>
            <w:vAlign w:val="bottom"/>
            <w:shd w:val="clear" w:color="auto" w:fill="0067B3"/>
          </w:tcPr>
          <w:p>
            <w:pPr>
              <w:jc w:val="right"/>
              <w:spacing w:after="0"/>
              <w:rPr>
                <w:sz w:val="20"/>
                <w:szCs w:val="20"/>
                <w:color w:val="auto"/>
              </w:rPr>
            </w:pPr>
            <w:r>
              <w:rPr>
                <w:rFonts w:ascii="Arial" w:cs="Arial" w:eastAsia="Arial" w:hAnsi="Arial"/>
                <w:sz w:val="15"/>
                <w:szCs w:val="15"/>
                <w:b w:val="1"/>
                <w:bCs w:val="1"/>
                <w:color w:val="FFFFFF"/>
              </w:rPr>
              <w:t>Unexercised</w:t>
            </w:r>
          </w:p>
        </w:tc>
        <w:tc>
          <w:tcPr>
            <w:tcW w:w="1020" w:type="dxa"/>
            <w:vAlign w:val="bottom"/>
            <w:shd w:val="clear" w:color="auto" w:fill="0067B3"/>
          </w:tcPr>
          <w:p>
            <w:pPr>
              <w:jc w:val="right"/>
              <w:spacing w:after="0"/>
              <w:rPr>
                <w:sz w:val="20"/>
                <w:szCs w:val="20"/>
                <w:color w:val="auto"/>
              </w:rPr>
            </w:pPr>
            <w:r>
              <w:rPr>
                <w:rFonts w:ascii="Arial" w:cs="Arial" w:eastAsia="Arial" w:hAnsi="Arial"/>
                <w:sz w:val="15"/>
                <w:szCs w:val="15"/>
                <w:b w:val="1"/>
                <w:bCs w:val="1"/>
                <w:color w:val="FFFFFF"/>
              </w:rPr>
              <w:t>Unearned</w:t>
            </w:r>
          </w:p>
        </w:tc>
        <w:tc>
          <w:tcPr>
            <w:tcW w:w="700" w:type="dxa"/>
            <w:vAlign w:val="bottom"/>
            <w:shd w:val="clear" w:color="auto" w:fill="0067B3"/>
          </w:tcPr>
          <w:p>
            <w:pPr>
              <w:jc w:val="right"/>
              <w:spacing w:after="0"/>
              <w:rPr>
                <w:sz w:val="20"/>
                <w:szCs w:val="20"/>
                <w:color w:val="auto"/>
              </w:rPr>
            </w:pPr>
            <w:r>
              <w:rPr>
                <w:rFonts w:ascii="Arial" w:cs="Arial" w:eastAsia="Arial" w:hAnsi="Arial"/>
                <w:sz w:val="15"/>
                <w:szCs w:val="15"/>
                <w:b w:val="1"/>
                <w:bCs w:val="1"/>
                <w:color w:val="FFFFFF"/>
              </w:rPr>
              <w:t>Option</w:t>
            </w:r>
          </w:p>
        </w:tc>
        <w:tc>
          <w:tcPr>
            <w:tcW w:w="1060" w:type="dxa"/>
            <w:vAlign w:val="bottom"/>
            <w:shd w:val="clear" w:color="auto" w:fill="0067B3"/>
          </w:tcPr>
          <w:p>
            <w:pPr>
              <w:jc w:val="right"/>
              <w:ind w:right="119"/>
              <w:spacing w:after="0"/>
              <w:rPr>
                <w:sz w:val="20"/>
                <w:szCs w:val="20"/>
                <w:color w:val="auto"/>
              </w:rPr>
            </w:pPr>
            <w:r>
              <w:rPr>
                <w:rFonts w:ascii="Arial" w:cs="Arial" w:eastAsia="Arial" w:hAnsi="Arial"/>
                <w:sz w:val="15"/>
                <w:szCs w:val="15"/>
                <w:b w:val="1"/>
                <w:bCs w:val="1"/>
                <w:color w:val="FFFFFF"/>
              </w:rPr>
              <w:t>Option</w:t>
            </w:r>
          </w:p>
        </w:tc>
        <w:tc>
          <w:tcPr>
            <w:tcW w:w="2100" w:type="dxa"/>
            <w:vAlign w:val="bottom"/>
            <w:gridSpan w:val="2"/>
            <w:shd w:val="clear" w:color="auto" w:fill="0067B3"/>
          </w:tcPr>
          <w:p>
            <w:pPr>
              <w:jc w:val="right"/>
              <w:spacing w:after="0"/>
              <w:rPr>
                <w:sz w:val="20"/>
                <w:szCs w:val="20"/>
                <w:color w:val="auto"/>
              </w:rPr>
            </w:pPr>
            <w:r>
              <w:rPr>
                <w:rFonts w:ascii="Arial" w:cs="Arial" w:eastAsia="Arial" w:hAnsi="Arial"/>
                <w:sz w:val="15"/>
                <w:szCs w:val="15"/>
                <w:b w:val="1"/>
                <w:bCs w:val="1"/>
                <w:color w:val="FFFFFF"/>
              </w:rPr>
              <w:t>Stock That of Stock That</w:t>
            </w:r>
          </w:p>
        </w:tc>
        <w:tc>
          <w:tcPr>
            <w:tcW w:w="1040" w:type="dxa"/>
            <w:vAlign w:val="bottom"/>
            <w:shd w:val="clear" w:color="auto" w:fill="0067B3"/>
          </w:tcPr>
          <w:p>
            <w:pPr>
              <w:jc w:val="right"/>
              <w:spacing w:after="0"/>
              <w:rPr>
                <w:sz w:val="20"/>
                <w:szCs w:val="20"/>
                <w:color w:val="auto"/>
              </w:rPr>
            </w:pPr>
            <w:r>
              <w:rPr>
                <w:rFonts w:ascii="Arial" w:cs="Arial" w:eastAsia="Arial" w:hAnsi="Arial"/>
                <w:sz w:val="15"/>
                <w:szCs w:val="15"/>
                <w:b w:val="1"/>
                <w:bCs w:val="1"/>
                <w:color w:val="FFFFFF"/>
              </w:rPr>
              <w:t>Rights That</w:t>
            </w:r>
          </w:p>
        </w:tc>
        <w:tc>
          <w:tcPr>
            <w:tcW w:w="340" w:type="dxa"/>
            <w:vAlign w:val="bottom"/>
            <w:shd w:val="clear" w:color="auto" w:fill="0067B3"/>
          </w:tcPr>
          <w:p>
            <w:pPr>
              <w:spacing w:after="0"/>
              <w:rPr>
                <w:sz w:val="16"/>
                <w:szCs w:val="16"/>
                <w:color w:val="auto"/>
              </w:rPr>
            </w:pPr>
          </w:p>
        </w:tc>
        <w:tc>
          <w:tcPr>
            <w:tcW w:w="1180" w:type="dxa"/>
            <w:vAlign w:val="bottom"/>
            <w:shd w:val="clear" w:color="auto" w:fill="0067B3"/>
          </w:tcPr>
          <w:p>
            <w:pPr>
              <w:jc w:val="right"/>
              <w:spacing w:after="0"/>
              <w:rPr>
                <w:sz w:val="20"/>
                <w:szCs w:val="20"/>
                <w:color w:val="auto"/>
              </w:rPr>
            </w:pPr>
            <w:r>
              <w:rPr>
                <w:rFonts w:ascii="Arial" w:cs="Arial" w:eastAsia="Arial" w:hAnsi="Arial"/>
                <w:sz w:val="15"/>
                <w:szCs w:val="15"/>
                <w:b w:val="1"/>
                <w:bCs w:val="1"/>
                <w:color w:val="FFFFFF"/>
              </w:rPr>
              <w:t>or Other Rights</w:t>
            </w:r>
          </w:p>
        </w:tc>
        <w:tc>
          <w:tcPr>
            <w:tcW w:w="0" w:type="dxa"/>
            <w:vAlign w:val="bottom"/>
          </w:tcPr>
          <w:p>
            <w:pPr>
              <w:spacing w:after="0"/>
              <w:rPr>
                <w:sz w:val="1"/>
                <w:szCs w:val="1"/>
                <w:color w:val="auto"/>
              </w:rPr>
            </w:pPr>
          </w:p>
        </w:tc>
      </w:tr>
      <w:tr>
        <w:trPr>
          <w:trHeight w:val="176"/>
        </w:trPr>
        <w:tc>
          <w:tcPr>
            <w:tcW w:w="880" w:type="dxa"/>
            <w:vAlign w:val="bottom"/>
            <w:shd w:val="clear" w:color="auto" w:fill="0067B3"/>
          </w:tcPr>
          <w:p>
            <w:pPr>
              <w:spacing w:after="0"/>
              <w:rPr>
                <w:sz w:val="15"/>
                <w:szCs w:val="15"/>
                <w:color w:val="auto"/>
              </w:rPr>
            </w:pPr>
          </w:p>
        </w:tc>
        <w:tc>
          <w:tcPr>
            <w:tcW w:w="880" w:type="dxa"/>
            <w:vAlign w:val="bottom"/>
            <w:shd w:val="clear" w:color="auto" w:fill="0067B3"/>
          </w:tcPr>
          <w:p>
            <w:pPr>
              <w:spacing w:after="0"/>
              <w:rPr>
                <w:sz w:val="15"/>
                <w:szCs w:val="15"/>
                <w:color w:val="auto"/>
              </w:rPr>
            </w:pPr>
          </w:p>
        </w:tc>
        <w:tc>
          <w:tcPr>
            <w:tcW w:w="960" w:type="dxa"/>
            <w:vAlign w:val="bottom"/>
            <w:shd w:val="clear" w:color="auto" w:fill="0067B3"/>
          </w:tcPr>
          <w:p>
            <w:pPr>
              <w:jc w:val="right"/>
              <w:spacing w:after="0"/>
              <w:rPr>
                <w:sz w:val="20"/>
                <w:szCs w:val="20"/>
                <w:color w:val="auto"/>
              </w:rPr>
            </w:pPr>
            <w:r>
              <w:rPr>
                <w:rFonts w:ascii="Arial" w:cs="Arial" w:eastAsia="Arial" w:hAnsi="Arial"/>
                <w:sz w:val="15"/>
                <w:szCs w:val="15"/>
                <w:b w:val="1"/>
                <w:bCs w:val="1"/>
                <w:color w:val="FFFFFF"/>
              </w:rPr>
              <w:t>Options (#)</w:t>
            </w:r>
          </w:p>
        </w:tc>
        <w:tc>
          <w:tcPr>
            <w:tcW w:w="1080" w:type="dxa"/>
            <w:vAlign w:val="bottom"/>
            <w:shd w:val="clear" w:color="auto" w:fill="0067B3"/>
          </w:tcPr>
          <w:p>
            <w:pPr>
              <w:jc w:val="right"/>
              <w:spacing w:after="0"/>
              <w:rPr>
                <w:sz w:val="20"/>
                <w:szCs w:val="20"/>
                <w:color w:val="auto"/>
              </w:rPr>
            </w:pPr>
            <w:r>
              <w:rPr>
                <w:rFonts w:ascii="Arial" w:cs="Arial" w:eastAsia="Arial" w:hAnsi="Arial"/>
                <w:sz w:val="15"/>
                <w:szCs w:val="15"/>
                <w:b w:val="1"/>
                <w:bCs w:val="1"/>
                <w:color w:val="FFFFFF"/>
              </w:rPr>
              <w:t>Options (#)</w:t>
            </w:r>
          </w:p>
        </w:tc>
        <w:tc>
          <w:tcPr>
            <w:tcW w:w="1720" w:type="dxa"/>
            <w:vAlign w:val="bottom"/>
            <w:gridSpan w:val="2"/>
            <w:shd w:val="clear" w:color="auto" w:fill="0067B3"/>
          </w:tcPr>
          <w:p>
            <w:pPr>
              <w:jc w:val="right"/>
              <w:spacing w:after="0"/>
              <w:rPr>
                <w:sz w:val="20"/>
                <w:szCs w:val="20"/>
                <w:color w:val="auto"/>
              </w:rPr>
            </w:pPr>
            <w:r>
              <w:rPr>
                <w:rFonts w:ascii="Arial" w:cs="Arial" w:eastAsia="Arial" w:hAnsi="Arial"/>
                <w:sz w:val="15"/>
                <w:szCs w:val="15"/>
                <w:b w:val="1"/>
                <w:bCs w:val="1"/>
                <w:color w:val="FFFFFF"/>
              </w:rPr>
              <w:t>Options Exercise</w:t>
            </w:r>
          </w:p>
        </w:tc>
        <w:tc>
          <w:tcPr>
            <w:tcW w:w="1060" w:type="dxa"/>
            <w:vAlign w:val="bottom"/>
            <w:shd w:val="clear" w:color="auto" w:fill="0067B3"/>
          </w:tcPr>
          <w:p>
            <w:pPr>
              <w:jc w:val="right"/>
              <w:ind w:right="119"/>
              <w:spacing w:after="0"/>
              <w:rPr>
                <w:sz w:val="20"/>
                <w:szCs w:val="20"/>
                <w:color w:val="auto"/>
              </w:rPr>
            </w:pPr>
            <w:r>
              <w:rPr>
                <w:rFonts w:ascii="Arial" w:cs="Arial" w:eastAsia="Arial" w:hAnsi="Arial"/>
                <w:sz w:val="15"/>
                <w:szCs w:val="15"/>
                <w:b w:val="1"/>
                <w:bCs w:val="1"/>
                <w:color w:val="FFFFFF"/>
              </w:rPr>
              <w:t>Expiration</w:t>
            </w:r>
          </w:p>
        </w:tc>
        <w:tc>
          <w:tcPr>
            <w:tcW w:w="1100" w:type="dxa"/>
            <w:vAlign w:val="bottom"/>
            <w:shd w:val="clear" w:color="auto" w:fill="0067B3"/>
          </w:tcPr>
          <w:p>
            <w:pPr>
              <w:jc w:val="right"/>
              <w:spacing w:after="0"/>
              <w:rPr>
                <w:sz w:val="20"/>
                <w:szCs w:val="20"/>
                <w:color w:val="auto"/>
              </w:rPr>
            </w:pPr>
            <w:r>
              <w:rPr>
                <w:rFonts w:ascii="Arial" w:cs="Arial" w:eastAsia="Arial" w:hAnsi="Arial"/>
                <w:sz w:val="15"/>
                <w:szCs w:val="15"/>
                <w:b w:val="1"/>
                <w:bCs w:val="1"/>
                <w:color w:val="FFFFFF"/>
              </w:rPr>
              <w:t>Have Not</w:t>
            </w:r>
          </w:p>
        </w:tc>
        <w:tc>
          <w:tcPr>
            <w:tcW w:w="1000" w:type="dxa"/>
            <w:vAlign w:val="bottom"/>
            <w:shd w:val="clear" w:color="auto" w:fill="0067B3"/>
          </w:tcPr>
          <w:p>
            <w:pPr>
              <w:jc w:val="right"/>
              <w:spacing w:after="0"/>
              <w:rPr>
                <w:sz w:val="20"/>
                <w:szCs w:val="20"/>
                <w:color w:val="auto"/>
              </w:rPr>
            </w:pPr>
            <w:r>
              <w:rPr>
                <w:rFonts w:ascii="Arial" w:cs="Arial" w:eastAsia="Arial" w:hAnsi="Arial"/>
                <w:sz w:val="15"/>
                <w:szCs w:val="15"/>
                <w:b w:val="1"/>
                <w:bCs w:val="1"/>
                <w:color w:val="FFFFFF"/>
              </w:rPr>
              <w:t>Have Not</w:t>
            </w:r>
          </w:p>
        </w:tc>
        <w:tc>
          <w:tcPr>
            <w:tcW w:w="1040" w:type="dxa"/>
            <w:vAlign w:val="bottom"/>
            <w:shd w:val="clear" w:color="auto" w:fill="0067B3"/>
          </w:tcPr>
          <w:p>
            <w:pPr>
              <w:jc w:val="right"/>
              <w:spacing w:after="0"/>
              <w:rPr>
                <w:sz w:val="20"/>
                <w:szCs w:val="20"/>
                <w:color w:val="auto"/>
              </w:rPr>
            </w:pPr>
            <w:r>
              <w:rPr>
                <w:rFonts w:ascii="Arial" w:cs="Arial" w:eastAsia="Arial" w:hAnsi="Arial"/>
                <w:sz w:val="15"/>
                <w:szCs w:val="15"/>
                <w:b w:val="1"/>
                <w:bCs w:val="1"/>
                <w:color w:val="FFFFFF"/>
              </w:rPr>
              <w:t>Have Not</w:t>
            </w:r>
          </w:p>
        </w:tc>
        <w:tc>
          <w:tcPr>
            <w:tcW w:w="340" w:type="dxa"/>
            <w:vAlign w:val="bottom"/>
            <w:shd w:val="clear" w:color="auto" w:fill="0067B3"/>
          </w:tcPr>
          <w:p>
            <w:pPr>
              <w:spacing w:after="0"/>
              <w:rPr>
                <w:sz w:val="15"/>
                <w:szCs w:val="15"/>
                <w:color w:val="auto"/>
              </w:rPr>
            </w:pPr>
          </w:p>
        </w:tc>
        <w:tc>
          <w:tcPr>
            <w:tcW w:w="1180" w:type="dxa"/>
            <w:vAlign w:val="bottom"/>
            <w:shd w:val="clear" w:color="auto" w:fill="0067B3"/>
          </w:tcPr>
          <w:p>
            <w:pPr>
              <w:jc w:val="right"/>
              <w:spacing w:after="0"/>
              <w:rPr>
                <w:sz w:val="20"/>
                <w:szCs w:val="20"/>
                <w:color w:val="auto"/>
              </w:rPr>
            </w:pPr>
            <w:r>
              <w:rPr>
                <w:rFonts w:ascii="Arial" w:cs="Arial" w:eastAsia="Arial" w:hAnsi="Arial"/>
                <w:sz w:val="15"/>
                <w:szCs w:val="15"/>
                <w:b w:val="1"/>
                <w:bCs w:val="1"/>
                <w:color w:val="FFFFFF"/>
              </w:rPr>
              <w:t>That Have Not</w:t>
            </w:r>
          </w:p>
        </w:tc>
        <w:tc>
          <w:tcPr>
            <w:tcW w:w="0" w:type="dxa"/>
            <w:vAlign w:val="bottom"/>
          </w:tcPr>
          <w:p>
            <w:pPr>
              <w:spacing w:after="0"/>
              <w:rPr>
                <w:sz w:val="1"/>
                <w:szCs w:val="1"/>
                <w:color w:val="auto"/>
              </w:rPr>
            </w:pPr>
          </w:p>
        </w:tc>
      </w:tr>
      <w:tr>
        <w:trPr>
          <w:trHeight w:val="235"/>
        </w:trPr>
        <w:tc>
          <w:tcPr>
            <w:tcW w:w="880" w:type="dxa"/>
            <w:vAlign w:val="bottom"/>
            <w:shd w:val="clear" w:color="auto" w:fill="0067B3"/>
          </w:tcPr>
          <w:p>
            <w:pPr>
              <w:ind w:left="20"/>
              <w:spacing w:after="0"/>
              <w:rPr>
                <w:sz w:val="20"/>
                <w:szCs w:val="20"/>
                <w:color w:val="auto"/>
              </w:rPr>
            </w:pPr>
            <w:r>
              <w:rPr>
                <w:rFonts w:ascii="Arial" w:cs="Arial" w:eastAsia="Arial" w:hAnsi="Arial"/>
                <w:sz w:val="15"/>
                <w:szCs w:val="15"/>
                <w:b w:val="1"/>
                <w:bCs w:val="1"/>
                <w:color w:val="FFFFFF"/>
              </w:rPr>
              <w:t>Name</w:t>
            </w:r>
          </w:p>
        </w:tc>
        <w:tc>
          <w:tcPr>
            <w:tcW w:w="880" w:type="dxa"/>
            <w:vAlign w:val="bottom"/>
            <w:shd w:val="clear" w:color="auto" w:fill="0067B3"/>
          </w:tcPr>
          <w:p>
            <w:pPr>
              <w:jc w:val="right"/>
              <w:spacing w:after="0"/>
              <w:rPr>
                <w:sz w:val="20"/>
                <w:szCs w:val="20"/>
                <w:color w:val="auto"/>
              </w:rPr>
            </w:pPr>
            <w:r>
              <w:rPr>
                <w:rFonts w:ascii="Arial" w:cs="Arial" w:eastAsia="Arial" w:hAnsi="Arial"/>
                <w:sz w:val="15"/>
                <w:szCs w:val="15"/>
                <w:b w:val="1"/>
                <w:bCs w:val="1"/>
                <w:color w:val="FFFFFF"/>
              </w:rPr>
              <w:t>Grant Date</w:t>
            </w:r>
          </w:p>
        </w:tc>
        <w:tc>
          <w:tcPr>
            <w:tcW w:w="2040" w:type="dxa"/>
            <w:vAlign w:val="bottom"/>
            <w:gridSpan w:val="2"/>
            <w:shd w:val="clear" w:color="auto" w:fill="0067B3"/>
          </w:tcPr>
          <w:p>
            <w:pPr>
              <w:jc w:val="right"/>
              <w:spacing w:after="0"/>
              <w:rPr>
                <w:sz w:val="20"/>
                <w:szCs w:val="20"/>
                <w:color w:val="auto"/>
              </w:rPr>
            </w:pPr>
            <w:r>
              <w:rPr>
                <w:rFonts w:ascii="Arial" w:cs="Arial" w:eastAsia="Arial" w:hAnsi="Arial"/>
                <w:sz w:val="15"/>
                <w:szCs w:val="15"/>
                <w:b w:val="1"/>
                <w:bCs w:val="1"/>
                <w:color w:val="FFFFFF"/>
              </w:rPr>
              <w:t>Exercisable Unexercisable</w:t>
            </w:r>
          </w:p>
        </w:tc>
        <w:tc>
          <w:tcPr>
            <w:tcW w:w="1720" w:type="dxa"/>
            <w:vAlign w:val="bottom"/>
            <w:gridSpan w:val="2"/>
            <w:shd w:val="clear" w:color="auto" w:fill="0067B3"/>
          </w:tcPr>
          <w:p>
            <w:pPr>
              <w:jc w:val="right"/>
              <w:spacing w:after="0"/>
              <w:rPr>
                <w:sz w:val="20"/>
                <w:szCs w:val="20"/>
                <w:color w:val="auto"/>
              </w:rPr>
            </w:pPr>
            <w:r>
              <w:rPr>
                <w:rFonts w:ascii="Arial" w:cs="Arial" w:eastAsia="Arial" w:hAnsi="Arial"/>
                <w:sz w:val="15"/>
                <w:szCs w:val="15"/>
                <w:b w:val="1"/>
                <w:bCs w:val="1"/>
                <w:color w:val="FFFFFF"/>
              </w:rPr>
              <w:t>(#) Price ($)</w:t>
            </w:r>
          </w:p>
        </w:tc>
        <w:tc>
          <w:tcPr>
            <w:tcW w:w="1060" w:type="dxa"/>
            <w:vAlign w:val="bottom"/>
            <w:shd w:val="clear" w:color="auto" w:fill="0067B3"/>
          </w:tcPr>
          <w:p>
            <w:pPr>
              <w:jc w:val="right"/>
              <w:ind w:right="119"/>
              <w:spacing w:after="0"/>
              <w:rPr>
                <w:sz w:val="20"/>
                <w:szCs w:val="20"/>
                <w:color w:val="auto"/>
              </w:rPr>
            </w:pPr>
            <w:r>
              <w:rPr>
                <w:rFonts w:ascii="Arial" w:cs="Arial" w:eastAsia="Arial" w:hAnsi="Arial"/>
                <w:sz w:val="15"/>
                <w:szCs w:val="15"/>
                <w:b w:val="1"/>
                <w:bCs w:val="1"/>
                <w:color w:val="FFFFFF"/>
              </w:rPr>
              <w:t>Date</w:t>
            </w:r>
            <w:r>
              <w:rPr>
                <w:rFonts w:ascii="Arial" w:cs="Arial" w:eastAsia="Arial" w:hAnsi="Arial"/>
                <w:sz w:val="19"/>
                <w:szCs w:val="19"/>
                <w:b w:val="1"/>
                <w:bCs w:val="1"/>
                <w:color w:val="FFFFFF"/>
                <w:vertAlign w:val="superscript"/>
              </w:rPr>
              <w:t>(1)</w:t>
            </w:r>
          </w:p>
        </w:tc>
        <w:tc>
          <w:tcPr>
            <w:tcW w:w="1100" w:type="dxa"/>
            <w:vAlign w:val="bottom"/>
            <w:shd w:val="clear" w:color="auto" w:fill="0067B3"/>
          </w:tcPr>
          <w:p>
            <w:pPr>
              <w:jc w:val="right"/>
              <w:spacing w:after="0"/>
              <w:rPr>
                <w:sz w:val="20"/>
                <w:szCs w:val="20"/>
                <w:color w:val="auto"/>
              </w:rPr>
            </w:pPr>
            <w:r>
              <w:rPr>
                <w:rFonts w:ascii="Arial" w:cs="Arial" w:eastAsia="Arial" w:hAnsi="Arial"/>
                <w:sz w:val="15"/>
                <w:szCs w:val="15"/>
                <w:b w:val="1"/>
                <w:bCs w:val="1"/>
                <w:color w:val="FFFFFF"/>
              </w:rPr>
              <w:t>Vested (#)</w:t>
            </w:r>
            <w:r>
              <w:rPr>
                <w:rFonts w:ascii="Arial" w:cs="Arial" w:eastAsia="Arial" w:hAnsi="Arial"/>
                <w:sz w:val="19"/>
                <w:szCs w:val="19"/>
                <w:b w:val="1"/>
                <w:bCs w:val="1"/>
                <w:color w:val="FFFFFF"/>
                <w:vertAlign w:val="superscript"/>
              </w:rPr>
              <w:t>(2)</w:t>
            </w:r>
          </w:p>
        </w:tc>
        <w:tc>
          <w:tcPr>
            <w:tcW w:w="1000" w:type="dxa"/>
            <w:vAlign w:val="bottom"/>
            <w:shd w:val="clear" w:color="auto" w:fill="0067B3"/>
          </w:tcPr>
          <w:p>
            <w:pPr>
              <w:jc w:val="right"/>
              <w:spacing w:after="0"/>
              <w:rPr>
                <w:sz w:val="20"/>
                <w:szCs w:val="20"/>
                <w:color w:val="auto"/>
              </w:rPr>
            </w:pPr>
            <w:r>
              <w:rPr>
                <w:rFonts w:ascii="Arial" w:cs="Arial" w:eastAsia="Arial" w:hAnsi="Arial"/>
                <w:sz w:val="15"/>
                <w:szCs w:val="15"/>
                <w:b w:val="1"/>
                <w:bCs w:val="1"/>
                <w:color w:val="FFFFFF"/>
              </w:rPr>
              <w:t>Vested ($)</w:t>
            </w:r>
            <w:r>
              <w:rPr>
                <w:rFonts w:ascii="Arial" w:cs="Arial" w:eastAsia="Arial" w:hAnsi="Arial"/>
                <w:sz w:val="19"/>
                <w:szCs w:val="19"/>
                <w:b w:val="1"/>
                <w:bCs w:val="1"/>
                <w:color w:val="FFFFFF"/>
                <w:vertAlign w:val="superscript"/>
              </w:rPr>
              <w:t>(3)</w:t>
            </w:r>
          </w:p>
        </w:tc>
        <w:tc>
          <w:tcPr>
            <w:tcW w:w="1040" w:type="dxa"/>
            <w:vAlign w:val="bottom"/>
            <w:shd w:val="clear" w:color="auto" w:fill="0067B3"/>
          </w:tcPr>
          <w:p>
            <w:pPr>
              <w:jc w:val="right"/>
              <w:spacing w:after="0"/>
              <w:rPr>
                <w:sz w:val="20"/>
                <w:szCs w:val="20"/>
                <w:color w:val="auto"/>
              </w:rPr>
            </w:pPr>
            <w:r>
              <w:rPr>
                <w:rFonts w:ascii="Arial" w:cs="Arial" w:eastAsia="Arial" w:hAnsi="Arial"/>
                <w:sz w:val="15"/>
                <w:szCs w:val="15"/>
                <w:b w:val="1"/>
                <w:bCs w:val="1"/>
                <w:color w:val="FFFFFF"/>
              </w:rPr>
              <w:t>Vested (#)</w:t>
            </w:r>
          </w:p>
        </w:tc>
        <w:tc>
          <w:tcPr>
            <w:tcW w:w="340" w:type="dxa"/>
            <w:vAlign w:val="bottom"/>
            <w:shd w:val="clear" w:color="auto" w:fill="0067B3"/>
          </w:tcPr>
          <w:p>
            <w:pPr>
              <w:spacing w:after="0"/>
              <w:rPr>
                <w:sz w:val="20"/>
                <w:szCs w:val="20"/>
                <w:color w:val="auto"/>
              </w:rPr>
            </w:pPr>
          </w:p>
        </w:tc>
        <w:tc>
          <w:tcPr>
            <w:tcW w:w="1180" w:type="dxa"/>
            <w:vAlign w:val="bottom"/>
            <w:shd w:val="clear" w:color="auto" w:fill="0067B3"/>
          </w:tcPr>
          <w:p>
            <w:pPr>
              <w:jc w:val="right"/>
              <w:spacing w:after="0"/>
              <w:rPr>
                <w:sz w:val="20"/>
                <w:szCs w:val="20"/>
                <w:color w:val="auto"/>
              </w:rPr>
            </w:pPr>
            <w:r>
              <w:rPr>
                <w:rFonts w:ascii="Arial" w:cs="Arial" w:eastAsia="Arial" w:hAnsi="Arial"/>
                <w:sz w:val="15"/>
                <w:szCs w:val="15"/>
                <w:b w:val="1"/>
                <w:bCs w:val="1"/>
                <w:color w:val="FFFFFF"/>
              </w:rPr>
              <w:t>Vested ($)</w:t>
            </w:r>
            <w:r>
              <w:rPr>
                <w:rFonts w:ascii="Arial" w:cs="Arial" w:eastAsia="Arial" w:hAnsi="Arial"/>
                <w:sz w:val="19"/>
                <w:szCs w:val="19"/>
                <w:b w:val="1"/>
                <w:bCs w:val="1"/>
                <w:color w:val="FFFFFF"/>
                <w:vertAlign w:val="superscript"/>
              </w:rPr>
              <w:t>(3)</w:t>
            </w:r>
          </w:p>
        </w:tc>
        <w:tc>
          <w:tcPr>
            <w:tcW w:w="0" w:type="dxa"/>
            <w:vAlign w:val="bottom"/>
          </w:tcPr>
          <w:p>
            <w:pPr>
              <w:spacing w:after="0"/>
              <w:rPr>
                <w:sz w:val="1"/>
                <w:szCs w:val="1"/>
                <w:color w:val="auto"/>
              </w:rPr>
            </w:pPr>
          </w:p>
        </w:tc>
      </w:tr>
      <w:tr>
        <w:trPr>
          <w:trHeight w:val="215"/>
        </w:trPr>
        <w:tc>
          <w:tcPr>
            <w:tcW w:w="880" w:type="dxa"/>
            <w:vAlign w:val="bottom"/>
            <w:shd w:val="clear" w:color="auto" w:fill="E2E6F4"/>
          </w:tcPr>
          <w:p>
            <w:pPr>
              <w:ind w:left="20"/>
              <w:spacing w:after="0"/>
              <w:rPr>
                <w:sz w:val="20"/>
                <w:szCs w:val="20"/>
                <w:color w:val="auto"/>
              </w:rPr>
            </w:pPr>
            <w:r>
              <w:rPr>
                <w:rFonts w:ascii="Arial" w:cs="Arial" w:eastAsia="Arial" w:hAnsi="Arial"/>
                <w:sz w:val="16"/>
                <w:szCs w:val="16"/>
                <w:b w:val="1"/>
                <w:bCs w:val="1"/>
                <w:color w:val="0067B3"/>
              </w:rPr>
              <w:t>Vincent</w:t>
            </w:r>
          </w:p>
        </w:tc>
        <w:tc>
          <w:tcPr>
            <w:tcW w:w="880" w:type="dxa"/>
            <w:vAlign w:val="bottom"/>
            <w:shd w:val="clear" w:color="auto" w:fill="E2E6F4"/>
          </w:tcPr>
          <w:p>
            <w:pPr>
              <w:jc w:val="right"/>
              <w:spacing w:after="0"/>
              <w:rPr>
                <w:sz w:val="20"/>
                <w:szCs w:val="20"/>
                <w:color w:val="auto"/>
              </w:rPr>
            </w:pPr>
            <w:r>
              <w:rPr>
                <w:rFonts w:ascii="Arial" w:cs="Arial" w:eastAsia="Arial" w:hAnsi="Arial"/>
                <w:sz w:val="16"/>
                <w:szCs w:val="16"/>
                <w:color w:val="auto"/>
              </w:rPr>
              <w:t>3/13/2019</w:t>
            </w:r>
          </w:p>
        </w:tc>
        <w:tc>
          <w:tcPr>
            <w:tcW w:w="960" w:type="dxa"/>
            <w:vAlign w:val="bottom"/>
            <w:shd w:val="clear" w:color="auto" w:fill="E2E6F4"/>
          </w:tcPr>
          <w:p>
            <w:pPr>
              <w:jc w:val="right"/>
              <w:spacing w:after="0"/>
              <w:rPr>
                <w:sz w:val="20"/>
                <w:szCs w:val="20"/>
                <w:color w:val="auto"/>
              </w:rPr>
            </w:pPr>
            <w:r>
              <w:rPr>
                <w:rFonts w:ascii="Arial" w:cs="Arial" w:eastAsia="Arial" w:hAnsi="Arial"/>
                <w:sz w:val="16"/>
                <w:szCs w:val="16"/>
                <w:color w:val="auto"/>
              </w:rPr>
              <w:t>100,803</w:t>
            </w:r>
          </w:p>
        </w:tc>
        <w:tc>
          <w:tcPr>
            <w:tcW w:w="1080" w:type="dxa"/>
            <w:vAlign w:val="bottom"/>
            <w:shd w:val="clear" w:color="auto" w:fill="E2E6F4"/>
          </w:tcPr>
          <w:p>
            <w:pPr>
              <w:ind w:left="840"/>
              <w:spacing w:after="0"/>
              <w:rPr>
                <w:sz w:val="20"/>
                <w:szCs w:val="20"/>
                <w:color w:val="auto"/>
              </w:rPr>
            </w:pPr>
            <w:r>
              <w:rPr>
                <w:rFonts w:ascii="Arial" w:cs="Arial" w:eastAsia="Arial" w:hAnsi="Arial"/>
                <w:sz w:val="16"/>
                <w:szCs w:val="16"/>
                <w:color w:val="auto"/>
              </w:rPr>
              <w:t>—</w:t>
            </w:r>
          </w:p>
        </w:tc>
        <w:tc>
          <w:tcPr>
            <w:tcW w:w="1020" w:type="dxa"/>
            <w:vAlign w:val="bottom"/>
            <w:shd w:val="clear" w:color="auto" w:fill="E2E6F4"/>
          </w:tcPr>
          <w:p>
            <w:pPr>
              <w:ind w:left="780"/>
              <w:spacing w:after="0"/>
              <w:rPr>
                <w:sz w:val="20"/>
                <w:szCs w:val="20"/>
                <w:color w:val="auto"/>
              </w:rPr>
            </w:pPr>
            <w:r>
              <w:rPr>
                <w:rFonts w:ascii="Arial" w:cs="Arial" w:eastAsia="Arial" w:hAnsi="Arial"/>
                <w:sz w:val="16"/>
                <w:szCs w:val="16"/>
                <w:color w:val="auto"/>
              </w:rPr>
              <w:t>—</w:t>
            </w:r>
          </w:p>
        </w:tc>
        <w:tc>
          <w:tcPr>
            <w:tcW w:w="700" w:type="dxa"/>
            <w:vAlign w:val="bottom"/>
            <w:shd w:val="clear" w:color="auto" w:fill="E2E6F4"/>
          </w:tcPr>
          <w:p>
            <w:pPr>
              <w:jc w:val="right"/>
              <w:spacing w:after="0"/>
              <w:rPr>
                <w:sz w:val="20"/>
                <w:szCs w:val="20"/>
                <w:color w:val="auto"/>
              </w:rPr>
            </w:pPr>
            <w:r>
              <w:rPr>
                <w:rFonts w:ascii="Arial" w:cs="Arial" w:eastAsia="Arial" w:hAnsi="Arial"/>
                <w:sz w:val="16"/>
                <w:szCs w:val="16"/>
                <w:color w:val="auto"/>
              </w:rPr>
              <w:t>108.08</w:t>
            </w:r>
          </w:p>
        </w:tc>
        <w:tc>
          <w:tcPr>
            <w:tcW w:w="1060" w:type="dxa"/>
            <w:vAlign w:val="bottom"/>
            <w:shd w:val="clear" w:color="auto" w:fill="E2E6F4"/>
          </w:tcPr>
          <w:p>
            <w:pPr>
              <w:jc w:val="right"/>
              <w:ind w:right="119"/>
              <w:spacing w:after="0"/>
              <w:rPr>
                <w:sz w:val="20"/>
                <w:szCs w:val="20"/>
                <w:color w:val="auto"/>
              </w:rPr>
            </w:pPr>
            <w:r>
              <w:rPr>
                <w:rFonts w:ascii="Arial" w:cs="Arial" w:eastAsia="Arial" w:hAnsi="Arial"/>
                <w:sz w:val="16"/>
                <w:szCs w:val="16"/>
                <w:color w:val="auto"/>
              </w:rPr>
              <w:t>3/13/2029</w:t>
            </w:r>
          </w:p>
        </w:tc>
        <w:tc>
          <w:tcPr>
            <w:tcW w:w="1100" w:type="dxa"/>
            <w:vAlign w:val="bottom"/>
            <w:shd w:val="clear" w:color="auto" w:fill="E2E6F4"/>
          </w:tcPr>
          <w:p>
            <w:pPr>
              <w:jc w:val="right"/>
              <w:ind w:right="40"/>
              <w:spacing w:after="0"/>
              <w:rPr>
                <w:sz w:val="20"/>
                <w:szCs w:val="20"/>
                <w:color w:val="auto"/>
              </w:rPr>
            </w:pPr>
            <w:r>
              <w:rPr>
                <w:rFonts w:ascii="Arial" w:cs="Arial" w:eastAsia="Arial" w:hAnsi="Arial"/>
                <w:sz w:val="16"/>
                <w:szCs w:val="16"/>
                <w:color w:val="auto"/>
              </w:rPr>
              <w:t>—</w:t>
            </w:r>
          </w:p>
        </w:tc>
        <w:tc>
          <w:tcPr>
            <w:tcW w:w="1000" w:type="dxa"/>
            <w:vAlign w:val="bottom"/>
            <w:shd w:val="clear" w:color="auto" w:fill="E2E6F4"/>
          </w:tcPr>
          <w:p>
            <w:pPr>
              <w:jc w:val="right"/>
              <w:ind w:right="20"/>
              <w:spacing w:after="0"/>
              <w:rPr>
                <w:sz w:val="20"/>
                <w:szCs w:val="20"/>
                <w:color w:val="auto"/>
              </w:rPr>
            </w:pPr>
            <w:r>
              <w:rPr>
                <w:rFonts w:ascii="Arial" w:cs="Arial" w:eastAsia="Arial" w:hAnsi="Arial"/>
                <w:sz w:val="16"/>
                <w:szCs w:val="16"/>
                <w:color w:val="auto"/>
              </w:rPr>
              <w:t>—</w:t>
            </w:r>
          </w:p>
        </w:tc>
        <w:tc>
          <w:tcPr>
            <w:tcW w:w="1040" w:type="dxa"/>
            <w:vAlign w:val="bottom"/>
            <w:shd w:val="clear" w:color="auto" w:fill="E2E6F4"/>
          </w:tcPr>
          <w:p>
            <w:pPr>
              <w:jc w:val="right"/>
              <w:ind w:right="1"/>
              <w:spacing w:after="0"/>
              <w:rPr>
                <w:sz w:val="20"/>
                <w:szCs w:val="20"/>
                <w:color w:val="auto"/>
              </w:rPr>
            </w:pPr>
            <w:r>
              <w:rPr>
                <w:rFonts w:ascii="Arial" w:cs="Arial" w:eastAsia="Arial" w:hAnsi="Arial"/>
                <w:sz w:val="16"/>
                <w:szCs w:val="16"/>
                <w:color w:val="auto"/>
              </w:rPr>
              <w:t>—</w:t>
            </w:r>
          </w:p>
        </w:tc>
        <w:tc>
          <w:tcPr>
            <w:tcW w:w="340" w:type="dxa"/>
            <w:vAlign w:val="bottom"/>
            <w:shd w:val="clear" w:color="auto" w:fill="E2E6F4"/>
          </w:tcPr>
          <w:p>
            <w:pPr>
              <w:spacing w:after="0"/>
              <w:rPr>
                <w:sz w:val="18"/>
                <w:szCs w:val="18"/>
                <w:color w:val="auto"/>
              </w:rPr>
            </w:pPr>
          </w:p>
        </w:tc>
        <w:tc>
          <w:tcPr>
            <w:tcW w:w="1180" w:type="dxa"/>
            <w:vAlign w:val="bottom"/>
            <w:shd w:val="clear" w:color="auto" w:fill="E2E6F4"/>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55"/>
        </w:trPr>
        <w:tc>
          <w:tcPr>
            <w:tcW w:w="880" w:type="dxa"/>
            <w:vAlign w:val="bottom"/>
            <w:shd w:val="clear" w:color="auto" w:fill="E2E6F4"/>
          </w:tcPr>
          <w:p>
            <w:pPr>
              <w:ind w:left="20"/>
              <w:spacing w:after="0"/>
              <w:rPr>
                <w:sz w:val="20"/>
                <w:szCs w:val="20"/>
                <w:color w:val="auto"/>
              </w:rPr>
            </w:pPr>
            <w:r>
              <w:rPr>
                <w:rFonts w:ascii="Arial" w:cs="Arial" w:eastAsia="Arial" w:hAnsi="Arial"/>
                <w:sz w:val="16"/>
                <w:szCs w:val="16"/>
                <w:b w:val="1"/>
                <w:bCs w:val="1"/>
                <w:color w:val="0067B3"/>
              </w:rPr>
              <w:t>Roche</w:t>
            </w:r>
          </w:p>
        </w:tc>
        <w:tc>
          <w:tcPr>
            <w:tcW w:w="880" w:type="dxa"/>
            <w:vAlign w:val="bottom"/>
            <w:shd w:val="clear" w:color="auto" w:fill="E2E6F4"/>
          </w:tcPr>
          <w:p>
            <w:pPr>
              <w:jc w:val="right"/>
              <w:spacing w:after="0"/>
              <w:rPr>
                <w:sz w:val="20"/>
                <w:szCs w:val="20"/>
                <w:color w:val="auto"/>
              </w:rPr>
            </w:pPr>
            <w:r>
              <w:rPr>
                <w:rFonts w:ascii="Arial" w:cs="Arial" w:eastAsia="Arial" w:hAnsi="Arial"/>
                <w:sz w:val="16"/>
                <w:szCs w:val="16"/>
                <w:color w:val="auto"/>
              </w:rPr>
              <w:t>3/11/2020</w:t>
            </w:r>
          </w:p>
        </w:tc>
        <w:tc>
          <w:tcPr>
            <w:tcW w:w="960" w:type="dxa"/>
            <w:vAlign w:val="bottom"/>
            <w:shd w:val="clear" w:color="auto" w:fill="E2E6F4"/>
          </w:tcPr>
          <w:p>
            <w:pPr>
              <w:jc w:val="right"/>
              <w:spacing w:after="0"/>
              <w:rPr>
                <w:sz w:val="20"/>
                <w:szCs w:val="20"/>
                <w:color w:val="auto"/>
              </w:rPr>
            </w:pPr>
            <w:r>
              <w:rPr>
                <w:rFonts w:ascii="Arial" w:cs="Arial" w:eastAsia="Arial" w:hAnsi="Arial"/>
                <w:sz w:val="16"/>
                <w:szCs w:val="16"/>
                <w:color w:val="auto"/>
              </w:rPr>
              <w:t>84,637</w:t>
            </w:r>
          </w:p>
        </w:tc>
        <w:tc>
          <w:tcPr>
            <w:tcW w:w="1080" w:type="dxa"/>
            <w:vAlign w:val="bottom"/>
            <w:shd w:val="clear" w:color="auto" w:fill="E2E6F4"/>
          </w:tcPr>
          <w:p>
            <w:pPr>
              <w:ind w:left="840"/>
              <w:spacing w:after="0"/>
              <w:rPr>
                <w:sz w:val="20"/>
                <w:szCs w:val="20"/>
                <w:color w:val="auto"/>
              </w:rPr>
            </w:pPr>
            <w:r>
              <w:rPr>
                <w:rFonts w:ascii="Arial" w:cs="Arial" w:eastAsia="Arial" w:hAnsi="Arial"/>
                <w:sz w:val="16"/>
                <w:szCs w:val="16"/>
                <w:color w:val="auto"/>
              </w:rPr>
              <w:t>—</w:t>
            </w:r>
          </w:p>
        </w:tc>
        <w:tc>
          <w:tcPr>
            <w:tcW w:w="1020" w:type="dxa"/>
            <w:vAlign w:val="bottom"/>
            <w:shd w:val="clear" w:color="auto" w:fill="E2E6F4"/>
          </w:tcPr>
          <w:p>
            <w:pPr>
              <w:ind w:left="780"/>
              <w:spacing w:after="0"/>
              <w:rPr>
                <w:sz w:val="20"/>
                <w:szCs w:val="20"/>
                <w:color w:val="auto"/>
              </w:rPr>
            </w:pPr>
            <w:r>
              <w:rPr>
                <w:rFonts w:ascii="Arial" w:cs="Arial" w:eastAsia="Arial" w:hAnsi="Arial"/>
                <w:sz w:val="16"/>
                <w:szCs w:val="16"/>
                <w:color w:val="auto"/>
              </w:rPr>
              <w:t>—</w:t>
            </w:r>
          </w:p>
        </w:tc>
        <w:tc>
          <w:tcPr>
            <w:tcW w:w="700" w:type="dxa"/>
            <w:vAlign w:val="bottom"/>
            <w:shd w:val="clear" w:color="auto" w:fill="E2E6F4"/>
          </w:tcPr>
          <w:p>
            <w:pPr>
              <w:jc w:val="right"/>
              <w:spacing w:after="0"/>
              <w:rPr>
                <w:sz w:val="20"/>
                <w:szCs w:val="20"/>
                <w:color w:val="auto"/>
              </w:rPr>
            </w:pPr>
            <w:r>
              <w:rPr>
                <w:rFonts w:ascii="Arial" w:cs="Arial" w:eastAsia="Arial" w:hAnsi="Arial"/>
                <w:sz w:val="16"/>
                <w:szCs w:val="16"/>
                <w:color w:val="auto"/>
              </w:rPr>
              <w:t>94.41</w:t>
            </w:r>
          </w:p>
        </w:tc>
        <w:tc>
          <w:tcPr>
            <w:tcW w:w="1060" w:type="dxa"/>
            <w:vAlign w:val="bottom"/>
            <w:shd w:val="clear" w:color="auto" w:fill="E2E6F4"/>
          </w:tcPr>
          <w:p>
            <w:pPr>
              <w:jc w:val="right"/>
              <w:ind w:right="119"/>
              <w:spacing w:after="0"/>
              <w:rPr>
                <w:sz w:val="20"/>
                <w:szCs w:val="20"/>
                <w:color w:val="auto"/>
              </w:rPr>
            </w:pPr>
            <w:r>
              <w:rPr>
                <w:rFonts w:ascii="Arial" w:cs="Arial" w:eastAsia="Arial" w:hAnsi="Arial"/>
                <w:sz w:val="16"/>
                <w:szCs w:val="16"/>
                <w:color w:val="auto"/>
              </w:rPr>
              <w:t>3/11/2030</w:t>
            </w:r>
          </w:p>
        </w:tc>
        <w:tc>
          <w:tcPr>
            <w:tcW w:w="1100" w:type="dxa"/>
            <w:vAlign w:val="bottom"/>
            <w:shd w:val="clear" w:color="auto" w:fill="E2E6F4"/>
          </w:tcPr>
          <w:p>
            <w:pPr>
              <w:jc w:val="right"/>
              <w:ind w:right="40"/>
              <w:spacing w:after="0"/>
              <w:rPr>
                <w:sz w:val="20"/>
                <w:szCs w:val="20"/>
                <w:color w:val="auto"/>
              </w:rPr>
            </w:pPr>
            <w:r>
              <w:rPr>
                <w:rFonts w:ascii="Arial" w:cs="Arial" w:eastAsia="Arial" w:hAnsi="Arial"/>
                <w:sz w:val="16"/>
                <w:szCs w:val="16"/>
                <w:color w:val="auto"/>
              </w:rPr>
              <w:t>—</w:t>
            </w:r>
          </w:p>
        </w:tc>
        <w:tc>
          <w:tcPr>
            <w:tcW w:w="1000" w:type="dxa"/>
            <w:vAlign w:val="bottom"/>
            <w:shd w:val="clear" w:color="auto" w:fill="E2E6F4"/>
          </w:tcPr>
          <w:p>
            <w:pPr>
              <w:jc w:val="right"/>
              <w:ind w:right="20"/>
              <w:spacing w:after="0"/>
              <w:rPr>
                <w:sz w:val="20"/>
                <w:szCs w:val="20"/>
                <w:color w:val="auto"/>
              </w:rPr>
            </w:pPr>
            <w:r>
              <w:rPr>
                <w:rFonts w:ascii="Arial" w:cs="Arial" w:eastAsia="Arial" w:hAnsi="Arial"/>
                <w:sz w:val="16"/>
                <w:szCs w:val="16"/>
                <w:color w:val="auto"/>
              </w:rPr>
              <w:t>—</w:t>
            </w:r>
          </w:p>
        </w:tc>
        <w:tc>
          <w:tcPr>
            <w:tcW w:w="1040" w:type="dxa"/>
            <w:vAlign w:val="bottom"/>
            <w:shd w:val="clear" w:color="auto" w:fill="E2E6F4"/>
          </w:tcPr>
          <w:p>
            <w:pPr>
              <w:jc w:val="right"/>
              <w:ind w:right="1"/>
              <w:spacing w:after="0"/>
              <w:rPr>
                <w:sz w:val="20"/>
                <w:szCs w:val="20"/>
                <w:color w:val="auto"/>
              </w:rPr>
            </w:pPr>
            <w:r>
              <w:rPr>
                <w:rFonts w:ascii="Arial" w:cs="Arial" w:eastAsia="Arial" w:hAnsi="Arial"/>
                <w:sz w:val="16"/>
                <w:szCs w:val="16"/>
                <w:color w:val="auto"/>
              </w:rPr>
              <w:t>—</w:t>
            </w:r>
          </w:p>
        </w:tc>
        <w:tc>
          <w:tcPr>
            <w:tcW w:w="340" w:type="dxa"/>
            <w:vAlign w:val="bottom"/>
            <w:shd w:val="clear" w:color="auto" w:fill="E2E6F4"/>
          </w:tcPr>
          <w:p>
            <w:pPr>
              <w:spacing w:after="0"/>
              <w:rPr>
                <w:sz w:val="22"/>
                <w:szCs w:val="22"/>
                <w:color w:val="auto"/>
              </w:rPr>
            </w:pPr>
          </w:p>
        </w:tc>
        <w:tc>
          <w:tcPr>
            <w:tcW w:w="1180" w:type="dxa"/>
            <w:vAlign w:val="bottom"/>
            <w:shd w:val="clear" w:color="auto" w:fill="E2E6F4"/>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43"/>
        </w:trPr>
        <w:tc>
          <w:tcPr>
            <w:tcW w:w="880" w:type="dxa"/>
            <w:vAlign w:val="bottom"/>
            <w:shd w:val="clear" w:color="auto" w:fill="E2E6F4"/>
          </w:tcPr>
          <w:p>
            <w:pPr>
              <w:spacing w:after="0"/>
              <w:rPr>
                <w:sz w:val="21"/>
                <w:szCs w:val="21"/>
                <w:color w:val="auto"/>
              </w:rPr>
            </w:pPr>
          </w:p>
        </w:tc>
        <w:tc>
          <w:tcPr>
            <w:tcW w:w="880" w:type="dxa"/>
            <w:vAlign w:val="bottom"/>
            <w:shd w:val="clear" w:color="auto" w:fill="E2E6F4"/>
          </w:tcPr>
          <w:p>
            <w:pPr>
              <w:jc w:val="right"/>
              <w:spacing w:after="0"/>
              <w:rPr>
                <w:sz w:val="20"/>
                <w:szCs w:val="20"/>
                <w:color w:val="auto"/>
              </w:rPr>
            </w:pPr>
            <w:r>
              <w:rPr>
                <w:rFonts w:ascii="Arial" w:cs="Arial" w:eastAsia="Arial" w:hAnsi="Arial"/>
                <w:sz w:val="16"/>
                <w:szCs w:val="16"/>
                <w:color w:val="auto"/>
              </w:rPr>
              <w:t>12/15/2020</w:t>
            </w:r>
          </w:p>
        </w:tc>
        <w:tc>
          <w:tcPr>
            <w:tcW w:w="960" w:type="dxa"/>
            <w:vAlign w:val="bottom"/>
            <w:shd w:val="clear" w:color="auto" w:fill="E2E6F4"/>
          </w:tcPr>
          <w:p>
            <w:pPr>
              <w:jc w:val="right"/>
              <w:spacing w:after="0"/>
              <w:rPr>
                <w:sz w:val="20"/>
                <w:szCs w:val="20"/>
                <w:color w:val="auto"/>
              </w:rPr>
            </w:pPr>
            <w:r>
              <w:rPr>
                <w:rFonts w:ascii="Arial" w:cs="Arial" w:eastAsia="Arial" w:hAnsi="Arial"/>
                <w:sz w:val="16"/>
                <w:szCs w:val="16"/>
                <w:color w:val="auto"/>
              </w:rPr>
              <w:t>460,000</w:t>
            </w:r>
          </w:p>
        </w:tc>
        <w:tc>
          <w:tcPr>
            <w:tcW w:w="1080" w:type="dxa"/>
            <w:vAlign w:val="bottom"/>
            <w:shd w:val="clear" w:color="auto" w:fill="E2E6F4"/>
          </w:tcPr>
          <w:p>
            <w:pPr>
              <w:ind w:left="840"/>
              <w:spacing w:after="0"/>
              <w:rPr>
                <w:sz w:val="20"/>
                <w:szCs w:val="20"/>
                <w:color w:val="auto"/>
              </w:rPr>
            </w:pPr>
            <w:r>
              <w:rPr>
                <w:rFonts w:ascii="Arial" w:cs="Arial" w:eastAsia="Arial" w:hAnsi="Arial"/>
                <w:sz w:val="16"/>
                <w:szCs w:val="16"/>
                <w:color w:val="auto"/>
              </w:rPr>
              <w:t>—</w:t>
            </w:r>
          </w:p>
        </w:tc>
        <w:tc>
          <w:tcPr>
            <w:tcW w:w="1020" w:type="dxa"/>
            <w:vAlign w:val="bottom"/>
            <w:shd w:val="clear" w:color="auto" w:fill="E2E6F4"/>
          </w:tcPr>
          <w:p>
            <w:pPr>
              <w:ind w:left="780"/>
              <w:spacing w:after="0"/>
              <w:rPr>
                <w:sz w:val="20"/>
                <w:szCs w:val="20"/>
                <w:color w:val="auto"/>
              </w:rPr>
            </w:pPr>
            <w:r>
              <w:rPr>
                <w:rFonts w:ascii="Arial" w:cs="Arial" w:eastAsia="Arial" w:hAnsi="Arial"/>
                <w:sz w:val="16"/>
                <w:szCs w:val="16"/>
                <w:color w:val="auto"/>
              </w:rPr>
              <w:t>—</w:t>
            </w:r>
          </w:p>
        </w:tc>
        <w:tc>
          <w:tcPr>
            <w:tcW w:w="1760" w:type="dxa"/>
            <w:vAlign w:val="bottom"/>
            <w:gridSpan w:val="2"/>
            <w:shd w:val="clear" w:color="auto" w:fill="E2E6F4"/>
          </w:tcPr>
          <w:p>
            <w:pPr>
              <w:jc w:val="right"/>
              <w:ind w:right="119"/>
              <w:spacing w:after="0"/>
              <w:rPr>
                <w:sz w:val="20"/>
                <w:szCs w:val="20"/>
                <w:color w:val="auto"/>
              </w:rPr>
            </w:pPr>
            <w:r>
              <w:rPr>
                <w:rFonts w:ascii="Arial" w:cs="Arial" w:eastAsia="Arial" w:hAnsi="Arial"/>
                <w:sz w:val="16"/>
                <w:szCs w:val="16"/>
                <w:color w:val="auto"/>
              </w:rPr>
              <w:t>144.06 12/15/2030</w:t>
            </w:r>
          </w:p>
        </w:tc>
        <w:tc>
          <w:tcPr>
            <w:tcW w:w="1100" w:type="dxa"/>
            <w:vAlign w:val="bottom"/>
            <w:shd w:val="clear" w:color="auto" w:fill="E2E6F4"/>
          </w:tcPr>
          <w:p>
            <w:pPr>
              <w:jc w:val="right"/>
              <w:ind w:right="40"/>
              <w:spacing w:after="0"/>
              <w:rPr>
                <w:sz w:val="20"/>
                <w:szCs w:val="20"/>
                <w:color w:val="auto"/>
              </w:rPr>
            </w:pPr>
            <w:r>
              <w:rPr>
                <w:rFonts w:ascii="Arial" w:cs="Arial" w:eastAsia="Arial" w:hAnsi="Arial"/>
                <w:sz w:val="16"/>
                <w:szCs w:val="16"/>
                <w:color w:val="auto"/>
              </w:rPr>
              <w:t>—</w:t>
            </w:r>
          </w:p>
        </w:tc>
        <w:tc>
          <w:tcPr>
            <w:tcW w:w="1000" w:type="dxa"/>
            <w:vAlign w:val="bottom"/>
            <w:shd w:val="clear" w:color="auto" w:fill="E2E6F4"/>
          </w:tcPr>
          <w:p>
            <w:pPr>
              <w:jc w:val="right"/>
              <w:ind w:right="20"/>
              <w:spacing w:after="0"/>
              <w:rPr>
                <w:sz w:val="20"/>
                <w:szCs w:val="20"/>
                <w:color w:val="auto"/>
              </w:rPr>
            </w:pPr>
            <w:r>
              <w:rPr>
                <w:rFonts w:ascii="Arial" w:cs="Arial" w:eastAsia="Arial" w:hAnsi="Arial"/>
                <w:sz w:val="16"/>
                <w:szCs w:val="16"/>
                <w:color w:val="auto"/>
              </w:rPr>
              <w:t>—</w:t>
            </w:r>
          </w:p>
        </w:tc>
        <w:tc>
          <w:tcPr>
            <w:tcW w:w="1040" w:type="dxa"/>
            <w:vAlign w:val="bottom"/>
            <w:shd w:val="clear" w:color="auto" w:fill="E2E6F4"/>
          </w:tcPr>
          <w:p>
            <w:pPr>
              <w:jc w:val="right"/>
              <w:ind w:right="1"/>
              <w:spacing w:after="0"/>
              <w:rPr>
                <w:sz w:val="20"/>
                <w:szCs w:val="20"/>
                <w:color w:val="auto"/>
              </w:rPr>
            </w:pPr>
            <w:r>
              <w:rPr>
                <w:rFonts w:ascii="Arial" w:cs="Arial" w:eastAsia="Arial" w:hAnsi="Arial"/>
                <w:sz w:val="16"/>
                <w:szCs w:val="16"/>
                <w:color w:val="auto"/>
              </w:rPr>
              <w:t>—</w:t>
            </w:r>
          </w:p>
        </w:tc>
        <w:tc>
          <w:tcPr>
            <w:tcW w:w="340" w:type="dxa"/>
            <w:vAlign w:val="bottom"/>
            <w:shd w:val="clear" w:color="auto" w:fill="E2E6F4"/>
          </w:tcPr>
          <w:p>
            <w:pPr>
              <w:spacing w:after="0"/>
              <w:rPr>
                <w:sz w:val="21"/>
                <w:szCs w:val="21"/>
                <w:color w:val="auto"/>
              </w:rPr>
            </w:pPr>
          </w:p>
        </w:tc>
        <w:tc>
          <w:tcPr>
            <w:tcW w:w="1180" w:type="dxa"/>
            <w:vAlign w:val="bottom"/>
            <w:shd w:val="clear" w:color="auto" w:fill="E2E6F4"/>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43"/>
        </w:trPr>
        <w:tc>
          <w:tcPr>
            <w:tcW w:w="880" w:type="dxa"/>
            <w:vAlign w:val="bottom"/>
            <w:shd w:val="clear" w:color="auto" w:fill="E2E6F4"/>
          </w:tcPr>
          <w:p>
            <w:pPr>
              <w:spacing w:after="0"/>
              <w:rPr>
                <w:sz w:val="21"/>
                <w:szCs w:val="21"/>
                <w:color w:val="auto"/>
              </w:rPr>
            </w:pPr>
          </w:p>
        </w:tc>
        <w:tc>
          <w:tcPr>
            <w:tcW w:w="880" w:type="dxa"/>
            <w:vAlign w:val="bottom"/>
            <w:shd w:val="clear" w:color="auto" w:fill="E2E6F4"/>
          </w:tcPr>
          <w:p>
            <w:pPr>
              <w:jc w:val="right"/>
              <w:spacing w:after="0"/>
              <w:rPr>
                <w:sz w:val="20"/>
                <w:szCs w:val="20"/>
                <w:color w:val="auto"/>
              </w:rPr>
            </w:pPr>
            <w:r>
              <w:rPr>
                <w:rFonts w:ascii="Arial" w:cs="Arial" w:eastAsia="Arial" w:hAnsi="Arial"/>
                <w:sz w:val="16"/>
                <w:szCs w:val="16"/>
                <w:color w:val="auto"/>
              </w:rPr>
              <w:t>3/10/2021</w:t>
            </w:r>
          </w:p>
        </w:tc>
        <w:tc>
          <w:tcPr>
            <w:tcW w:w="960" w:type="dxa"/>
            <w:vAlign w:val="bottom"/>
            <w:shd w:val="clear" w:color="auto" w:fill="E2E6F4"/>
          </w:tcPr>
          <w:p>
            <w:pPr>
              <w:jc w:val="right"/>
              <w:spacing w:after="0"/>
              <w:rPr>
                <w:sz w:val="20"/>
                <w:szCs w:val="20"/>
                <w:color w:val="auto"/>
              </w:rPr>
            </w:pPr>
            <w:r>
              <w:rPr>
                <w:rFonts w:ascii="Arial" w:cs="Arial" w:eastAsia="Arial" w:hAnsi="Arial"/>
                <w:sz w:val="16"/>
                <w:szCs w:val="16"/>
                <w:color w:val="auto"/>
              </w:rPr>
              <w:t>70,786</w:t>
            </w:r>
          </w:p>
        </w:tc>
        <w:tc>
          <w:tcPr>
            <w:tcW w:w="1080" w:type="dxa"/>
            <w:vAlign w:val="bottom"/>
            <w:shd w:val="clear" w:color="auto" w:fill="E2E6F4"/>
          </w:tcPr>
          <w:p>
            <w:pPr>
              <w:ind w:left="840"/>
              <w:spacing w:after="0"/>
              <w:rPr>
                <w:sz w:val="20"/>
                <w:szCs w:val="20"/>
                <w:color w:val="auto"/>
              </w:rPr>
            </w:pPr>
            <w:r>
              <w:rPr>
                <w:rFonts w:ascii="Arial" w:cs="Arial" w:eastAsia="Arial" w:hAnsi="Arial"/>
                <w:sz w:val="16"/>
                <w:szCs w:val="16"/>
                <w:color w:val="auto"/>
              </w:rPr>
              <w:t>—</w:t>
            </w:r>
          </w:p>
        </w:tc>
        <w:tc>
          <w:tcPr>
            <w:tcW w:w="1020" w:type="dxa"/>
            <w:vAlign w:val="bottom"/>
            <w:shd w:val="clear" w:color="auto" w:fill="E2E6F4"/>
          </w:tcPr>
          <w:p>
            <w:pPr>
              <w:ind w:left="780"/>
              <w:spacing w:after="0"/>
              <w:rPr>
                <w:sz w:val="20"/>
                <w:szCs w:val="20"/>
                <w:color w:val="auto"/>
              </w:rPr>
            </w:pPr>
            <w:r>
              <w:rPr>
                <w:rFonts w:ascii="Arial" w:cs="Arial" w:eastAsia="Arial" w:hAnsi="Arial"/>
                <w:sz w:val="16"/>
                <w:szCs w:val="16"/>
                <w:color w:val="auto"/>
              </w:rPr>
              <w:t>—</w:t>
            </w:r>
          </w:p>
        </w:tc>
        <w:tc>
          <w:tcPr>
            <w:tcW w:w="700" w:type="dxa"/>
            <w:vAlign w:val="bottom"/>
            <w:shd w:val="clear" w:color="auto" w:fill="E2E6F4"/>
          </w:tcPr>
          <w:p>
            <w:pPr>
              <w:jc w:val="right"/>
              <w:spacing w:after="0"/>
              <w:rPr>
                <w:sz w:val="20"/>
                <w:szCs w:val="20"/>
                <w:color w:val="auto"/>
              </w:rPr>
            </w:pPr>
            <w:r>
              <w:rPr>
                <w:rFonts w:ascii="Arial" w:cs="Arial" w:eastAsia="Arial" w:hAnsi="Arial"/>
                <w:sz w:val="16"/>
                <w:szCs w:val="16"/>
                <w:color w:val="auto"/>
              </w:rPr>
              <w:t>147.11</w:t>
            </w:r>
          </w:p>
        </w:tc>
        <w:tc>
          <w:tcPr>
            <w:tcW w:w="1060" w:type="dxa"/>
            <w:vAlign w:val="bottom"/>
            <w:shd w:val="clear" w:color="auto" w:fill="E2E6F4"/>
          </w:tcPr>
          <w:p>
            <w:pPr>
              <w:jc w:val="right"/>
              <w:ind w:right="119"/>
              <w:spacing w:after="0"/>
              <w:rPr>
                <w:sz w:val="20"/>
                <w:szCs w:val="20"/>
                <w:color w:val="auto"/>
              </w:rPr>
            </w:pPr>
            <w:r>
              <w:rPr>
                <w:rFonts w:ascii="Arial" w:cs="Arial" w:eastAsia="Arial" w:hAnsi="Arial"/>
                <w:sz w:val="16"/>
                <w:szCs w:val="16"/>
                <w:color w:val="auto"/>
              </w:rPr>
              <w:t>3/10/2031</w:t>
            </w:r>
          </w:p>
        </w:tc>
        <w:tc>
          <w:tcPr>
            <w:tcW w:w="1100" w:type="dxa"/>
            <w:vAlign w:val="bottom"/>
            <w:shd w:val="clear" w:color="auto" w:fill="E2E6F4"/>
          </w:tcPr>
          <w:p>
            <w:pPr>
              <w:jc w:val="right"/>
              <w:ind w:right="40"/>
              <w:spacing w:after="0"/>
              <w:rPr>
                <w:sz w:val="20"/>
                <w:szCs w:val="20"/>
                <w:color w:val="auto"/>
              </w:rPr>
            </w:pPr>
            <w:r>
              <w:rPr>
                <w:rFonts w:ascii="Arial" w:cs="Arial" w:eastAsia="Arial" w:hAnsi="Arial"/>
                <w:sz w:val="16"/>
                <w:szCs w:val="16"/>
                <w:color w:val="auto"/>
              </w:rPr>
              <w:t>—</w:t>
            </w:r>
          </w:p>
        </w:tc>
        <w:tc>
          <w:tcPr>
            <w:tcW w:w="1000" w:type="dxa"/>
            <w:vAlign w:val="bottom"/>
            <w:shd w:val="clear" w:color="auto" w:fill="E2E6F4"/>
          </w:tcPr>
          <w:p>
            <w:pPr>
              <w:jc w:val="right"/>
              <w:ind w:right="20"/>
              <w:spacing w:after="0"/>
              <w:rPr>
                <w:sz w:val="20"/>
                <w:szCs w:val="20"/>
                <w:color w:val="auto"/>
              </w:rPr>
            </w:pPr>
            <w:r>
              <w:rPr>
                <w:rFonts w:ascii="Arial" w:cs="Arial" w:eastAsia="Arial" w:hAnsi="Arial"/>
                <w:sz w:val="16"/>
                <w:szCs w:val="16"/>
                <w:color w:val="auto"/>
              </w:rPr>
              <w:t>—</w:t>
            </w:r>
          </w:p>
        </w:tc>
        <w:tc>
          <w:tcPr>
            <w:tcW w:w="1040" w:type="dxa"/>
            <w:vAlign w:val="bottom"/>
            <w:shd w:val="clear" w:color="auto" w:fill="E2E6F4"/>
          </w:tcPr>
          <w:p>
            <w:pPr>
              <w:jc w:val="right"/>
              <w:ind w:right="1"/>
              <w:spacing w:after="0"/>
              <w:rPr>
                <w:sz w:val="20"/>
                <w:szCs w:val="20"/>
                <w:color w:val="auto"/>
              </w:rPr>
            </w:pPr>
            <w:r>
              <w:rPr>
                <w:rFonts w:ascii="Arial" w:cs="Arial" w:eastAsia="Arial" w:hAnsi="Arial"/>
                <w:sz w:val="16"/>
                <w:szCs w:val="16"/>
                <w:color w:val="auto"/>
              </w:rPr>
              <w:t>—</w:t>
            </w:r>
          </w:p>
        </w:tc>
        <w:tc>
          <w:tcPr>
            <w:tcW w:w="340" w:type="dxa"/>
            <w:vAlign w:val="bottom"/>
            <w:shd w:val="clear" w:color="auto" w:fill="E2E6F4"/>
          </w:tcPr>
          <w:p>
            <w:pPr>
              <w:spacing w:after="0"/>
              <w:rPr>
                <w:sz w:val="21"/>
                <w:szCs w:val="21"/>
                <w:color w:val="auto"/>
              </w:rPr>
            </w:pPr>
          </w:p>
        </w:tc>
        <w:tc>
          <w:tcPr>
            <w:tcW w:w="1180" w:type="dxa"/>
            <w:vAlign w:val="bottom"/>
            <w:shd w:val="clear" w:color="auto" w:fill="E2E6F4"/>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83"/>
        </w:trPr>
        <w:tc>
          <w:tcPr>
            <w:tcW w:w="880" w:type="dxa"/>
            <w:vAlign w:val="bottom"/>
            <w:shd w:val="clear" w:color="auto" w:fill="E2E6F4"/>
          </w:tcPr>
          <w:p>
            <w:pPr>
              <w:spacing w:after="0"/>
              <w:rPr>
                <w:sz w:val="24"/>
                <w:szCs w:val="24"/>
                <w:color w:val="auto"/>
              </w:rPr>
            </w:pPr>
          </w:p>
        </w:tc>
        <w:tc>
          <w:tcPr>
            <w:tcW w:w="880" w:type="dxa"/>
            <w:vAlign w:val="bottom"/>
            <w:shd w:val="clear" w:color="auto" w:fill="E2E6F4"/>
          </w:tcPr>
          <w:p>
            <w:pPr>
              <w:jc w:val="right"/>
              <w:spacing w:after="0"/>
              <w:rPr>
                <w:sz w:val="20"/>
                <w:szCs w:val="20"/>
                <w:color w:val="auto"/>
              </w:rPr>
            </w:pPr>
            <w:r>
              <w:rPr>
                <w:rFonts w:ascii="Arial" w:cs="Arial" w:eastAsia="Arial" w:hAnsi="Arial"/>
                <w:sz w:val="16"/>
                <w:szCs w:val="16"/>
                <w:color w:val="auto"/>
              </w:rPr>
              <w:t>4/4/2022</w:t>
            </w:r>
          </w:p>
        </w:tc>
        <w:tc>
          <w:tcPr>
            <w:tcW w:w="960" w:type="dxa"/>
            <w:vAlign w:val="bottom"/>
            <w:shd w:val="clear" w:color="auto" w:fill="E2E6F4"/>
          </w:tcPr>
          <w:p>
            <w:pPr>
              <w:jc w:val="right"/>
              <w:spacing w:after="0"/>
              <w:rPr>
                <w:sz w:val="20"/>
                <w:szCs w:val="20"/>
                <w:color w:val="auto"/>
              </w:rPr>
            </w:pPr>
            <w:r>
              <w:rPr>
                <w:rFonts w:ascii="Arial" w:cs="Arial" w:eastAsia="Arial" w:hAnsi="Arial"/>
                <w:sz w:val="16"/>
                <w:szCs w:val="16"/>
                <w:color w:val="auto"/>
              </w:rPr>
              <w:t>—</w:t>
            </w:r>
          </w:p>
        </w:tc>
        <w:tc>
          <w:tcPr>
            <w:tcW w:w="1080" w:type="dxa"/>
            <w:vAlign w:val="bottom"/>
            <w:shd w:val="clear" w:color="auto" w:fill="E2E6F4"/>
          </w:tcPr>
          <w:p>
            <w:pPr>
              <w:ind w:left="840"/>
              <w:spacing w:after="0"/>
              <w:rPr>
                <w:sz w:val="20"/>
                <w:szCs w:val="20"/>
                <w:color w:val="auto"/>
              </w:rPr>
            </w:pPr>
            <w:r>
              <w:rPr>
                <w:rFonts w:ascii="Arial" w:cs="Arial" w:eastAsia="Arial" w:hAnsi="Arial"/>
                <w:sz w:val="16"/>
                <w:szCs w:val="16"/>
                <w:color w:val="auto"/>
              </w:rPr>
              <w:t>—</w:t>
            </w:r>
          </w:p>
        </w:tc>
        <w:tc>
          <w:tcPr>
            <w:tcW w:w="1020" w:type="dxa"/>
            <w:vAlign w:val="bottom"/>
            <w:shd w:val="clear" w:color="auto" w:fill="E2E6F4"/>
          </w:tcPr>
          <w:p>
            <w:pPr>
              <w:ind w:left="780"/>
              <w:spacing w:after="0"/>
              <w:rPr>
                <w:sz w:val="20"/>
                <w:szCs w:val="20"/>
                <w:color w:val="auto"/>
              </w:rPr>
            </w:pPr>
            <w:r>
              <w:rPr>
                <w:rFonts w:ascii="Arial" w:cs="Arial" w:eastAsia="Arial" w:hAnsi="Arial"/>
                <w:sz w:val="16"/>
                <w:szCs w:val="16"/>
                <w:color w:val="auto"/>
              </w:rPr>
              <w:t>—</w:t>
            </w:r>
          </w:p>
        </w:tc>
        <w:tc>
          <w:tcPr>
            <w:tcW w:w="700" w:type="dxa"/>
            <w:vAlign w:val="bottom"/>
            <w:shd w:val="clear" w:color="auto" w:fill="E2E6F4"/>
          </w:tcPr>
          <w:p>
            <w:pPr>
              <w:jc w:val="right"/>
              <w:spacing w:after="0"/>
              <w:rPr>
                <w:sz w:val="20"/>
                <w:szCs w:val="20"/>
                <w:color w:val="auto"/>
              </w:rPr>
            </w:pPr>
            <w:r>
              <w:rPr>
                <w:rFonts w:ascii="Arial" w:cs="Arial" w:eastAsia="Arial" w:hAnsi="Arial"/>
                <w:sz w:val="16"/>
                <w:szCs w:val="16"/>
                <w:color w:val="auto"/>
              </w:rPr>
              <w:t>—</w:t>
            </w:r>
          </w:p>
        </w:tc>
        <w:tc>
          <w:tcPr>
            <w:tcW w:w="1060" w:type="dxa"/>
            <w:vAlign w:val="bottom"/>
            <w:shd w:val="clear" w:color="auto" w:fill="E2E6F4"/>
          </w:tcPr>
          <w:p>
            <w:pPr>
              <w:jc w:val="right"/>
              <w:ind w:right="119"/>
              <w:spacing w:after="0"/>
              <w:rPr>
                <w:sz w:val="20"/>
                <w:szCs w:val="20"/>
                <w:color w:val="auto"/>
              </w:rPr>
            </w:pPr>
            <w:r>
              <w:rPr>
                <w:rFonts w:ascii="Arial" w:cs="Arial" w:eastAsia="Arial" w:hAnsi="Arial"/>
                <w:sz w:val="16"/>
                <w:szCs w:val="16"/>
                <w:color w:val="auto"/>
              </w:rPr>
              <w:t>—</w:t>
            </w:r>
          </w:p>
        </w:tc>
        <w:tc>
          <w:tcPr>
            <w:tcW w:w="1100" w:type="dxa"/>
            <w:vAlign w:val="bottom"/>
            <w:shd w:val="clear" w:color="auto" w:fill="E2E6F4"/>
          </w:tcPr>
          <w:p>
            <w:pPr>
              <w:jc w:val="right"/>
              <w:ind w:right="40"/>
              <w:spacing w:after="0"/>
              <w:rPr>
                <w:sz w:val="20"/>
                <w:szCs w:val="20"/>
                <w:color w:val="auto"/>
              </w:rPr>
            </w:pPr>
            <w:r>
              <w:rPr>
                <w:rFonts w:ascii="Arial" w:cs="Arial" w:eastAsia="Arial" w:hAnsi="Arial"/>
                <w:sz w:val="16"/>
                <w:szCs w:val="16"/>
                <w:color w:val="auto"/>
              </w:rPr>
              <w:t>8,349</w:t>
            </w:r>
          </w:p>
        </w:tc>
        <w:tc>
          <w:tcPr>
            <w:tcW w:w="1000" w:type="dxa"/>
            <w:vAlign w:val="bottom"/>
            <w:shd w:val="clear" w:color="auto" w:fill="E2E6F4"/>
          </w:tcPr>
          <w:p>
            <w:pPr>
              <w:jc w:val="right"/>
              <w:ind w:right="20"/>
              <w:spacing w:after="0"/>
              <w:rPr>
                <w:sz w:val="20"/>
                <w:szCs w:val="20"/>
                <w:color w:val="auto"/>
              </w:rPr>
            </w:pPr>
            <w:r>
              <w:rPr>
                <w:rFonts w:ascii="Arial" w:cs="Arial" w:eastAsia="Arial" w:hAnsi="Arial"/>
                <w:sz w:val="16"/>
                <w:szCs w:val="16"/>
                <w:color w:val="auto"/>
              </w:rPr>
              <w:t>1,954,751</w:t>
            </w:r>
          </w:p>
        </w:tc>
        <w:tc>
          <w:tcPr>
            <w:tcW w:w="1040" w:type="dxa"/>
            <w:vAlign w:val="bottom"/>
            <w:shd w:val="clear" w:color="auto" w:fill="E2E6F4"/>
          </w:tcPr>
          <w:p>
            <w:pPr>
              <w:jc w:val="right"/>
              <w:ind w:right="1"/>
              <w:spacing w:after="0"/>
              <w:rPr>
                <w:sz w:val="20"/>
                <w:szCs w:val="20"/>
                <w:color w:val="auto"/>
              </w:rPr>
            </w:pPr>
            <w:r>
              <w:rPr>
                <w:rFonts w:ascii="Arial" w:cs="Arial" w:eastAsia="Arial" w:hAnsi="Arial"/>
                <w:sz w:val="16"/>
                <w:szCs w:val="16"/>
                <w:color w:val="auto"/>
              </w:rPr>
              <w:t>—</w:t>
            </w:r>
          </w:p>
        </w:tc>
        <w:tc>
          <w:tcPr>
            <w:tcW w:w="340" w:type="dxa"/>
            <w:vAlign w:val="bottom"/>
            <w:shd w:val="clear" w:color="auto" w:fill="E2E6F4"/>
          </w:tcPr>
          <w:p>
            <w:pPr>
              <w:spacing w:after="0"/>
              <w:rPr>
                <w:sz w:val="24"/>
                <w:szCs w:val="24"/>
                <w:color w:val="auto"/>
              </w:rPr>
            </w:pPr>
          </w:p>
        </w:tc>
        <w:tc>
          <w:tcPr>
            <w:tcW w:w="1180" w:type="dxa"/>
            <w:vAlign w:val="bottom"/>
            <w:shd w:val="clear" w:color="auto" w:fill="E2E6F4"/>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61"/>
        </w:trPr>
        <w:tc>
          <w:tcPr>
            <w:tcW w:w="880" w:type="dxa"/>
            <w:vAlign w:val="bottom"/>
            <w:shd w:val="clear" w:color="auto" w:fill="E2E6F4"/>
          </w:tcPr>
          <w:p>
            <w:pPr>
              <w:spacing w:after="0"/>
              <w:rPr>
                <w:sz w:val="22"/>
                <w:szCs w:val="22"/>
                <w:color w:val="auto"/>
              </w:rPr>
            </w:pPr>
          </w:p>
        </w:tc>
        <w:tc>
          <w:tcPr>
            <w:tcW w:w="880" w:type="dxa"/>
            <w:vAlign w:val="bottom"/>
            <w:shd w:val="clear" w:color="auto" w:fill="E2E6F4"/>
          </w:tcPr>
          <w:p>
            <w:pPr>
              <w:jc w:val="right"/>
              <w:spacing w:after="0"/>
              <w:rPr>
                <w:sz w:val="20"/>
                <w:szCs w:val="20"/>
                <w:color w:val="auto"/>
              </w:rPr>
            </w:pPr>
            <w:r>
              <w:rPr>
                <w:rFonts w:ascii="Arial" w:cs="Arial" w:eastAsia="Arial" w:hAnsi="Arial"/>
                <w:sz w:val="16"/>
                <w:szCs w:val="16"/>
                <w:color w:val="auto"/>
              </w:rPr>
              <w:t>4/3/2023</w:t>
            </w:r>
          </w:p>
        </w:tc>
        <w:tc>
          <w:tcPr>
            <w:tcW w:w="960" w:type="dxa"/>
            <w:vAlign w:val="bottom"/>
            <w:shd w:val="clear" w:color="auto" w:fill="E2E6F4"/>
          </w:tcPr>
          <w:p>
            <w:pPr>
              <w:jc w:val="right"/>
              <w:spacing w:after="0"/>
              <w:rPr>
                <w:sz w:val="20"/>
                <w:szCs w:val="20"/>
                <w:color w:val="auto"/>
              </w:rPr>
            </w:pPr>
            <w:r>
              <w:rPr>
                <w:rFonts w:ascii="Arial" w:cs="Arial" w:eastAsia="Arial" w:hAnsi="Arial"/>
                <w:sz w:val="16"/>
                <w:szCs w:val="16"/>
                <w:color w:val="auto"/>
              </w:rPr>
              <w:t>—</w:t>
            </w:r>
          </w:p>
        </w:tc>
        <w:tc>
          <w:tcPr>
            <w:tcW w:w="1080" w:type="dxa"/>
            <w:vAlign w:val="bottom"/>
            <w:shd w:val="clear" w:color="auto" w:fill="E2E6F4"/>
          </w:tcPr>
          <w:p>
            <w:pPr>
              <w:ind w:left="840"/>
              <w:spacing w:after="0"/>
              <w:rPr>
                <w:sz w:val="20"/>
                <w:szCs w:val="20"/>
                <w:color w:val="auto"/>
              </w:rPr>
            </w:pPr>
            <w:r>
              <w:rPr>
                <w:rFonts w:ascii="Arial" w:cs="Arial" w:eastAsia="Arial" w:hAnsi="Arial"/>
                <w:sz w:val="16"/>
                <w:szCs w:val="16"/>
                <w:color w:val="auto"/>
              </w:rPr>
              <w:t>—</w:t>
            </w:r>
          </w:p>
        </w:tc>
        <w:tc>
          <w:tcPr>
            <w:tcW w:w="1020" w:type="dxa"/>
            <w:vAlign w:val="bottom"/>
            <w:shd w:val="clear" w:color="auto" w:fill="E2E6F4"/>
          </w:tcPr>
          <w:p>
            <w:pPr>
              <w:ind w:left="780"/>
              <w:spacing w:after="0"/>
              <w:rPr>
                <w:sz w:val="20"/>
                <w:szCs w:val="20"/>
                <w:color w:val="auto"/>
              </w:rPr>
            </w:pPr>
            <w:r>
              <w:rPr>
                <w:rFonts w:ascii="Arial" w:cs="Arial" w:eastAsia="Arial" w:hAnsi="Arial"/>
                <w:sz w:val="16"/>
                <w:szCs w:val="16"/>
                <w:color w:val="auto"/>
              </w:rPr>
              <w:t>—</w:t>
            </w:r>
          </w:p>
        </w:tc>
        <w:tc>
          <w:tcPr>
            <w:tcW w:w="700" w:type="dxa"/>
            <w:vAlign w:val="bottom"/>
            <w:shd w:val="clear" w:color="auto" w:fill="E2E6F4"/>
          </w:tcPr>
          <w:p>
            <w:pPr>
              <w:jc w:val="right"/>
              <w:spacing w:after="0"/>
              <w:rPr>
                <w:sz w:val="20"/>
                <w:szCs w:val="20"/>
                <w:color w:val="auto"/>
              </w:rPr>
            </w:pPr>
            <w:r>
              <w:rPr>
                <w:rFonts w:ascii="Arial" w:cs="Arial" w:eastAsia="Arial" w:hAnsi="Arial"/>
                <w:sz w:val="16"/>
                <w:szCs w:val="16"/>
                <w:color w:val="auto"/>
              </w:rPr>
              <w:t>—</w:t>
            </w:r>
          </w:p>
        </w:tc>
        <w:tc>
          <w:tcPr>
            <w:tcW w:w="1060" w:type="dxa"/>
            <w:vAlign w:val="bottom"/>
            <w:shd w:val="clear" w:color="auto" w:fill="E2E6F4"/>
          </w:tcPr>
          <w:p>
            <w:pPr>
              <w:jc w:val="right"/>
              <w:ind w:right="119"/>
              <w:spacing w:after="0"/>
              <w:rPr>
                <w:sz w:val="20"/>
                <w:szCs w:val="20"/>
                <w:color w:val="auto"/>
              </w:rPr>
            </w:pPr>
            <w:r>
              <w:rPr>
                <w:rFonts w:ascii="Arial" w:cs="Arial" w:eastAsia="Arial" w:hAnsi="Arial"/>
                <w:sz w:val="16"/>
                <w:szCs w:val="16"/>
                <w:color w:val="auto"/>
              </w:rPr>
              <w:t>—</w:t>
            </w:r>
          </w:p>
        </w:tc>
        <w:tc>
          <w:tcPr>
            <w:tcW w:w="1100" w:type="dxa"/>
            <w:vAlign w:val="bottom"/>
            <w:shd w:val="clear" w:color="auto" w:fill="E2E6F4"/>
          </w:tcPr>
          <w:p>
            <w:pPr>
              <w:jc w:val="right"/>
              <w:ind w:right="40"/>
              <w:spacing w:after="0"/>
              <w:rPr>
                <w:sz w:val="20"/>
                <w:szCs w:val="20"/>
                <w:color w:val="auto"/>
              </w:rPr>
            </w:pPr>
            <w:r>
              <w:rPr>
                <w:rFonts w:ascii="Arial" w:cs="Arial" w:eastAsia="Arial" w:hAnsi="Arial"/>
                <w:sz w:val="16"/>
                <w:szCs w:val="16"/>
                <w:color w:val="auto"/>
              </w:rPr>
              <w:t>24,134</w:t>
            </w:r>
          </w:p>
        </w:tc>
        <w:tc>
          <w:tcPr>
            <w:tcW w:w="1000" w:type="dxa"/>
            <w:vAlign w:val="bottom"/>
            <w:shd w:val="clear" w:color="auto" w:fill="E2E6F4"/>
          </w:tcPr>
          <w:p>
            <w:pPr>
              <w:jc w:val="right"/>
              <w:ind w:right="20"/>
              <w:spacing w:after="0"/>
              <w:rPr>
                <w:sz w:val="20"/>
                <w:szCs w:val="20"/>
                <w:color w:val="auto"/>
              </w:rPr>
            </w:pPr>
            <w:r>
              <w:rPr>
                <w:rFonts w:ascii="Arial" w:cs="Arial" w:eastAsia="Arial" w:hAnsi="Arial"/>
                <w:sz w:val="16"/>
                <w:szCs w:val="16"/>
                <w:color w:val="auto"/>
              </w:rPr>
              <w:t>5,650,493</w:t>
            </w:r>
          </w:p>
        </w:tc>
        <w:tc>
          <w:tcPr>
            <w:tcW w:w="1040" w:type="dxa"/>
            <w:vAlign w:val="bottom"/>
            <w:shd w:val="clear" w:color="auto" w:fill="E2E6F4"/>
          </w:tcPr>
          <w:p>
            <w:pPr>
              <w:jc w:val="right"/>
              <w:ind w:right="1"/>
              <w:spacing w:after="0"/>
              <w:rPr>
                <w:sz w:val="20"/>
                <w:szCs w:val="20"/>
                <w:color w:val="auto"/>
              </w:rPr>
            </w:pPr>
            <w:r>
              <w:rPr>
                <w:rFonts w:ascii="Arial" w:cs="Arial" w:eastAsia="Arial" w:hAnsi="Arial"/>
                <w:sz w:val="16"/>
                <w:szCs w:val="16"/>
                <w:color w:val="auto"/>
              </w:rPr>
              <w:t>29,113</w:t>
            </w:r>
          </w:p>
        </w:tc>
        <w:tc>
          <w:tcPr>
            <w:tcW w:w="340" w:type="dxa"/>
            <w:vAlign w:val="bottom"/>
            <w:shd w:val="clear" w:color="auto" w:fill="E2E6F4"/>
          </w:tcPr>
          <w:p>
            <w:pPr>
              <w:jc w:val="right"/>
              <w:spacing w:after="0"/>
              <w:rPr>
                <w:sz w:val="20"/>
                <w:szCs w:val="20"/>
                <w:color w:val="auto"/>
              </w:rPr>
            </w:pPr>
            <w:r>
              <w:rPr>
                <w:rFonts w:ascii="Arial" w:cs="Arial" w:eastAsia="Arial" w:hAnsi="Arial"/>
                <w:sz w:val="11"/>
                <w:szCs w:val="11"/>
                <w:color w:val="auto"/>
                <w:w w:val="93"/>
              </w:rPr>
              <w:t>(4),(5)</w:t>
            </w:r>
          </w:p>
        </w:tc>
        <w:tc>
          <w:tcPr>
            <w:tcW w:w="1180" w:type="dxa"/>
            <w:vAlign w:val="bottom"/>
            <w:shd w:val="clear" w:color="auto" w:fill="E2E6F4"/>
          </w:tcPr>
          <w:p>
            <w:pPr>
              <w:jc w:val="right"/>
              <w:spacing w:after="0"/>
              <w:rPr>
                <w:sz w:val="20"/>
                <w:szCs w:val="20"/>
                <w:color w:val="auto"/>
              </w:rPr>
            </w:pPr>
            <w:r>
              <w:rPr>
                <w:rFonts w:ascii="Arial" w:cs="Arial" w:eastAsia="Arial" w:hAnsi="Arial"/>
                <w:sz w:val="16"/>
                <w:szCs w:val="16"/>
                <w:color w:val="auto"/>
              </w:rPr>
              <w:t>6,816,227</w:t>
            </w:r>
          </w:p>
        </w:tc>
        <w:tc>
          <w:tcPr>
            <w:tcW w:w="0" w:type="dxa"/>
            <w:vAlign w:val="bottom"/>
          </w:tcPr>
          <w:p>
            <w:pPr>
              <w:spacing w:after="0"/>
              <w:rPr>
                <w:sz w:val="1"/>
                <w:szCs w:val="1"/>
                <w:color w:val="auto"/>
              </w:rPr>
            </w:pPr>
          </w:p>
        </w:tc>
      </w:tr>
      <w:tr>
        <w:trPr>
          <w:trHeight w:val="243"/>
        </w:trPr>
        <w:tc>
          <w:tcPr>
            <w:tcW w:w="880" w:type="dxa"/>
            <w:vAlign w:val="bottom"/>
            <w:shd w:val="clear" w:color="auto" w:fill="E2E6F4"/>
          </w:tcPr>
          <w:p>
            <w:pPr>
              <w:spacing w:after="0"/>
              <w:rPr>
                <w:sz w:val="21"/>
                <w:szCs w:val="21"/>
                <w:color w:val="auto"/>
              </w:rPr>
            </w:pPr>
          </w:p>
        </w:tc>
        <w:tc>
          <w:tcPr>
            <w:tcW w:w="880" w:type="dxa"/>
            <w:vAlign w:val="bottom"/>
            <w:shd w:val="clear" w:color="auto" w:fill="E2E6F4"/>
          </w:tcPr>
          <w:p>
            <w:pPr>
              <w:jc w:val="right"/>
              <w:spacing w:after="0"/>
              <w:rPr>
                <w:sz w:val="20"/>
                <w:szCs w:val="20"/>
                <w:color w:val="auto"/>
              </w:rPr>
            </w:pPr>
            <w:r>
              <w:rPr>
                <w:rFonts w:ascii="Arial" w:cs="Arial" w:eastAsia="Arial" w:hAnsi="Arial"/>
                <w:sz w:val="16"/>
                <w:szCs w:val="16"/>
                <w:color w:val="auto"/>
              </w:rPr>
              <w:t>9/10/2024</w:t>
            </w:r>
          </w:p>
        </w:tc>
        <w:tc>
          <w:tcPr>
            <w:tcW w:w="960" w:type="dxa"/>
            <w:vAlign w:val="bottom"/>
            <w:shd w:val="clear" w:color="auto" w:fill="E2E6F4"/>
          </w:tcPr>
          <w:p>
            <w:pPr>
              <w:jc w:val="right"/>
              <w:spacing w:after="0"/>
              <w:rPr>
                <w:sz w:val="20"/>
                <w:szCs w:val="20"/>
                <w:color w:val="auto"/>
              </w:rPr>
            </w:pPr>
            <w:r>
              <w:rPr>
                <w:rFonts w:ascii="Arial" w:cs="Arial" w:eastAsia="Arial" w:hAnsi="Arial"/>
                <w:sz w:val="16"/>
                <w:szCs w:val="16"/>
                <w:color w:val="auto"/>
              </w:rPr>
              <w:t>—</w:t>
            </w:r>
          </w:p>
        </w:tc>
        <w:tc>
          <w:tcPr>
            <w:tcW w:w="1080" w:type="dxa"/>
            <w:vAlign w:val="bottom"/>
            <w:shd w:val="clear" w:color="auto" w:fill="E2E6F4"/>
          </w:tcPr>
          <w:p>
            <w:pPr>
              <w:ind w:left="840"/>
              <w:spacing w:after="0"/>
              <w:rPr>
                <w:sz w:val="20"/>
                <w:szCs w:val="20"/>
                <w:color w:val="auto"/>
              </w:rPr>
            </w:pPr>
            <w:r>
              <w:rPr>
                <w:rFonts w:ascii="Arial" w:cs="Arial" w:eastAsia="Arial" w:hAnsi="Arial"/>
                <w:sz w:val="16"/>
                <w:szCs w:val="16"/>
                <w:color w:val="auto"/>
              </w:rPr>
              <w:t>—</w:t>
            </w:r>
          </w:p>
        </w:tc>
        <w:tc>
          <w:tcPr>
            <w:tcW w:w="1020" w:type="dxa"/>
            <w:vAlign w:val="bottom"/>
            <w:shd w:val="clear" w:color="auto" w:fill="E2E6F4"/>
          </w:tcPr>
          <w:p>
            <w:pPr>
              <w:ind w:left="780"/>
              <w:spacing w:after="0"/>
              <w:rPr>
                <w:sz w:val="20"/>
                <w:szCs w:val="20"/>
                <w:color w:val="auto"/>
              </w:rPr>
            </w:pPr>
            <w:r>
              <w:rPr>
                <w:rFonts w:ascii="Arial" w:cs="Arial" w:eastAsia="Arial" w:hAnsi="Arial"/>
                <w:sz w:val="16"/>
                <w:szCs w:val="16"/>
                <w:color w:val="auto"/>
              </w:rPr>
              <w:t>—</w:t>
            </w:r>
          </w:p>
        </w:tc>
        <w:tc>
          <w:tcPr>
            <w:tcW w:w="700" w:type="dxa"/>
            <w:vAlign w:val="bottom"/>
            <w:shd w:val="clear" w:color="auto" w:fill="E2E6F4"/>
          </w:tcPr>
          <w:p>
            <w:pPr>
              <w:jc w:val="right"/>
              <w:spacing w:after="0"/>
              <w:rPr>
                <w:sz w:val="20"/>
                <w:szCs w:val="20"/>
                <w:color w:val="auto"/>
              </w:rPr>
            </w:pPr>
            <w:r>
              <w:rPr>
                <w:rFonts w:ascii="Arial" w:cs="Arial" w:eastAsia="Arial" w:hAnsi="Arial"/>
                <w:sz w:val="16"/>
                <w:szCs w:val="16"/>
                <w:color w:val="auto"/>
              </w:rPr>
              <w:t>—</w:t>
            </w:r>
          </w:p>
        </w:tc>
        <w:tc>
          <w:tcPr>
            <w:tcW w:w="1060" w:type="dxa"/>
            <w:vAlign w:val="bottom"/>
            <w:shd w:val="clear" w:color="auto" w:fill="E2E6F4"/>
          </w:tcPr>
          <w:p>
            <w:pPr>
              <w:jc w:val="right"/>
              <w:ind w:right="119"/>
              <w:spacing w:after="0"/>
              <w:rPr>
                <w:sz w:val="20"/>
                <w:szCs w:val="20"/>
                <w:color w:val="auto"/>
              </w:rPr>
            </w:pPr>
            <w:r>
              <w:rPr>
                <w:rFonts w:ascii="Arial" w:cs="Arial" w:eastAsia="Arial" w:hAnsi="Arial"/>
                <w:sz w:val="16"/>
                <w:szCs w:val="16"/>
                <w:color w:val="auto"/>
              </w:rPr>
              <w:t>—</w:t>
            </w:r>
          </w:p>
        </w:tc>
        <w:tc>
          <w:tcPr>
            <w:tcW w:w="1100" w:type="dxa"/>
            <w:vAlign w:val="bottom"/>
            <w:shd w:val="clear" w:color="auto" w:fill="E2E6F4"/>
          </w:tcPr>
          <w:p>
            <w:pPr>
              <w:jc w:val="right"/>
              <w:ind w:right="40"/>
              <w:spacing w:after="0"/>
              <w:rPr>
                <w:sz w:val="20"/>
                <w:szCs w:val="20"/>
                <w:color w:val="auto"/>
              </w:rPr>
            </w:pPr>
            <w:r>
              <w:rPr>
                <w:rFonts w:ascii="Arial" w:cs="Arial" w:eastAsia="Arial" w:hAnsi="Arial"/>
                <w:sz w:val="16"/>
                <w:szCs w:val="16"/>
                <w:color w:val="auto"/>
              </w:rPr>
              <w:t>17,856</w:t>
            </w:r>
          </w:p>
        </w:tc>
        <w:tc>
          <w:tcPr>
            <w:tcW w:w="1000" w:type="dxa"/>
            <w:vAlign w:val="bottom"/>
            <w:shd w:val="clear" w:color="auto" w:fill="E2E6F4"/>
          </w:tcPr>
          <w:p>
            <w:pPr>
              <w:jc w:val="right"/>
              <w:ind w:right="20"/>
              <w:spacing w:after="0"/>
              <w:rPr>
                <w:sz w:val="20"/>
                <w:szCs w:val="20"/>
                <w:color w:val="auto"/>
              </w:rPr>
            </w:pPr>
            <w:r>
              <w:rPr>
                <w:rFonts w:ascii="Arial" w:cs="Arial" w:eastAsia="Arial" w:hAnsi="Arial"/>
                <w:sz w:val="16"/>
                <w:szCs w:val="16"/>
                <w:color w:val="auto"/>
              </w:rPr>
              <w:t>4,180,625</w:t>
            </w:r>
          </w:p>
        </w:tc>
        <w:tc>
          <w:tcPr>
            <w:tcW w:w="1040" w:type="dxa"/>
            <w:vAlign w:val="bottom"/>
            <w:shd w:val="clear" w:color="auto" w:fill="E2E6F4"/>
          </w:tcPr>
          <w:p>
            <w:pPr>
              <w:jc w:val="right"/>
              <w:ind w:right="1"/>
              <w:spacing w:after="0"/>
              <w:rPr>
                <w:sz w:val="20"/>
                <w:szCs w:val="20"/>
                <w:color w:val="auto"/>
              </w:rPr>
            </w:pPr>
            <w:r>
              <w:rPr>
                <w:rFonts w:ascii="Arial" w:cs="Arial" w:eastAsia="Arial" w:hAnsi="Arial"/>
                <w:sz w:val="16"/>
                <w:szCs w:val="16"/>
                <w:color w:val="auto"/>
              </w:rPr>
              <w:t>65,170</w:t>
            </w:r>
          </w:p>
        </w:tc>
        <w:tc>
          <w:tcPr>
            <w:tcW w:w="340" w:type="dxa"/>
            <w:vAlign w:val="bottom"/>
            <w:shd w:val="clear" w:color="auto" w:fill="E2E6F4"/>
          </w:tcPr>
          <w:p>
            <w:pPr>
              <w:jc w:val="right"/>
              <w:spacing w:after="0"/>
              <w:rPr>
                <w:sz w:val="20"/>
                <w:szCs w:val="20"/>
                <w:color w:val="auto"/>
              </w:rPr>
            </w:pPr>
            <w:r>
              <w:rPr>
                <w:rFonts w:ascii="Arial" w:cs="Arial" w:eastAsia="Arial" w:hAnsi="Arial"/>
                <w:sz w:val="11"/>
                <w:szCs w:val="11"/>
                <w:color w:val="auto"/>
                <w:w w:val="93"/>
              </w:rPr>
              <w:t>(4),(5)</w:t>
            </w:r>
          </w:p>
        </w:tc>
        <w:tc>
          <w:tcPr>
            <w:tcW w:w="1180" w:type="dxa"/>
            <w:vAlign w:val="bottom"/>
            <w:shd w:val="clear" w:color="auto" w:fill="E2E6F4"/>
          </w:tcPr>
          <w:p>
            <w:pPr>
              <w:jc w:val="right"/>
              <w:spacing w:after="0"/>
              <w:rPr>
                <w:sz w:val="20"/>
                <w:szCs w:val="20"/>
                <w:color w:val="auto"/>
              </w:rPr>
            </w:pPr>
            <w:r>
              <w:rPr>
                <w:rFonts w:ascii="Arial" w:cs="Arial" w:eastAsia="Arial" w:hAnsi="Arial"/>
                <w:sz w:val="16"/>
                <w:szCs w:val="16"/>
                <w:color w:val="auto"/>
              </w:rPr>
              <w:t>15,258,252</w:t>
            </w:r>
          </w:p>
        </w:tc>
        <w:tc>
          <w:tcPr>
            <w:tcW w:w="0" w:type="dxa"/>
            <w:vAlign w:val="bottom"/>
          </w:tcPr>
          <w:p>
            <w:pPr>
              <w:spacing w:after="0"/>
              <w:rPr>
                <w:sz w:val="1"/>
                <w:szCs w:val="1"/>
                <w:color w:val="auto"/>
              </w:rPr>
            </w:pPr>
          </w:p>
        </w:tc>
      </w:tr>
      <w:tr>
        <w:trPr>
          <w:trHeight w:val="281"/>
        </w:trPr>
        <w:tc>
          <w:tcPr>
            <w:tcW w:w="880" w:type="dxa"/>
            <w:vAlign w:val="bottom"/>
            <w:shd w:val="clear" w:color="auto" w:fill="E2E6F4"/>
          </w:tcPr>
          <w:p>
            <w:pPr>
              <w:spacing w:after="0"/>
              <w:rPr>
                <w:sz w:val="24"/>
                <w:szCs w:val="24"/>
                <w:color w:val="auto"/>
              </w:rPr>
            </w:pPr>
          </w:p>
        </w:tc>
        <w:tc>
          <w:tcPr>
            <w:tcW w:w="880" w:type="dxa"/>
            <w:vAlign w:val="bottom"/>
            <w:shd w:val="clear" w:color="auto" w:fill="E2E6F4"/>
          </w:tcPr>
          <w:p>
            <w:pPr>
              <w:jc w:val="right"/>
              <w:spacing w:after="0"/>
              <w:rPr>
                <w:sz w:val="20"/>
                <w:szCs w:val="20"/>
                <w:color w:val="auto"/>
              </w:rPr>
            </w:pPr>
            <w:r>
              <w:rPr>
                <w:rFonts w:ascii="Arial" w:cs="Arial" w:eastAsia="Arial" w:hAnsi="Arial"/>
                <w:sz w:val="16"/>
                <w:szCs w:val="16"/>
                <w:color w:val="auto"/>
              </w:rPr>
              <w:t>4/8/2025</w:t>
            </w:r>
          </w:p>
        </w:tc>
        <w:tc>
          <w:tcPr>
            <w:tcW w:w="960" w:type="dxa"/>
            <w:vAlign w:val="bottom"/>
            <w:shd w:val="clear" w:color="auto" w:fill="E2E6F4"/>
          </w:tcPr>
          <w:p>
            <w:pPr>
              <w:jc w:val="right"/>
              <w:spacing w:after="0"/>
              <w:rPr>
                <w:sz w:val="20"/>
                <w:szCs w:val="20"/>
                <w:color w:val="auto"/>
              </w:rPr>
            </w:pPr>
            <w:r>
              <w:rPr>
                <w:rFonts w:ascii="Arial" w:cs="Arial" w:eastAsia="Arial" w:hAnsi="Arial"/>
                <w:sz w:val="16"/>
                <w:szCs w:val="16"/>
                <w:color w:val="auto"/>
              </w:rPr>
              <w:t>—</w:t>
            </w:r>
          </w:p>
        </w:tc>
        <w:tc>
          <w:tcPr>
            <w:tcW w:w="1080" w:type="dxa"/>
            <w:vAlign w:val="bottom"/>
            <w:shd w:val="clear" w:color="auto" w:fill="E2E6F4"/>
          </w:tcPr>
          <w:p>
            <w:pPr>
              <w:ind w:left="840"/>
              <w:spacing w:after="0"/>
              <w:rPr>
                <w:sz w:val="20"/>
                <w:szCs w:val="20"/>
                <w:color w:val="auto"/>
              </w:rPr>
            </w:pPr>
            <w:r>
              <w:rPr>
                <w:rFonts w:ascii="Arial" w:cs="Arial" w:eastAsia="Arial" w:hAnsi="Arial"/>
                <w:sz w:val="16"/>
                <w:szCs w:val="16"/>
                <w:color w:val="auto"/>
              </w:rPr>
              <w:t>—</w:t>
            </w:r>
          </w:p>
        </w:tc>
        <w:tc>
          <w:tcPr>
            <w:tcW w:w="1020" w:type="dxa"/>
            <w:vAlign w:val="bottom"/>
            <w:shd w:val="clear" w:color="auto" w:fill="E2E6F4"/>
          </w:tcPr>
          <w:p>
            <w:pPr>
              <w:ind w:left="780"/>
              <w:spacing w:after="0"/>
              <w:rPr>
                <w:sz w:val="20"/>
                <w:szCs w:val="20"/>
                <w:color w:val="auto"/>
              </w:rPr>
            </w:pPr>
            <w:r>
              <w:rPr>
                <w:rFonts w:ascii="Arial" w:cs="Arial" w:eastAsia="Arial" w:hAnsi="Arial"/>
                <w:sz w:val="16"/>
                <w:szCs w:val="16"/>
                <w:color w:val="auto"/>
              </w:rPr>
              <w:t>—</w:t>
            </w:r>
          </w:p>
        </w:tc>
        <w:tc>
          <w:tcPr>
            <w:tcW w:w="700" w:type="dxa"/>
            <w:vAlign w:val="bottom"/>
            <w:shd w:val="clear" w:color="auto" w:fill="E2E6F4"/>
          </w:tcPr>
          <w:p>
            <w:pPr>
              <w:jc w:val="right"/>
              <w:spacing w:after="0"/>
              <w:rPr>
                <w:sz w:val="20"/>
                <w:szCs w:val="20"/>
                <w:color w:val="auto"/>
              </w:rPr>
            </w:pPr>
            <w:r>
              <w:rPr>
                <w:rFonts w:ascii="Arial" w:cs="Arial" w:eastAsia="Arial" w:hAnsi="Arial"/>
                <w:sz w:val="16"/>
                <w:szCs w:val="16"/>
                <w:color w:val="auto"/>
              </w:rPr>
              <w:t>—</w:t>
            </w:r>
          </w:p>
        </w:tc>
        <w:tc>
          <w:tcPr>
            <w:tcW w:w="1060" w:type="dxa"/>
            <w:vAlign w:val="bottom"/>
            <w:shd w:val="clear" w:color="auto" w:fill="E2E6F4"/>
          </w:tcPr>
          <w:p>
            <w:pPr>
              <w:jc w:val="right"/>
              <w:ind w:right="119"/>
              <w:spacing w:after="0"/>
              <w:rPr>
                <w:sz w:val="20"/>
                <w:szCs w:val="20"/>
                <w:color w:val="auto"/>
              </w:rPr>
            </w:pPr>
            <w:r>
              <w:rPr>
                <w:rFonts w:ascii="Arial" w:cs="Arial" w:eastAsia="Arial" w:hAnsi="Arial"/>
                <w:sz w:val="16"/>
                <w:szCs w:val="16"/>
                <w:color w:val="auto"/>
              </w:rPr>
              <w:t>—</w:t>
            </w:r>
          </w:p>
        </w:tc>
        <w:tc>
          <w:tcPr>
            <w:tcW w:w="1100" w:type="dxa"/>
            <w:vAlign w:val="bottom"/>
            <w:shd w:val="clear" w:color="auto" w:fill="E2E6F4"/>
          </w:tcPr>
          <w:p>
            <w:pPr>
              <w:jc w:val="right"/>
              <w:ind w:right="40"/>
              <w:spacing w:after="0"/>
              <w:rPr>
                <w:sz w:val="20"/>
                <w:szCs w:val="20"/>
                <w:color w:val="auto"/>
              </w:rPr>
            </w:pPr>
            <w:r>
              <w:rPr>
                <w:rFonts w:ascii="Arial" w:cs="Arial" w:eastAsia="Arial" w:hAnsi="Arial"/>
                <w:sz w:val="16"/>
                <w:szCs w:val="16"/>
                <w:color w:val="auto"/>
              </w:rPr>
              <w:t>35,084</w:t>
            </w:r>
          </w:p>
        </w:tc>
        <w:tc>
          <w:tcPr>
            <w:tcW w:w="1000" w:type="dxa"/>
            <w:vAlign w:val="bottom"/>
            <w:shd w:val="clear" w:color="auto" w:fill="E2E6F4"/>
          </w:tcPr>
          <w:p>
            <w:pPr>
              <w:jc w:val="right"/>
              <w:ind w:right="20"/>
              <w:spacing w:after="0"/>
              <w:rPr>
                <w:sz w:val="20"/>
                <w:szCs w:val="20"/>
                <w:color w:val="auto"/>
              </w:rPr>
            </w:pPr>
            <w:r>
              <w:rPr>
                <w:rFonts w:ascii="Arial" w:cs="Arial" w:eastAsia="Arial" w:hAnsi="Arial"/>
                <w:sz w:val="16"/>
                <w:szCs w:val="16"/>
                <w:color w:val="auto"/>
              </w:rPr>
              <w:t>8,214,217</w:t>
            </w:r>
          </w:p>
        </w:tc>
        <w:tc>
          <w:tcPr>
            <w:tcW w:w="1040" w:type="dxa"/>
            <w:vAlign w:val="bottom"/>
            <w:shd w:val="clear" w:color="auto" w:fill="E2E6F4"/>
          </w:tcPr>
          <w:p>
            <w:pPr>
              <w:jc w:val="right"/>
              <w:ind w:right="1"/>
              <w:spacing w:after="0"/>
              <w:rPr>
                <w:sz w:val="20"/>
                <w:szCs w:val="20"/>
                <w:color w:val="auto"/>
              </w:rPr>
            </w:pPr>
            <w:r>
              <w:rPr>
                <w:rFonts w:ascii="Arial" w:cs="Arial" w:eastAsia="Arial" w:hAnsi="Arial"/>
                <w:sz w:val="16"/>
                <w:szCs w:val="16"/>
                <w:color w:val="auto"/>
              </w:rPr>
              <w:t>99,466</w:t>
            </w:r>
          </w:p>
        </w:tc>
        <w:tc>
          <w:tcPr>
            <w:tcW w:w="340" w:type="dxa"/>
            <w:vAlign w:val="bottom"/>
            <w:shd w:val="clear" w:color="auto" w:fill="E2E6F4"/>
          </w:tcPr>
          <w:p>
            <w:pPr>
              <w:jc w:val="right"/>
              <w:spacing w:after="0"/>
              <w:rPr>
                <w:sz w:val="20"/>
                <w:szCs w:val="20"/>
                <w:color w:val="auto"/>
              </w:rPr>
            </w:pPr>
            <w:r>
              <w:rPr>
                <w:rFonts w:ascii="Arial" w:cs="Arial" w:eastAsia="Arial" w:hAnsi="Arial"/>
                <w:sz w:val="11"/>
                <w:szCs w:val="11"/>
                <w:color w:val="auto"/>
                <w:w w:val="93"/>
              </w:rPr>
              <w:t>(4),(5)</w:t>
            </w:r>
          </w:p>
        </w:tc>
        <w:tc>
          <w:tcPr>
            <w:tcW w:w="1180" w:type="dxa"/>
            <w:vAlign w:val="bottom"/>
            <w:shd w:val="clear" w:color="auto" w:fill="E2E6F4"/>
          </w:tcPr>
          <w:p>
            <w:pPr>
              <w:jc w:val="right"/>
              <w:spacing w:after="0"/>
              <w:rPr>
                <w:sz w:val="20"/>
                <w:szCs w:val="20"/>
                <w:color w:val="auto"/>
              </w:rPr>
            </w:pPr>
            <w:r>
              <w:rPr>
                <w:rFonts w:ascii="Arial" w:cs="Arial" w:eastAsia="Arial" w:hAnsi="Arial"/>
                <w:sz w:val="16"/>
                <w:szCs w:val="16"/>
                <w:color w:val="auto"/>
              </w:rPr>
              <w:t>23,287,975</w:t>
            </w:r>
          </w:p>
        </w:tc>
        <w:tc>
          <w:tcPr>
            <w:tcW w:w="0" w:type="dxa"/>
            <w:vAlign w:val="bottom"/>
          </w:tcPr>
          <w:p>
            <w:pPr>
              <w:spacing w:after="0"/>
              <w:rPr>
                <w:sz w:val="1"/>
                <w:szCs w:val="1"/>
                <w:color w:val="auto"/>
              </w:rPr>
            </w:pPr>
          </w:p>
        </w:tc>
      </w:tr>
      <w:tr>
        <w:trPr>
          <w:trHeight w:val="215"/>
        </w:trPr>
        <w:tc>
          <w:tcPr>
            <w:tcW w:w="880" w:type="dxa"/>
            <w:vAlign w:val="bottom"/>
          </w:tcPr>
          <w:p>
            <w:pPr>
              <w:ind w:left="20"/>
              <w:spacing w:after="0"/>
              <w:rPr>
                <w:sz w:val="20"/>
                <w:szCs w:val="20"/>
                <w:color w:val="auto"/>
              </w:rPr>
            </w:pPr>
            <w:r>
              <w:rPr>
                <w:rFonts w:ascii="Arial" w:cs="Arial" w:eastAsia="Arial" w:hAnsi="Arial"/>
                <w:sz w:val="16"/>
                <w:szCs w:val="16"/>
                <w:b w:val="1"/>
                <w:bCs w:val="1"/>
                <w:color w:val="0067B3"/>
              </w:rPr>
              <w:t>Richard C.</w:t>
            </w:r>
          </w:p>
        </w:tc>
        <w:tc>
          <w:tcPr>
            <w:tcW w:w="880" w:type="dxa"/>
            <w:vAlign w:val="bottom"/>
          </w:tcPr>
          <w:p>
            <w:pPr>
              <w:jc w:val="right"/>
              <w:spacing w:after="0"/>
              <w:rPr>
                <w:sz w:val="20"/>
                <w:szCs w:val="20"/>
                <w:color w:val="auto"/>
              </w:rPr>
            </w:pPr>
            <w:r>
              <w:rPr>
                <w:rFonts w:ascii="Arial" w:cs="Arial" w:eastAsia="Arial" w:hAnsi="Arial"/>
                <w:sz w:val="16"/>
                <w:szCs w:val="16"/>
                <w:color w:val="auto"/>
              </w:rPr>
              <w:t>3/15/2024</w:t>
            </w:r>
          </w:p>
        </w:tc>
        <w:tc>
          <w:tcPr>
            <w:tcW w:w="960" w:type="dxa"/>
            <w:vAlign w:val="bottom"/>
          </w:tcPr>
          <w:p>
            <w:pPr>
              <w:jc w:val="right"/>
              <w:spacing w:after="0"/>
              <w:rPr>
                <w:sz w:val="20"/>
                <w:szCs w:val="20"/>
                <w:color w:val="auto"/>
              </w:rPr>
            </w:pPr>
            <w:r>
              <w:rPr>
                <w:rFonts w:ascii="Arial" w:cs="Arial" w:eastAsia="Arial" w:hAnsi="Arial"/>
                <w:sz w:val="16"/>
                <w:szCs w:val="16"/>
                <w:color w:val="auto"/>
              </w:rPr>
              <w:t>—</w:t>
            </w:r>
          </w:p>
        </w:tc>
        <w:tc>
          <w:tcPr>
            <w:tcW w:w="1080" w:type="dxa"/>
            <w:vAlign w:val="bottom"/>
          </w:tcPr>
          <w:p>
            <w:pPr>
              <w:ind w:left="840"/>
              <w:spacing w:after="0"/>
              <w:rPr>
                <w:sz w:val="20"/>
                <w:szCs w:val="20"/>
                <w:color w:val="auto"/>
              </w:rPr>
            </w:pPr>
            <w:r>
              <w:rPr>
                <w:rFonts w:ascii="Arial" w:cs="Arial" w:eastAsia="Arial" w:hAnsi="Arial"/>
                <w:sz w:val="16"/>
                <w:szCs w:val="16"/>
                <w:color w:val="auto"/>
              </w:rPr>
              <w:t>—</w:t>
            </w:r>
          </w:p>
        </w:tc>
        <w:tc>
          <w:tcPr>
            <w:tcW w:w="1020" w:type="dxa"/>
            <w:vAlign w:val="bottom"/>
          </w:tcPr>
          <w:p>
            <w:pPr>
              <w:ind w:left="780"/>
              <w:spacing w:after="0"/>
              <w:rPr>
                <w:sz w:val="20"/>
                <w:szCs w:val="20"/>
                <w:color w:val="auto"/>
              </w:rPr>
            </w:pPr>
            <w:r>
              <w:rPr>
                <w:rFonts w:ascii="Arial" w:cs="Arial" w:eastAsia="Arial" w:hAnsi="Arial"/>
                <w:sz w:val="16"/>
                <w:szCs w:val="16"/>
                <w:color w:val="auto"/>
              </w:rPr>
              <w:t>—</w:t>
            </w:r>
          </w:p>
        </w:tc>
        <w:tc>
          <w:tcPr>
            <w:tcW w:w="700" w:type="dxa"/>
            <w:vAlign w:val="bottom"/>
          </w:tcPr>
          <w:p>
            <w:pPr>
              <w:jc w:val="right"/>
              <w:spacing w:after="0"/>
              <w:rPr>
                <w:sz w:val="20"/>
                <w:szCs w:val="20"/>
                <w:color w:val="auto"/>
              </w:rPr>
            </w:pPr>
            <w:r>
              <w:rPr>
                <w:rFonts w:ascii="Arial" w:cs="Arial" w:eastAsia="Arial" w:hAnsi="Arial"/>
                <w:sz w:val="16"/>
                <w:szCs w:val="16"/>
                <w:color w:val="auto"/>
              </w:rPr>
              <w:t>—</w:t>
            </w:r>
          </w:p>
        </w:tc>
        <w:tc>
          <w:tcPr>
            <w:tcW w:w="106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100" w:type="dxa"/>
            <w:vAlign w:val="bottom"/>
          </w:tcPr>
          <w:p>
            <w:pPr>
              <w:jc w:val="right"/>
              <w:ind w:right="40"/>
              <w:spacing w:after="0"/>
              <w:rPr>
                <w:sz w:val="20"/>
                <w:szCs w:val="20"/>
                <w:color w:val="auto"/>
              </w:rPr>
            </w:pPr>
            <w:r>
              <w:rPr>
                <w:rFonts w:ascii="Arial" w:cs="Arial" w:eastAsia="Arial" w:hAnsi="Arial"/>
                <w:sz w:val="16"/>
                <w:szCs w:val="16"/>
                <w:color w:val="auto"/>
              </w:rPr>
              <w:t>35,414</w:t>
            </w:r>
          </w:p>
        </w:tc>
        <w:tc>
          <w:tcPr>
            <w:tcW w:w="1000" w:type="dxa"/>
            <w:vAlign w:val="bottom"/>
          </w:tcPr>
          <w:p>
            <w:pPr>
              <w:jc w:val="right"/>
              <w:ind w:right="20"/>
              <w:spacing w:after="0"/>
              <w:rPr>
                <w:sz w:val="20"/>
                <w:szCs w:val="20"/>
                <w:color w:val="auto"/>
              </w:rPr>
            </w:pPr>
            <w:r>
              <w:rPr>
                <w:rFonts w:ascii="Arial" w:cs="Arial" w:eastAsia="Arial" w:hAnsi="Arial"/>
                <w:sz w:val="16"/>
                <w:szCs w:val="16"/>
                <w:color w:val="auto"/>
              </w:rPr>
              <w:t>8,291,480</w:t>
            </w:r>
          </w:p>
        </w:tc>
        <w:tc>
          <w:tcPr>
            <w:tcW w:w="1040" w:type="dxa"/>
            <w:vAlign w:val="bottom"/>
          </w:tcPr>
          <w:p>
            <w:pPr>
              <w:jc w:val="right"/>
              <w:ind w:right="1"/>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96"/>
        </w:trPr>
        <w:tc>
          <w:tcPr>
            <w:tcW w:w="880" w:type="dxa"/>
            <w:vAlign w:val="bottom"/>
          </w:tcPr>
          <w:p>
            <w:pPr>
              <w:ind w:left="20"/>
              <w:spacing w:after="0"/>
              <w:rPr>
                <w:sz w:val="20"/>
                <w:szCs w:val="20"/>
                <w:color w:val="auto"/>
              </w:rPr>
            </w:pPr>
            <w:r>
              <w:rPr>
                <w:rFonts w:ascii="Arial" w:cs="Arial" w:eastAsia="Arial" w:hAnsi="Arial"/>
                <w:sz w:val="16"/>
                <w:szCs w:val="16"/>
                <w:b w:val="1"/>
                <w:bCs w:val="1"/>
                <w:color w:val="0067B3"/>
              </w:rPr>
              <w:t>Puccio, Jr.</w:t>
            </w:r>
          </w:p>
        </w:tc>
        <w:tc>
          <w:tcPr>
            <w:tcW w:w="880" w:type="dxa"/>
            <w:vAlign w:val="bottom"/>
          </w:tcPr>
          <w:p>
            <w:pPr>
              <w:jc w:val="right"/>
              <w:spacing w:after="0"/>
              <w:rPr>
                <w:sz w:val="20"/>
                <w:szCs w:val="20"/>
                <w:color w:val="auto"/>
              </w:rPr>
            </w:pPr>
            <w:r>
              <w:rPr>
                <w:rFonts w:ascii="Arial" w:cs="Arial" w:eastAsia="Arial" w:hAnsi="Arial"/>
                <w:sz w:val="16"/>
                <w:szCs w:val="16"/>
                <w:color w:val="auto"/>
              </w:rPr>
              <w:t>9/10/2024</w:t>
            </w:r>
          </w:p>
        </w:tc>
        <w:tc>
          <w:tcPr>
            <w:tcW w:w="960" w:type="dxa"/>
            <w:vAlign w:val="bottom"/>
          </w:tcPr>
          <w:p>
            <w:pPr>
              <w:jc w:val="right"/>
              <w:spacing w:after="0"/>
              <w:rPr>
                <w:sz w:val="20"/>
                <w:szCs w:val="20"/>
                <w:color w:val="auto"/>
              </w:rPr>
            </w:pPr>
            <w:r>
              <w:rPr>
                <w:rFonts w:ascii="Arial" w:cs="Arial" w:eastAsia="Arial" w:hAnsi="Arial"/>
                <w:sz w:val="16"/>
                <w:szCs w:val="16"/>
                <w:color w:val="auto"/>
              </w:rPr>
              <w:t>—</w:t>
            </w:r>
          </w:p>
        </w:tc>
        <w:tc>
          <w:tcPr>
            <w:tcW w:w="1080" w:type="dxa"/>
            <w:vAlign w:val="bottom"/>
          </w:tcPr>
          <w:p>
            <w:pPr>
              <w:ind w:left="840"/>
              <w:spacing w:after="0"/>
              <w:rPr>
                <w:sz w:val="20"/>
                <w:szCs w:val="20"/>
                <w:color w:val="auto"/>
              </w:rPr>
            </w:pPr>
            <w:r>
              <w:rPr>
                <w:rFonts w:ascii="Arial" w:cs="Arial" w:eastAsia="Arial" w:hAnsi="Arial"/>
                <w:sz w:val="16"/>
                <w:szCs w:val="16"/>
                <w:color w:val="auto"/>
              </w:rPr>
              <w:t>—</w:t>
            </w:r>
          </w:p>
        </w:tc>
        <w:tc>
          <w:tcPr>
            <w:tcW w:w="1020" w:type="dxa"/>
            <w:vAlign w:val="bottom"/>
          </w:tcPr>
          <w:p>
            <w:pPr>
              <w:ind w:left="780"/>
              <w:spacing w:after="0"/>
              <w:rPr>
                <w:sz w:val="20"/>
                <w:szCs w:val="20"/>
                <w:color w:val="auto"/>
              </w:rPr>
            </w:pPr>
            <w:r>
              <w:rPr>
                <w:rFonts w:ascii="Arial" w:cs="Arial" w:eastAsia="Arial" w:hAnsi="Arial"/>
                <w:sz w:val="16"/>
                <w:szCs w:val="16"/>
                <w:color w:val="auto"/>
              </w:rPr>
              <w:t>—</w:t>
            </w:r>
          </w:p>
        </w:tc>
        <w:tc>
          <w:tcPr>
            <w:tcW w:w="700" w:type="dxa"/>
            <w:vAlign w:val="bottom"/>
          </w:tcPr>
          <w:p>
            <w:pPr>
              <w:jc w:val="right"/>
              <w:spacing w:after="0"/>
              <w:rPr>
                <w:sz w:val="20"/>
                <w:szCs w:val="20"/>
                <w:color w:val="auto"/>
              </w:rPr>
            </w:pPr>
            <w:r>
              <w:rPr>
                <w:rFonts w:ascii="Arial" w:cs="Arial" w:eastAsia="Arial" w:hAnsi="Arial"/>
                <w:sz w:val="16"/>
                <w:szCs w:val="16"/>
                <w:color w:val="auto"/>
              </w:rPr>
              <w:t>—</w:t>
            </w:r>
          </w:p>
        </w:tc>
        <w:tc>
          <w:tcPr>
            <w:tcW w:w="106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100" w:type="dxa"/>
            <w:vAlign w:val="bottom"/>
          </w:tcPr>
          <w:p>
            <w:pPr>
              <w:jc w:val="right"/>
              <w:ind w:right="40"/>
              <w:spacing w:after="0"/>
              <w:rPr>
                <w:sz w:val="20"/>
                <w:szCs w:val="20"/>
                <w:color w:val="auto"/>
              </w:rPr>
            </w:pPr>
            <w:r>
              <w:rPr>
                <w:rFonts w:ascii="Arial" w:cs="Arial" w:eastAsia="Arial" w:hAnsi="Arial"/>
                <w:sz w:val="16"/>
                <w:szCs w:val="16"/>
                <w:color w:val="auto"/>
              </w:rPr>
              <w:t>6,875</w:t>
            </w:r>
          </w:p>
        </w:tc>
        <w:tc>
          <w:tcPr>
            <w:tcW w:w="1000" w:type="dxa"/>
            <w:vAlign w:val="bottom"/>
          </w:tcPr>
          <w:p>
            <w:pPr>
              <w:jc w:val="right"/>
              <w:ind w:right="20"/>
              <w:spacing w:after="0"/>
              <w:rPr>
                <w:sz w:val="20"/>
                <w:szCs w:val="20"/>
                <w:color w:val="auto"/>
              </w:rPr>
            </w:pPr>
            <w:r>
              <w:rPr>
                <w:rFonts w:ascii="Arial" w:cs="Arial" w:eastAsia="Arial" w:hAnsi="Arial"/>
                <w:sz w:val="16"/>
                <w:szCs w:val="16"/>
                <w:color w:val="auto"/>
              </w:rPr>
              <w:t>1,609,644</w:t>
            </w:r>
          </w:p>
        </w:tc>
        <w:tc>
          <w:tcPr>
            <w:tcW w:w="1040" w:type="dxa"/>
            <w:vAlign w:val="bottom"/>
          </w:tcPr>
          <w:p>
            <w:pPr>
              <w:jc w:val="right"/>
              <w:ind w:right="1"/>
              <w:spacing w:after="0"/>
              <w:rPr>
                <w:sz w:val="20"/>
                <w:szCs w:val="20"/>
                <w:color w:val="auto"/>
              </w:rPr>
            </w:pPr>
            <w:r>
              <w:rPr>
                <w:rFonts w:ascii="Arial" w:cs="Arial" w:eastAsia="Arial" w:hAnsi="Arial"/>
                <w:sz w:val="16"/>
                <w:szCs w:val="16"/>
                <w:color w:val="auto"/>
              </w:rPr>
              <w:t>15,551</w:t>
            </w:r>
          </w:p>
        </w:tc>
        <w:tc>
          <w:tcPr>
            <w:tcW w:w="340" w:type="dxa"/>
            <w:vAlign w:val="bottom"/>
          </w:tcPr>
          <w:p>
            <w:pPr>
              <w:jc w:val="right"/>
              <w:spacing w:after="0"/>
              <w:rPr>
                <w:sz w:val="20"/>
                <w:szCs w:val="20"/>
                <w:color w:val="auto"/>
              </w:rPr>
            </w:pPr>
            <w:r>
              <w:rPr>
                <w:rFonts w:ascii="Arial" w:cs="Arial" w:eastAsia="Arial" w:hAnsi="Arial"/>
                <w:sz w:val="11"/>
                <w:szCs w:val="11"/>
                <w:color w:val="auto"/>
                <w:w w:val="93"/>
              </w:rPr>
              <w:t>(4),(5)</w:t>
            </w:r>
          </w:p>
        </w:tc>
        <w:tc>
          <w:tcPr>
            <w:tcW w:w="1180" w:type="dxa"/>
            <w:vAlign w:val="bottom"/>
          </w:tcPr>
          <w:p>
            <w:pPr>
              <w:jc w:val="right"/>
              <w:spacing w:after="0"/>
              <w:rPr>
                <w:sz w:val="20"/>
                <w:szCs w:val="20"/>
                <w:color w:val="auto"/>
              </w:rPr>
            </w:pPr>
            <w:r>
              <w:rPr>
                <w:rFonts w:ascii="Arial" w:cs="Arial" w:eastAsia="Arial" w:hAnsi="Arial"/>
                <w:sz w:val="16"/>
                <w:szCs w:val="16"/>
                <w:color w:val="auto"/>
              </w:rPr>
              <w:t>3,640,956</w:t>
            </w:r>
          </w:p>
        </w:tc>
        <w:tc>
          <w:tcPr>
            <w:tcW w:w="0" w:type="dxa"/>
            <w:vAlign w:val="bottom"/>
          </w:tcPr>
          <w:p>
            <w:pPr>
              <w:spacing w:after="0"/>
              <w:rPr>
                <w:sz w:val="1"/>
                <w:szCs w:val="1"/>
                <w:color w:val="auto"/>
              </w:rPr>
            </w:pPr>
          </w:p>
        </w:tc>
      </w:tr>
      <w:tr>
        <w:trPr>
          <w:trHeight w:val="324"/>
        </w:trPr>
        <w:tc>
          <w:tcPr>
            <w:tcW w:w="88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4/8/2025</w:t>
            </w:r>
          </w:p>
        </w:tc>
        <w:tc>
          <w:tcPr>
            <w:tcW w:w="960" w:type="dxa"/>
            <w:vAlign w:val="bottom"/>
          </w:tcPr>
          <w:p>
            <w:pPr>
              <w:jc w:val="right"/>
              <w:spacing w:after="0"/>
              <w:rPr>
                <w:sz w:val="20"/>
                <w:szCs w:val="20"/>
                <w:color w:val="auto"/>
              </w:rPr>
            </w:pPr>
            <w:r>
              <w:rPr>
                <w:rFonts w:ascii="Arial" w:cs="Arial" w:eastAsia="Arial" w:hAnsi="Arial"/>
                <w:sz w:val="16"/>
                <w:szCs w:val="16"/>
                <w:color w:val="auto"/>
              </w:rPr>
              <w:t>—</w:t>
            </w:r>
          </w:p>
        </w:tc>
        <w:tc>
          <w:tcPr>
            <w:tcW w:w="1080" w:type="dxa"/>
            <w:vAlign w:val="bottom"/>
          </w:tcPr>
          <w:p>
            <w:pPr>
              <w:ind w:left="840"/>
              <w:spacing w:after="0"/>
              <w:rPr>
                <w:sz w:val="20"/>
                <w:szCs w:val="20"/>
                <w:color w:val="auto"/>
              </w:rPr>
            </w:pPr>
            <w:r>
              <w:rPr>
                <w:rFonts w:ascii="Arial" w:cs="Arial" w:eastAsia="Arial" w:hAnsi="Arial"/>
                <w:sz w:val="16"/>
                <w:szCs w:val="16"/>
                <w:color w:val="auto"/>
              </w:rPr>
              <w:t>—</w:t>
            </w:r>
          </w:p>
        </w:tc>
        <w:tc>
          <w:tcPr>
            <w:tcW w:w="1020" w:type="dxa"/>
            <w:vAlign w:val="bottom"/>
          </w:tcPr>
          <w:p>
            <w:pPr>
              <w:ind w:left="780"/>
              <w:spacing w:after="0"/>
              <w:rPr>
                <w:sz w:val="20"/>
                <w:szCs w:val="20"/>
                <w:color w:val="auto"/>
              </w:rPr>
            </w:pPr>
            <w:r>
              <w:rPr>
                <w:rFonts w:ascii="Arial" w:cs="Arial" w:eastAsia="Arial" w:hAnsi="Arial"/>
                <w:sz w:val="16"/>
                <w:szCs w:val="16"/>
                <w:color w:val="auto"/>
              </w:rPr>
              <w:t>—</w:t>
            </w:r>
          </w:p>
        </w:tc>
        <w:tc>
          <w:tcPr>
            <w:tcW w:w="700" w:type="dxa"/>
            <w:vAlign w:val="bottom"/>
          </w:tcPr>
          <w:p>
            <w:pPr>
              <w:jc w:val="right"/>
              <w:spacing w:after="0"/>
              <w:rPr>
                <w:sz w:val="20"/>
                <w:szCs w:val="20"/>
                <w:color w:val="auto"/>
              </w:rPr>
            </w:pPr>
            <w:r>
              <w:rPr>
                <w:rFonts w:ascii="Arial" w:cs="Arial" w:eastAsia="Arial" w:hAnsi="Arial"/>
                <w:sz w:val="16"/>
                <w:szCs w:val="16"/>
                <w:color w:val="auto"/>
              </w:rPr>
              <w:t>—</w:t>
            </w:r>
          </w:p>
        </w:tc>
        <w:tc>
          <w:tcPr>
            <w:tcW w:w="106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100" w:type="dxa"/>
            <w:vAlign w:val="bottom"/>
          </w:tcPr>
          <w:p>
            <w:pPr>
              <w:jc w:val="right"/>
              <w:ind w:right="40"/>
              <w:spacing w:after="0"/>
              <w:rPr>
                <w:sz w:val="20"/>
                <w:szCs w:val="20"/>
                <w:color w:val="auto"/>
              </w:rPr>
            </w:pPr>
            <w:r>
              <w:rPr>
                <w:rFonts w:ascii="Arial" w:cs="Arial" w:eastAsia="Arial" w:hAnsi="Arial"/>
                <w:sz w:val="16"/>
                <w:szCs w:val="16"/>
                <w:color w:val="auto"/>
              </w:rPr>
              <w:t>12,615</w:t>
            </w:r>
          </w:p>
        </w:tc>
        <w:tc>
          <w:tcPr>
            <w:tcW w:w="1000" w:type="dxa"/>
            <w:vAlign w:val="bottom"/>
          </w:tcPr>
          <w:p>
            <w:pPr>
              <w:jc w:val="right"/>
              <w:ind w:right="20"/>
              <w:spacing w:after="0"/>
              <w:rPr>
                <w:sz w:val="20"/>
                <w:szCs w:val="20"/>
                <w:color w:val="auto"/>
              </w:rPr>
            </w:pPr>
            <w:r>
              <w:rPr>
                <w:rFonts w:ascii="Arial" w:cs="Arial" w:eastAsia="Arial" w:hAnsi="Arial"/>
                <w:sz w:val="16"/>
                <w:szCs w:val="16"/>
                <w:color w:val="auto"/>
              </w:rPr>
              <w:t>2,953,550</w:t>
            </w:r>
          </w:p>
        </w:tc>
        <w:tc>
          <w:tcPr>
            <w:tcW w:w="1040" w:type="dxa"/>
            <w:vAlign w:val="bottom"/>
          </w:tcPr>
          <w:p>
            <w:pPr>
              <w:jc w:val="right"/>
              <w:ind w:right="1"/>
              <w:spacing w:after="0"/>
              <w:rPr>
                <w:sz w:val="20"/>
                <w:szCs w:val="20"/>
                <w:color w:val="auto"/>
              </w:rPr>
            </w:pPr>
            <w:r>
              <w:rPr>
                <w:rFonts w:ascii="Arial" w:cs="Arial" w:eastAsia="Arial" w:hAnsi="Arial"/>
                <w:sz w:val="16"/>
                <w:szCs w:val="16"/>
                <w:color w:val="auto"/>
              </w:rPr>
              <w:t>22,157</w:t>
            </w:r>
          </w:p>
        </w:tc>
        <w:tc>
          <w:tcPr>
            <w:tcW w:w="340" w:type="dxa"/>
            <w:vAlign w:val="bottom"/>
          </w:tcPr>
          <w:p>
            <w:pPr>
              <w:jc w:val="right"/>
              <w:spacing w:after="0"/>
              <w:rPr>
                <w:sz w:val="20"/>
                <w:szCs w:val="20"/>
                <w:color w:val="auto"/>
              </w:rPr>
            </w:pPr>
            <w:r>
              <w:rPr>
                <w:rFonts w:ascii="Arial" w:cs="Arial" w:eastAsia="Arial" w:hAnsi="Arial"/>
                <w:sz w:val="11"/>
                <w:szCs w:val="11"/>
                <w:color w:val="auto"/>
                <w:w w:val="93"/>
              </w:rPr>
              <w:t>(4),(5)</w:t>
            </w:r>
          </w:p>
        </w:tc>
        <w:tc>
          <w:tcPr>
            <w:tcW w:w="1180" w:type="dxa"/>
            <w:vAlign w:val="bottom"/>
          </w:tcPr>
          <w:p>
            <w:pPr>
              <w:jc w:val="right"/>
              <w:spacing w:after="0"/>
              <w:rPr>
                <w:sz w:val="20"/>
                <w:szCs w:val="20"/>
                <w:color w:val="auto"/>
              </w:rPr>
            </w:pPr>
            <w:r>
              <w:rPr>
                <w:rFonts w:ascii="Arial" w:cs="Arial" w:eastAsia="Arial" w:hAnsi="Arial"/>
                <w:sz w:val="16"/>
                <w:szCs w:val="16"/>
                <w:color w:val="auto"/>
              </w:rPr>
              <w:t>5,187,618</w:t>
            </w:r>
          </w:p>
        </w:tc>
        <w:tc>
          <w:tcPr>
            <w:tcW w:w="0" w:type="dxa"/>
            <w:vAlign w:val="bottom"/>
          </w:tcPr>
          <w:p>
            <w:pPr>
              <w:spacing w:after="0"/>
              <w:rPr>
                <w:sz w:val="1"/>
                <w:szCs w:val="1"/>
                <w:color w:val="auto"/>
              </w:rPr>
            </w:pPr>
          </w:p>
        </w:tc>
      </w:tr>
      <w:tr>
        <w:trPr>
          <w:trHeight w:val="96"/>
        </w:trPr>
        <w:tc>
          <w:tcPr>
            <w:tcW w:w="880" w:type="dxa"/>
            <w:vAlign w:val="bottom"/>
          </w:tcPr>
          <w:p>
            <w:pPr>
              <w:spacing w:after="0"/>
              <w:rPr>
                <w:sz w:val="8"/>
                <w:szCs w:val="8"/>
                <w:color w:val="auto"/>
              </w:rPr>
            </w:pPr>
          </w:p>
        </w:tc>
        <w:tc>
          <w:tcPr>
            <w:tcW w:w="880" w:type="dxa"/>
            <w:vAlign w:val="bottom"/>
          </w:tcPr>
          <w:p>
            <w:pPr>
              <w:spacing w:after="0"/>
              <w:rPr>
                <w:sz w:val="8"/>
                <w:szCs w:val="8"/>
                <w:color w:val="auto"/>
              </w:rPr>
            </w:pPr>
          </w:p>
        </w:tc>
        <w:tc>
          <w:tcPr>
            <w:tcW w:w="96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020" w:type="dxa"/>
            <w:vAlign w:val="bottom"/>
          </w:tcPr>
          <w:p>
            <w:pPr>
              <w:spacing w:after="0"/>
              <w:rPr>
                <w:sz w:val="8"/>
                <w:szCs w:val="8"/>
                <w:color w:val="auto"/>
              </w:rPr>
            </w:pPr>
          </w:p>
        </w:tc>
        <w:tc>
          <w:tcPr>
            <w:tcW w:w="70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040" w:type="dxa"/>
            <w:vAlign w:val="bottom"/>
          </w:tcPr>
          <w:p>
            <w:pPr>
              <w:spacing w:after="0"/>
              <w:rPr>
                <w:sz w:val="8"/>
                <w:szCs w:val="8"/>
                <w:color w:val="auto"/>
              </w:rPr>
            </w:pPr>
          </w:p>
        </w:tc>
        <w:tc>
          <w:tcPr>
            <w:tcW w:w="340" w:type="dxa"/>
            <w:vAlign w:val="bottom"/>
          </w:tcPr>
          <w:p>
            <w:pPr>
              <w:spacing w:after="0"/>
              <w:rPr>
                <w:sz w:val="8"/>
                <w:szCs w:val="8"/>
                <w:color w:val="auto"/>
              </w:rPr>
            </w:pPr>
          </w:p>
        </w:tc>
        <w:tc>
          <w:tcPr>
            <w:tcW w:w="11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5"/>
        </w:trPr>
        <w:tc>
          <w:tcPr>
            <w:tcW w:w="880" w:type="dxa"/>
            <w:vAlign w:val="bottom"/>
            <w:shd w:val="clear" w:color="auto" w:fill="E2E6F4"/>
          </w:tcPr>
          <w:p>
            <w:pPr>
              <w:ind w:left="20"/>
              <w:spacing w:after="0"/>
              <w:rPr>
                <w:sz w:val="20"/>
                <w:szCs w:val="20"/>
                <w:color w:val="auto"/>
              </w:rPr>
            </w:pPr>
            <w:r>
              <w:rPr>
                <w:rFonts w:ascii="Arial" w:cs="Arial" w:eastAsia="Arial" w:hAnsi="Arial"/>
                <w:sz w:val="16"/>
                <w:szCs w:val="16"/>
                <w:b w:val="1"/>
                <w:bCs w:val="1"/>
                <w:color w:val="0067B3"/>
              </w:rPr>
              <w:t>Martin</w:t>
            </w:r>
          </w:p>
        </w:tc>
        <w:tc>
          <w:tcPr>
            <w:tcW w:w="880" w:type="dxa"/>
            <w:vAlign w:val="bottom"/>
            <w:shd w:val="clear" w:color="auto" w:fill="E2E6F4"/>
          </w:tcPr>
          <w:p>
            <w:pPr>
              <w:jc w:val="right"/>
              <w:spacing w:after="0"/>
              <w:rPr>
                <w:sz w:val="20"/>
                <w:szCs w:val="20"/>
                <w:color w:val="auto"/>
              </w:rPr>
            </w:pPr>
            <w:r>
              <w:rPr>
                <w:rFonts w:ascii="Arial" w:cs="Arial" w:eastAsia="Arial" w:hAnsi="Arial"/>
                <w:sz w:val="16"/>
                <w:szCs w:val="16"/>
                <w:color w:val="auto"/>
              </w:rPr>
              <w:t>3/8/2017</w:t>
            </w:r>
          </w:p>
        </w:tc>
        <w:tc>
          <w:tcPr>
            <w:tcW w:w="960" w:type="dxa"/>
            <w:vAlign w:val="bottom"/>
            <w:shd w:val="clear" w:color="auto" w:fill="E2E6F4"/>
          </w:tcPr>
          <w:p>
            <w:pPr>
              <w:jc w:val="right"/>
              <w:spacing w:after="0"/>
              <w:rPr>
                <w:sz w:val="20"/>
                <w:szCs w:val="20"/>
                <w:color w:val="auto"/>
              </w:rPr>
            </w:pPr>
            <w:r>
              <w:rPr>
                <w:rFonts w:ascii="Arial" w:cs="Arial" w:eastAsia="Arial" w:hAnsi="Arial"/>
                <w:sz w:val="16"/>
                <w:szCs w:val="16"/>
                <w:color w:val="auto"/>
              </w:rPr>
              <w:t>17,594</w:t>
            </w:r>
          </w:p>
        </w:tc>
        <w:tc>
          <w:tcPr>
            <w:tcW w:w="1080" w:type="dxa"/>
            <w:vAlign w:val="bottom"/>
            <w:shd w:val="clear" w:color="auto" w:fill="E2E6F4"/>
          </w:tcPr>
          <w:p>
            <w:pPr>
              <w:ind w:left="840"/>
              <w:spacing w:after="0"/>
              <w:rPr>
                <w:sz w:val="20"/>
                <w:szCs w:val="20"/>
                <w:color w:val="auto"/>
              </w:rPr>
            </w:pPr>
            <w:r>
              <w:rPr>
                <w:rFonts w:ascii="Arial" w:cs="Arial" w:eastAsia="Arial" w:hAnsi="Arial"/>
                <w:sz w:val="16"/>
                <w:szCs w:val="16"/>
                <w:color w:val="auto"/>
              </w:rPr>
              <w:t>—</w:t>
            </w:r>
          </w:p>
        </w:tc>
        <w:tc>
          <w:tcPr>
            <w:tcW w:w="1020" w:type="dxa"/>
            <w:vAlign w:val="bottom"/>
            <w:shd w:val="clear" w:color="auto" w:fill="E2E6F4"/>
          </w:tcPr>
          <w:p>
            <w:pPr>
              <w:ind w:left="780"/>
              <w:spacing w:after="0"/>
              <w:rPr>
                <w:sz w:val="20"/>
                <w:szCs w:val="20"/>
                <w:color w:val="auto"/>
              </w:rPr>
            </w:pPr>
            <w:r>
              <w:rPr>
                <w:rFonts w:ascii="Arial" w:cs="Arial" w:eastAsia="Arial" w:hAnsi="Arial"/>
                <w:sz w:val="16"/>
                <w:szCs w:val="16"/>
                <w:color w:val="auto"/>
              </w:rPr>
              <w:t>—</w:t>
            </w:r>
          </w:p>
        </w:tc>
        <w:tc>
          <w:tcPr>
            <w:tcW w:w="700" w:type="dxa"/>
            <w:vAlign w:val="bottom"/>
            <w:shd w:val="clear" w:color="auto" w:fill="E2E6F4"/>
          </w:tcPr>
          <w:p>
            <w:pPr>
              <w:jc w:val="right"/>
              <w:spacing w:after="0"/>
              <w:rPr>
                <w:sz w:val="20"/>
                <w:szCs w:val="20"/>
                <w:color w:val="auto"/>
              </w:rPr>
            </w:pPr>
            <w:r>
              <w:rPr>
                <w:rFonts w:ascii="Arial" w:cs="Arial" w:eastAsia="Arial" w:hAnsi="Arial"/>
                <w:sz w:val="16"/>
                <w:szCs w:val="16"/>
                <w:color w:val="auto"/>
              </w:rPr>
              <w:t>83.48</w:t>
            </w:r>
          </w:p>
        </w:tc>
        <w:tc>
          <w:tcPr>
            <w:tcW w:w="1060" w:type="dxa"/>
            <w:vAlign w:val="bottom"/>
            <w:shd w:val="clear" w:color="auto" w:fill="E2E6F4"/>
          </w:tcPr>
          <w:p>
            <w:pPr>
              <w:jc w:val="right"/>
              <w:ind w:right="119"/>
              <w:spacing w:after="0"/>
              <w:rPr>
                <w:sz w:val="20"/>
                <w:szCs w:val="20"/>
                <w:color w:val="auto"/>
              </w:rPr>
            </w:pPr>
            <w:r>
              <w:rPr>
                <w:rFonts w:ascii="Arial" w:cs="Arial" w:eastAsia="Arial" w:hAnsi="Arial"/>
                <w:sz w:val="16"/>
                <w:szCs w:val="16"/>
                <w:color w:val="auto"/>
              </w:rPr>
              <w:t>3/8/2027</w:t>
            </w:r>
          </w:p>
        </w:tc>
        <w:tc>
          <w:tcPr>
            <w:tcW w:w="1100" w:type="dxa"/>
            <w:vAlign w:val="bottom"/>
            <w:shd w:val="clear" w:color="auto" w:fill="E2E6F4"/>
          </w:tcPr>
          <w:p>
            <w:pPr>
              <w:jc w:val="right"/>
              <w:ind w:right="40"/>
              <w:spacing w:after="0"/>
              <w:rPr>
                <w:sz w:val="20"/>
                <w:szCs w:val="20"/>
                <w:color w:val="auto"/>
              </w:rPr>
            </w:pPr>
            <w:r>
              <w:rPr>
                <w:rFonts w:ascii="Arial" w:cs="Arial" w:eastAsia="Arial" w:hAnsi="Arial"/>
                <w:sz w:val="16"/>
                <w:szCs w:val="16"/>
                <w:color w:val="auto"/>
              </w:rPr>
              <w:t>—</w:t>
            </w:r>
          </w:p>
        </w:tc>
        <w:tc>
          <w:tcPr>
            <w:tcW w:w="1000" w:type="dxa"/>
            <w:vAlign w:val="bottom"/>
            <w:shd w:val="clear" w:color="auto" w:fill="E2E6F4"/>
          </w:tcPr>
          <w:p>
            <w:pPr>
              <w:jc w:val="right"/>
              <w:ind w:right="20"/>
              <w:spacing w:after="0"/>
              <w:rPr>
                <w:sz w:val="20"/>
                <w:szCs w:val="20"/>
                <w:color w:val="auto"/>
              </w:rPr>
            </w:pPr>
            <w:r>
              <w:rPr>
                <w:rFonts w:ascii="Arial" w:cs="Arial" w:eastAsia="Arial" w:hAnsi="Arial"/>
                <w:sz w:val="16"/>
                <w:szCs w:val="16"/>
                <w:color w:val="auto"/>
              </w:rPr>
              <w:t>—</w:t>
            </w:r>
          </w:p>
        </w:tc>
        <w:tc>
          <w:tcPr>
            <w:tcW w:w="1040" w:type="dxa"/>
            <w:vAlign w:val="bottom"/>
            <w:shd w:val="clear" w:color="auto" w:fill="E2E6F4"/>
          </w:tcPr>
          <w:p>
            <w:pPr>
              <w:jc w:val="right"/>
              <w:ind w:right="1"/>
              <w:spacing w:after="0"/>
              <w:rPr>
                <w:sz w:val="20"/>
                <w:szCs w:val="20"/>
                <w:color w:val="auto"/>
              </w:rPr>
            </w:pPr>
            <w:r>
              <w:rPr>
                <w:rFonts w:ascii="Arial" w:cs="Arial" w:eastAsia="Arial" w:hAnsi="Arial"/>
                <w:sz w:val="16"/>
                <w:szCs w:val="16"/>
                <w:color w:val="auto"/>
              </w:rPr>
              <w:t>—</w:t>
            </w:r>
          </w:p>
        </w:tc>
        <w:tc>
          <w:tcPr>
            <w:tcW w:w="340" w:type="dxa"/>
            <w:vAlign w:val="bottom"/>
            <w:shd w:val="clear" w:color="auto" w:fill="E2E6F4"/>
          </w:tcPr>
          <w:p>
            <w:pPr>
              <w:spacing w:after="0"/>
              <w:rPr>
                <w:sz w:val="18"/>
                <w:szCs w:val="18"/>
                <w:color w:val="auto"/>
              </w:rPr>
            </w:pPr>
          </w:p>
        </w:tc>
        <w:tc>
          <w:tcPr>
            <w:tcW w:w="1180" w:type="dxa"/>
            <w:vAlign w:val="bottom"/>
            <w:shd w:val="clear" w:color="auto" w:fill="E2E6F4"/>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55"/>
        </w:trPr>
        <w:tc>
          <w:tcPr>
            <w:tcW w:w="880" w:type="dxa"/>
            <w:vAlign w:val="bottom"/>
            <w:shd w:val="clear" w:color="auto" w:fill="E2E6F4"/>
          </w:tcPr>
          <w:p>
            <w:pPr>
              <w:ind w:left="20"/>
              <w:spacing w:after="0"/>
              <w:rPr>
                <w:sz w:val="20"/>
                <w:szCs w:val="20"/>
                <w:color w:val="auto"/>
              </w:rPr>
            </w:pPr>
            <w:r>
              <w:rPr>
                <w:rFonts w:ascii="Arial" w:cs="Arial" w:eastAsia="Arial" w:hAnsi="Arial"/>
                <w:sz w:val="16"/>
                <w:szCs w:val="16"/>
                <w:b w:val="1"/>
                <w:bCs w:val="1"/>
                <w:color w:val="0067B3"/>
              </w:rPr>
              <w:t>Cotter</w:t>
            </w:r>
          </w:p>
        </w:tc>
        <w:tc>
          <w:tcPr>
            <w:tcW w:w="880" w:type="dxa"/>
            <w:vAlign w:val="bottom"/>
            <w:shd w:val="clear" w:color="auto" w:fill="E2E6F4"/>
          </w:tcPr>
          <w:p>
            <w:pPr>
              <w:jc w:val="right"/>
              <w:spacing w:after="0"/>
              <w:rPr>
                <w:sz w:val="20"/>
                <w:szCs w:val="20"/>
                <w:color w:val="auto"/>
              </w:rPr>
            </w:pPr>
            <w:r>
              <w:rPr>
                <w:rFonts w:ascii="Arial" w:cs="Arial" w:eastAsia="Arial" w:hAnsi="Arial"/>
                <w:sz w:val="16"/>
                <w:szCs w:val="16"/>
                <w:color w:val="auto"/>
              </w:rPr>
              <w:t>3/29/2018</w:t>
            </w:r>
          </w:p>
        </w:tc>
        <w:tc>
          <w:tcPr>
            <w:tcW w:w="960" w:type="dxa"/>
            <w:vAlign w:val="bottom"/>
            <w:shd w:val="clear" w:color="auto" w:fill="E2E6F4"/>
          </w:tcPr>
          <w:p>
            <w:pPr>
              <w:jc w:val="right"/>
              <w:spacing w:after="0"/>
              <w:rPr>
                <w:sz w:val="20"/>
                <w:szCs w:val="20"/>
                <w:color w:val="auto"/>
              </w:rPr>
            </w:pPr>
            <w:r>
              <w:rPr>
                <w:rFonts w:ascii="Arial" w:cs="Arial" w:eastAsia="Arial" w:hAnsi="Arial"/>
                <w:sz w:val="16"/>
                <w:szCs w:val="16"/>
                <w:color w:val="auto"/>
              </w:rPr>
              <w:t>20,552</w:t>
            </w:r>
          </w:p>
        </w:tc>
        <w:tc>
          <w:tcPr>
            <w:tcW w:w="1080" w:type="dxa"/>
            <w:vAlign w:val="bottom"/>
            <w:shd w:val="clear" w:color="auto" w:fill="E2E6F4"/>
          </w:tcPr>
          <w:p>
            <w:pPr>
              <w:ind w:left="840"/>
              <w:spacing w:after="0"/>
              <w:rPr>
                <w:sz w:val="20"/>
                <w:szCs w:val="20"/>
                <w:color w:val="auto"/>
              </w:rPr>
            </w:pPr>
            <w:r>
              <w:rPr>
                <w:rFonts w:ascii="Arial" w:cs="Arial" w:eastAsia="Arial" w:hAnsi="Arial"/>
                <w:sz w:val="16"/>
                <w:szCs w:val="16"/>
                <w:color w:val="auto"/>
              </w:rPr>
              <w:t>—</w:t>
            </w:r>
          </w:p>
        </w:tc>
        <w:tc>
          <w:tcPr>
            <w:tcW w:w="1020" w:type="dxa"/>
            <w:vAlign w:val="bottom"/>
            <w:shd w:val="clear" w:color="auto" w:fill="E2E6F4"/>
          </w:tcPr>
          <w:p>
            <w:pPr>
              <w:ind w:left="780"/>
              <w:spacing w:after="0"/>
              <w:rPr>
                <w:sz w:val="20"/>
                <w:szCs w:val="20"/>
                <w:color w:val="auto"/>
              </w:rPr>
            </w:pPr>
            <w:r>
              <w:rPr>
                <w:rFonts w:ascii="Arial" w:cs="Arial" w:eastAsia="Arial" w:hAnsi="Arial"/>
                <w:sz w:val="16"/>
                <w:szCs w:val="16"/>
                <w:color w:val="auto"/>
              </w:rPr>
              <w:t>—</w:t>
            </w:r>
          </w:p>
        </w:tc>
        <w:tc>
          <w:tcPr>
            <w:tcW w:w="700" w:type="dxa"/>
            <w:vAlign w:val="bottom"/>
            <w:shd w:val="clear" w:color="auto" w:fill="E2E6F4"/>
          </w:tcPr>
          <w:p>
            <w:pPr>
              <w:jc w:val="right"/>
              <w:spacing w:after="0"/>
              <w:rPr>
                <w:sz w:val="20"/>
                <w:szCs w:val="20"/>
                <w:color w:val="auto"/>
              </w:rPr>
            </w:pPr>
            <w:r>
              <w:rPr>
                <w:rFonts w:ascii="Arial" w:cs="Arial" w:eastAsia="Arial" w:hAnsi="Arial"/>
                <w:sz w:val="16"/>
                <w:szCs w:val="16"/>
                <w:color w:val="auto"/>
              </w:rPr>
              <w:t>91.13</w:t>
            </w:r>
          </w:p>
        </w:tc>
        <w:tc>
          <w:tcPr>
            <w:tcW w:w="1060" w:type="dxa"/>
            <w:vAlign w:val="bottom"/>
            <w:shd w:val="clear" w:color="auto" w:fill="E2E6F4"/>
          </w:tcPr>
          <w:p>
            <w:pPr>
              <w:jc w:val="right"/>
              <w:ind w:right="119"/>
              <w:spacing w:after="0"/>
              <w:rPr>
                <w:sz w:val="20"/>
                <w:szCs w:val="20"/>
                <w:color w:val="auto"/>
              </w:rPr>
            </w:pPr>
            <w:r>
              <w:rPr>
                <w:rFonts w:ascii="Arial" w:cs="Arial" w:eastAsia="Arial" w:hAnsi="Arial"/>
                <w:sz w:val="16"/>
                <w:szCs w:val="16"/>
                <w:color w:val="auto"/>
              </w:rPr>
              <w:t>3/29/2028</w:t>
            </w:r>
          </w:p>
        </w:tc>
        <w:tc>
          <w:tcPr>
            <w:tcW w:w="1100" w:type="dxa"/>
            <w:vAlign w:val="bottom"/>
            <w:shd w:val="clear" w:color="auto" w:fill="E2E6F4"/>
          </w:tcPr>
          <w:p>
            <w:pPr>
              <w:jc w:val="right"/>
              <w:ind w:right="40"/>
              <w:spacing w:after="0"/>
              <w:rPr>
                <w:sz w:val="20"/>
                <w:szCs w:val="20"/>
                <w:color w:val="auto"/>
              </w:rPr>
            </w:pPr>
            <w:r>
              <w:rPr>
                <w:rFonts w:ascii="Arial" w:cs="Arial" w:eastAsia="Arial" w:hAnsi="Arial"/>
                <w:sz w:val="16"/>
                <w:szCs w:val="16"/>
                <w:color w:val="auto"/>
              </w:rPr>
              <w:t>—</w:t>
            </w:r>
          </w:p>
        </w:tc>
        <w:tc>
          <w:tcPr>
            <w:tcW w:w="1000" w:type="dxa"/>
            <w:vAlign w:val="bottom"/>
            <w:shd w:val="clear" w:color="auto" w:fill="E2E6F4"/>
          </w:tcPr>
          <w:p>
            <w:pPr>
              <w:jc w:val="right"/>
              <w:ind w:right="20"/>
              <w:spacing w:after="0"/>
              <w:rPr>
                <w:sz w:val="20"/>
                <w:szCs w:val="20"/>
                <w:color w:val="auto"/>
              </w:rPr>
            </w:pPr>
            <w:r>
              <w:rPr>
                <w:rFonts w:ascii="Arial" w:cs="Arial" w:eastAsia="Arial" w:hAnsi="Arial"/>
                <w:sz w:val="16"/>
                <w:szCs w:val="16"/>
                <w:color w:val="auto"/>
              </w:rPr>
              <w:t>—</w:t>
            </w:r>
          </w:p>
        </w:tc>
        <w:tc>
          <w:tcPr>
            <w:tcW w:w="1040" w:type="dxa"/>
            <w:vAlign w:val="bottom"/>
            <w:shd w:val="clear" w:color="auto" w:fill="E2E6F4"/>
          </w:tcPr>
          <w:p>
            <w:pPr>
              <w:jc w:val="right"/>
              <w:ind w:right="1"/>
              <w:spacing w:after="0"/>
              <w:rPr>
                <w:sz w:val="20"/>
                <w:szCs w:val="20"/>
                <w:color w:val="auto"/>
              </w:rPr>
            </w:pPr>
            <w:r>
              <w:rPr>
                <w:rFonts w:ascii="Arial" w:cs="Arial" w:eastAsia="Arial" w:hAnsi="Arial"/>
                <w:sz w:val="16"/>
                <w:szCs w:val="16"/>
                <w:color w:val="auto"/>
              </w:rPr>
              <w:t>—</w:t>
            </w:r>
          </w:p>
        </w:tc>
        <w:tc>
          <w:tcPr>
            <w:tcW w:w="340" w:type="dxa"/>
            <w:vAlign w:val="bottom"/>
            <w:shd w:val="clear" w:color="auto" w:fill="E2E6F4"/>
          </w:tcPr>
          <w:p>
            <w:pPr>
              <w:spacing w:after="0"/>
              <w:rPr>
                <w:sz w:val="22"/>
                <w:szCs w:val="22"/>
                <w:color w:val="auto"/>
              </w:rPr>
            </w:pPr>
          </w:p>
        </w:tc>
        <w:tc>
          <w:tcPr>
            <w:tcW w:w="1180" w:type="dxa"/>
            <w:vAlign w:val="bottom"/>
            <w:shd w:val="clear" w:color="auto" w:fill="E2E6F4"/>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43"/>
        </w:trPr>
        <w:tc>
          <w:tcPr>
            <w:tcW w:w="880" w:type="dxa"/>
            <w:vAlign w:val="bottom"/>
            <w:shd w:val="clear" w:color="auto" w:fill="E2E6F4"/>
          </w:tcPr>
          <w:p>
            <w:pPr>
              <w:spacing w:after="0"/>
              <w:rPr>
                <w:sz w:val="21"/>
                <w:szCs w:val="21"/>
                <w:color w:val="auto"/>
              </w:rPr>
            </w:pPr>
          </w:p>
        </w:tc>
        <w:tc>
          <w:tcPr>
            <w:tcW w:w="880" w:type="dxa"/>
            <w:vAlign w:val="bottom"/>
            <w:shd w:val="clear" w:color="auto" w:fill="E2E6F4"/>
          </w:tcPr>
          <w:p>
            <w:pPr>
              <w:jc w:val="right"/>
              <w:spacing w:after="0"/>
              <w:rPr>
                <w:sz w:val="20"/>
                <w:szCs w:val="20"/>
                <w:color w:val="auto"/>
              </w:rPr>
            </w:pPr>
            <w:r>
              <w:rPr>
                <w:rFonts w:ascii="Arial" w:cs="Arial" w:eastAsia="Arial" w:hAnsi="Arial"/>
                <w:sz w:val="16"/>
                <w:szCs w:val="16"/>
                <w:color w:val="auto"/>
              </w:rPr>
              <w:t>3/13/2019</w:t>
            </w:r>
          </w:p>
        </w:tc>
        <w:tc>
          <w:tcPr>
            <w:tcW w:w="960" w:type="dxa"/>
            <w:vAlign w:val="bottom"/>
            <w:shd w:val="clear" w:color="auto" w:fill="E2E6F4"/>
          </w:tcPr>
          <w:p>
            <w:pPr>
              <w:jc w:val="right"/>
              <w:spacing w:after="0"/>
              <w:rPr>
                <w:sz w:val="20"/>
                <w:szCs w:val="20"/>
                <w:color w:val="auto"/>
              </w:rPr>
            </w:pPr>
            <w:r>
              <w:rPr>
                <w:rFonts w:ascii="Arial" w:cs="Arial" w:eastAsia="Arial" w:hAnsi="Arial"/>
                <w:sz w:val="16"/>
                <w:szCs w:val="16"/>
                <w:color w:val="auto"/>
              </w:rPr>
              <w:t>10,164</w:t>
            </w:r>
          </w:p>
        </w:tc>
        <w:tc>
          <w:tcPr>
            <w:tcW w:w="1080" w:type="dxa"/>
            <w:vAlign w:val="bottom"/>
            <w:shd w:val="clear" w:color="auto" w:fill="E2E6F4"/>
          </w:tcPr>
          <w:p>
            <w:pPr>
              <w:ind w:left="840"/>
              <w:spacing w:after="0"/>
              <w:rPr>
                <w:sz w:val="20"/>
                <w:szCs w:val="20"/>
                <w:color w:val="auto"/>
              </w:rPr>
            </w:pPr>
            <w:r>
              <w:rPr>
                <w:rFonts w:ascii="Arial" w:cs="Arial" w:eastAsia="Arial" w:hAnsi="Arial"/>
                <w:sz w:val="16"/>
                <w:szCs w:val="16"/>
                <w:color w:val="auto"/>
              </w:rPr>
              <w:t>—</w:t>
            </w:r>
          </w:p>
        </w:tc>
        <w:tc>
          <w:tcPr>
            <w:tcW w:w="1020" w:type="dxa"/>
            <w:vAlign w:val="bottom"/>
            <w:shd w:val="clear" w:color="auto" w:fill="E2E6F4"/>
          </w:tcPr>
          <w:p>
            <w:pPr>
              <w:ind w:left="780"/>
              <w:spacing w:after="0"/>
              <w:rPr>
                <w:sz w:val="20"/>
                <w:szCs w:val="20"/>
                <w:color w:val="auto"/>
              </w:rPr>
            </w:pPr>
            <w:r>
              <w:rPr>
                <w:rFonts w:ascii="Arial" w:cs="Arial" w:eastAsia="Arial" w:hAnsi="Arial"/>
                <w:sz w:val="16"/>
                <w:szCs w:val="16"/>
                <w:color w:val="auto"/>
              </w:rPr>
              <w:t>—</w:t>
            </w:r>
          </w:p>
        </w:tc>
        <w:tc>
          <w:tcPr>
            <w:tcW w:w="700" w:type="dxa"/>
            <w:vAlign w:val="bottom"/>
            <w:shd w:val="clear" w:color="auto" w:fill="E2E6F4"/>
          </w:tcPr>
          <w:p>
            <w:pPr>
              <w:jc w:val="right"/>
              <w:spacing w:after="0"/>
              <w:rPr>
                <w:sz w:val="20"/>
                <w:szCs w:val="20"/>
                <w:color w:val="auto"/>
              </w:rPr>
            </w:pPr>
            <w:r>
              <w:rPr>
                <w:rFonts w:ascii="Arial" w:cs="Arial" w:eastAsia="Arial" w:hAnsi="Arial"/>
                <w:sz w:val="16"/>
                <w:szCs w:val="16"/>
                <w:color w:val="auto"/>
              </w:rPr>
              <w:t>108.08</w:t>
            </w:r>
          </w:p>
        </w:tc>
        <w:tc>
          <w:tcPr>
            <w:tcW w:w="1060" w:type="dxa"/>
            <w:vAlign w:val="bottom"/>
            <w:shd w:val="clear" w:color="auto" w:fill="E2E6F4"/>
          </w:tcPr>
          <w:p>
            <w:pPr>
              <w:jc w:val="right"/>
              <w:ind w:right="119"/>
              <w:spacing w:after="0"/>
              <w:rPr>
                <w:sz w:val="20"/>
                <w:szCs w:val="20"/>
                <w:color w:val="auto"/>
              </w:rPr>
            </w:pPr>
            <w:r>
              <w:rPr>
                <w:rFonts w:ascii="Arial" w:cs="Arial" w:eastAsia="Arial" w:hAnsi="Arial"/>
                <w:sz w:val="16"/>
                <w:szCs w:val="16"/>
                <w:color w:val="auto"/>
              </w:rPr>
              <w:t>3/13/2029</w:t>
            </w:r>
          </w:p>
        </w:tc>
        <w:tc>
          <w:tcPr>
            <w:tcW w:w="1100" w:type="dxa"/>
            <w:vAlign w:val="bottom"/>
            <w:shd w:val="clear" w:color="auto" w:fill="E2E6F4"/>
          </w:tcPr>
          <w:p>
            <w:pPr>
              <w:jc w:val="right"/>
              <w:ind w:right="40"/>
              <w:spacing w:after="0"/>
              <w:rPr>
                <w:sz w:val="20"/>
                <w:szCs w:val="20"/>
                <w:color w:val="auto"/>
              </w:rPr>
            </w:pPr>
            <w:r>
              <w:rPr>
                <w:rFonts w:ascii="Arial" w:cs="Arial" w:eastAsia="Arial" w:hAnsi="Arial"/>
                <w:sz w:val="16"/>
                <w:szCs w:val="16"/>
                <w:color w:val="auto"/>
              </w:rPr>
              <w:t>—</w:t>
            </w:r>
          </w:p>
        </w:tc>
        <w:tc>
          <w:tcPr>
            <w:tcW w:w="1000" w:type="dxa"/>
            <w:vAlign w:val="bottom"/>
            <w:shd w:val="clear" w:color="auto" w:fill="E2E6F4"/>
          </w:tcPr>
          <w:p>
            <w:pPr>
              <w:jc w:val="right"/>
              <w:ind w:right="20"/>
              <w:spacing w:after="0"/>
              <w:rPr>
                <w:sz w:val="20"/>
                <w:szCs w:val="20"/>
                <w:color w:val="auto"/>
              </w:rPr>
            </w:pPr>
            <w:r>
              <w:rPr>
                <w:rFonts w:ascii="Arial" w:cs="Arial" w:eastAsia="Arial" w:hAnsi="Arial"/>
                <w:sz w:val="16"/>
                <w:szCs w:val="16"/>
                <w:color w:val="auto"/>
              </w:rPr>
              <w:t>—</w:t>
            </w:r>
          </w:p>
        </w:tc>
        <w:tc>
          <w:tcPr>
            <w:tcW w:w="1040" w:type="dxa"/>
            <w:vAlign w:val="bottom"/>
            <w:shd w:val="clear" w:color="auto" w:fill="E2E6F4"/>
          </w:tcPr>
          <w:p>
            <w:pPr>
              <w:jc w:val="right"/>
              <w:ind w:right="1"/>
              <w:spacing w:after="0"/>
              <w:rPr>
                <w:sz w:val="20"/>
                <w:szCs w:val="20"/>
                <w:color w:val="auto"/>
              </w:rPr>
            </w:pPr>
            <w:r>
              <w:rPr>
                <w:rFonts w:ascii="Arial" w:cs="Arial" w:eastAsia="Arial" w:hAnsi="Arial"/>
                <w:sz w:val="16"/>
                <w:szCs w:val="16"/>
                <w:color w:val="auto"/>
              </w:rPr>
              <w:t>—</w:t>
            </w:r>
          </w:p>
        </w:tc>
        <w:tc>
          <w:tcPr>
            <w:tcW w:w="340" w:type="dxa"/>
            <w:vAlign w:val="bottom"/>
            <w:shd w:val="clear" w:color="auto" w:fill="E2E6F4"/>
          </w:tcPr>
          <w:p>
            <w:pPr>
              <w:spacing w:after="0"/>
              <w:rPr>
                <w:sz w:val="21"/>
                <w:szCs w:val="21"/>
                <w:color w:val="auto"/>
              </w:rPr>
            </w:pPr>
          </w:p>
        </w:tc>
        <w:tc>
          <w:tcPr>
            <w:tcW w:w="1180" w:type="dxa"/>
            <w:vAlign w:val="bottom"/>
            <w:shd w:val="clear" w:color="auto" w:fill="E2E6F4"/>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43"/>
        </w:trPr>
        <w:tc>
          <w:tcPr>
            <w:tcW w:w="880" w:type="dxa"/>
            <w:vAlign w:val="bottom"/>
            <w:shd w:val="clear" w:color="auto" w:fill="E2E6F4"/>
          </w:tcPr>
          <w:p>
            <w:pPr>
              <w:spacing w:after="0"/>
              <w:rPr>
                <w:sz w:val="21"/>
                <w:szCs w:val="21"/>
                <w:color w:val="auto"/>
              </w:rPr>
            </w:pPr>
          </w:p>
        </w:tc>
        <w:tc>
          <w:tcPr>
            <w:tcW w:w="880" w:type="dxa"/>
            <w:vAlign w:val="bottom"/>
            <w:shd w:val="clear" w:color="auto" w:fill="E2E6F4"/>
          </w:tcPr>
          <w:p>
            <w:pPr>
              <w:jc w:val="right"/>
              <w:spacing w:after="0"/>
              <w:rPr>
                <w:sz w:val="20"/>
                <w:szCs w:val="20"/>
                <w:color w:val="auto"/>
              </w:rPr>
            </w:pPr>
            <w:r>
              <w:rPr>
                <w:rFonts w:ascii="Arial" w:cs="Arial" w:eastAsia="Arial" w:hAnsi="Arial"/>
                <w:sz w:val="16"/>
                <w:szCs w:val="16"/>
                <w:color w:val="auto"/>
              </w:rPr>
              <w:t>6/7/2019</w:t>
            </w:r>
          </w:p>
        </w:tc>
        <w:tc>
          <w:tcPr>
            <w:tcW w:w="960" w:type="dxa"/>
            <w:vAlign w:val="bottom"/>
            <w:shd w:val="clear" w:color="auto" w:fill="E2E6F4"/>
          </w:tcPr>
          <w:p>
            <w:pPr>
              <w:jc w:val="right"/>
              <w:spacing w:after="0"/>
              <w:rPr>
                <w:sz w:val="20"/>
                <w:szCs w:val="20"/>
                <w:color w:val="auto"/>
              </w:rPr>
            </w:pPr>
            <w:r>
              <w:rPr>
                <w:rFonts w:ascii="Arial" w:cs="Arial" w:eastAsia="Arial" w:hAnsi="Arial"/>
                <w:sz w:val="16"/>
                <w:szCs w:val="16"/>
                <w:color w:val="auto"/>
              </w:rPr>
              <w:t>7,512</w:t>
            </w:r>
          </w:p>
        </w:tc>
        <w:tc>
          <w:tcPr>
            <w:tcW w:w="1080" w:type="dxa"/>
            <w:vAlign w:val="bottom"/>
            <w:shd w:val="clear" w:color="auto" w:fill="E2E6F4"/>
          </w:tcPr>
          <w:p>
            <w:pPr>
              <w:ind w:left="840"/>
              <w:spacing w:after="0"/>
              <w:rPr>
                <w:sz w:val="20"/>
                <w:szCs w:val="20"/>
                <w:color w:val="auto"/>
              </w:rPr>
            </w:pPr>
            <w:r>
              <w:rPr>
                <w:rFonts w:ascii="Arial" w:cs="Arial" w:eastAsia="Arial" w:hAnsi="Arial"/>
                <w:sz w:val="16"/>
                <w:szCs w:val="16"/>
                <w:color w:val="auto"/>
              </w:rPr>
              <w:t>—</w:t>
            </w:r>
          </w:p>
        </w:tc>
        <w:tc>
          <w:tcPr>
            <w:tcW w:w="1020" w:type="dxa"/>
            <w:vAlign w:val="bottom"/>
            <w:shd w:val="clear" w:color="auto" w:fill="E2E6F4"/>
          </w:tcPr>
          <w:p>
            <w:pPr>
              <w:ind w:left="780"/>
              <w:spacing w:after="0"/>
              <w:rPr>
                <w:sz w:val="20"/>
                <w:szCs w:val="20"/>
                <w:color w:val="auto"/>
              </w:rPr>
            </w:pPr>
            <w:r>
              <w:rPr>
                <w:rFonts w:ascii="Arial" w:cs="Arial" w:eastAsia="Arial" w:hAnsi="Arial"/>
                <w:sz w:val="16"/>
                <w:szCs w:val="16"/>
                <w:color w:val="auto"/>
              </w:rPr>
              <w:t>—</w:t>
            </w:r>
          </w:p>
        </w:tc>
        <w:tc>
          <w:tcPr>
            <w:tcW w:w="700" w:type="dxa"/>
            <w:vAlign w:val="bottom"/>
            <w:shd w:val="clear" w:color="auto" w:fill="E2E6F4"/>
          </w:tcPr>
          <w:p>
            <w:pPr>
              <w:jc w:val="right"/>
              <w:spacing w:after="0"/>
              <w:rPr>
                <w:sz w:val="20"/>
                <w:szCs w:val="20"/>
                <w:color w:val="auto"/>
              </w:rPr>
            </w:pPr>
            <w:r>
              <w:rPr>
                <w:rFonts w:ascii="Arial" w:cs="Arial" w:eastAsia="Arial" w:hAnsi="Arial"/>
                <w:sz w:val="16"/>
                <w:szCs w:val="16"/>
                <w:color w:val="auto"/>
              </w:rPr>
              <w:t>108.08</w:t>
            </w:r>
          </w:p>
        </w:tc>
        <w:tc>
          <w:tcPr>
            <w:tcW w:w="1060" w:type="dxa"/>
            <w:vAlign w:val="bottom"/>
            <w:shd w:val="clear" w:color="auto" w:fill="E2E6F4"/>
          </w:tcPr>
          <w:p>
            <w:pPr>
              <w:jc w:val="right"/>
              <w:ind w:right="119"/>
              <w:spacing w:after="0"/>
              <w:rPr>
                <w:sz w:val="20"/>
                <w:szCs w:val="20"/>
                <w:color w:val="auto"/>
              </w:rPr>
            </w:pPr>
            <w:r>
              <w:rPr>
                <w:rFonts w:ascii="Arial" w:cs="Arial" w:eastAsia="Arial" w:hAnsi="Arial"/>
                <w:sz w:val="16"/>
                <w:szCs w:val="16"/>
                <w:color w:val="auto"/>
              </w:rPr>
              <w:t>3/13/2029</w:t>
            </w:r>
          </w:p>
        </w:tc>
        <w:tc>
          <w:tcPr>
            <w:tcW w:w="1100" w:type="dxa"/>
            <w:vAlign w:val="bottom"/>
            <w:shd w:val="clear" w:color="auto" w:fill="E2E6F4"/>
          </w:tcPr>
          <w:p>
            <w:pPr>
              <w:jc w:val="right"/>
              <w:ind w:right="40"/>
              <w:spacing w:after="0"/>
              <w:rPr>
                <w:sz w:val="20"/>
                <w:szCs w:val="20"/>
                <w:color w:val="auto"/>
              </w:rPr>
            </w:pPr>
            <w:r>
              <w:rPr>
                <w:rFonts w:ascii="Arial" w:cs="Arial" w:eastAsia="Arial" w:hAnsi="Arial"/>
                <w:sz w:val="16"/>
                <w:szCs w:val="16"/>
                <w:color w:val="auto"/>
              </w:rPr>
              <w:t>—</w:t>
            </w:r>
          </w:p>
        </w:tc>
        <w:tc>
          <w:tcPr>
            <w:tcW w:w="1000" w:type="dxa"/>
            <w:vAlign w:val="bottom"/>
            <w:shd w:val="clear" w:color="auto" w:fill="E2E6F4"/>
          </w:tcPr>
          <w:p>
            <w:pPr>
              <w:jc w:val="right"/>
              <w:ind w:right="20"/>
              <w:spacing w:after="0"/>
              <w:rPr>
                <w:sz w:val="20"/>
                <w:szCs w:val="20"/>
                <w:color w:val="auto"/>
              </w:rPr>
            </w:pPr>
            <w:r>
              <w:rPr>
                <w:rFonts w:ascii="Arial" w:cs="Arial" w:eastAsia="Arial" w:hAnsi="Arial"/>
                <w:sz w:val="16"/>
                <w:szCs w:val="16"/>
                <w:color w:val="auto"/>
              </w:rPr>
              <w:t>—</w:t>
            </w:r>
          </w:p>
        </w:tc>
        <w:tc>
          <w:tcPr>
            <w:tcW w:w="1040" w:type="dxa"/>
            <w:vAlign w:val="bottom"/>
            <w:shd w:val="clear" w:color="auto" w:fill="E2E6F4"/>
          </w:tcPr>
          <w:p>
            <w:pPr>
              <w:jc w:val="right"/>
              <w:ind w:right="1"/>
              <w:spacing w:after="0"/>
              <w:rPr>
                <w:sz w:val="20"/>
                <w:szCs w:val="20"/>
                <w:color w:val="auto"/>
              </w:rPr>
            </w:pPr>
            <w:r>
              <w:rPr>
                <w:rFonts w:ascii="Arial" w:cs="Arial" w:eastAsia="Arial" w:hAnsi="Arial"/>
                <w:sz w:val="16"/>
                <w:szCs w:val="16"/>
                <w:color w:val="auto"/>
              </w:rPr>
              <w:t>—</w:t>
            </w:r>
          </w:p>
        </w:tc>
        <w:tc>
          <w:tcPr>
            <w:tcW w:w="340" w:type="dxa"/>
            <w:vAlign w:val="bottom"/>
            <w:shd w:val="clear" w:color="auto" w:fill="E2E6F4"/>
          </w:tcPr>
          <w:p>
            <w:pPr>
              <w:spacing w:after="0"/>
              <w:rPr>
                <w:sz w:val="21"/>
                <w:szCs w:val="21"/>
                <w:color w:val="auto"/>
              </w:rPr>
            </w:pPr>
          </w:p>
        </w:tc>
        <w:tc>
          <w:tcPr>
            <w:tcW w:w="1180" w:type="dxa"/>
            <w:vAlign w:val="bottom"/>
            <w:shd w:val="clear" w:color="auto" w:fill="E2E6F4"/>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43"/>
        </w:trPr>
        <w:tc>
          <w:tcPr>
            <w:tcW w:w="880" w:type="dxa"/>
            <w:vAlign w:val="bottom"/>
            <w:shd w:val="clear" w:color="auto" w:fill="E2E6F4"/>
          </w:tcPr>
          <w:p>
            <w:pPr>
              <w:spacing w:after="0"/>
              <w:rPr>
                <w:sz w:val="21"/>
                <w:szCs w:val="21"/>
                <w:color w:val="auto"/>
              </w:rPr>
            </w:pPr>
          </w:p>
        </w:tc>
        <w:tc>
          <w:tcPr>
            <w:tcW w:w="880" w:type="dxa"/>
            <w:vAlign w:val="bottom"/>
            <w:shd w:val="clear" w:color="auto" w:fill="E2E6F4"/>
          </w:tcPr>
          <w:p>
            <w:pPr>
              <w:jc w:val="right"/>
              <w:spacing w:after="0"/>
              <w:rPr>
                <w:sz w:val="20"/>
                <w:szCs w:val="20"/>
                <w:color w:val="auto"/>
              </w:rPr>
            </w:pPr>
            <w:r>
              <w:rPr>
                <w:rFonts w:ascii="Arial" w:cs="Arial" w:eastAsia="Arial" w:hAnsi="Arial"/>
                <w:sz w:val="16"/>
                <w:szCs w:val="16"/>
                <w:color w:val="auto"/>
              </w:rPr>
              <w:t>3/11/2020</w:t>
            </w:r>
          </w:p>
        </w:tc>
        <w:tc>
          <w:tcPr>
            <w:tcW w:w="960" w:type="dxa"/>
            <w:vAlign w:val="bottom"/>
            <w:shd w:val="clear" w:color="auto" w:fill="E2E6F4"/>
          </w:tcPr>
          <w:p>
            <w:pPr>
              <w:jc w:val="right"/>
              <w:spacing w:after="0"/>
              <w:rPr>
                <w:sz w:val="20"/>
                <w:szCs w:val="20"/>
                <w:color w:val="auto"/>
              </w:rPr>
            </w:pPr>
            <w:r>
              <w:rPr>
                <w:rFonts w:ascii="Arial" w:cs="Arial" w:eastAsia="Arial" w:hAnsi="Arial"/>
                <w:sz w:val="16"/>
                <w:szCs w:val="16"/>
                <w:color w:val="auto"/>
              </w:rPr>
              <w:t>24,232</w:t>
            </w:r>
          </w:p>
        </w:tc>
        <w:tc>
          <w:tcPr>
            <w:tcW w:w="1080" w:type="dxa"/>
            <w:vAlign w:val="bottom"/>
            <w:shd w:val="clear" w:color="auto" w:fill="E2E6F4"/>
          </w:tcPr>
          <w:p>
            <w:pPr>
              <w:ind w:left="840"/>
              <w:spacing w:after="0"/>
              <w:rPr>
                <w:sz w:val="20"/>
                <w:szCs w:val="20"/>
                <w:color w:val="auto"/>
              </w:rPr>
            </w:pPr>
            <w:r>
              <w:rPr>
                <w:rFonts w:ascii="Arial" w:cs="Arial" w:eastAsia="Arial" w:hAnsi="Arial"/>
                <w:sz w:val="16"/>
                <w:szCs w:val="16"/>
                <w:color w:val="auto"/>
              </w:rPr>
              <w:t>—</w:t>
            </w:r>
          </w:p>
        </w:tc>
        <w:tc>
          <w:tcPr>
            <w:tcW w:w="1020" w:type="dxa"/>
            <w:vAlign w:val="bottom"/>
            <w:shd w:val="clear" w:color="auto" w:fill="E2E6F4"/>
          </w:tcPr>
          <w:p>
            <w:pPr>
              <w:ind w:left="780"/>
              <w:spacing w:after="0"/>
              <w:rPr>
                <w:sz w:val="20"/>
                <w:szCs w:val="20"/>
                <w:color w:val="auto"/>
              </w:rPr>
            </w:pPr>
            <w:r>
              <w:rPr>
                <w:rFonts w:ascii="Arial" w:cs="Arial" w:eastAsia="Arial" w:hAnsi="Arial"/>
                <w:sz w:val="16"/>
                <w:szCs w:val="16"/>
                <w:color w:val="auto"/>
              </w:rPr>
              <w:t>—</w:t>
            </w:r>
          </w:p>
        </w:tc>
        <w:tc>
          <w:tcPr>
            <w:tcW w:w="700" w:type="dxa"/>
            <w:vAlign w:val="bottom"/>
            <w:shd w:val="clear" w:color="auto" w:fill="E2E6F4"/>
          </w:tcPr>
          <w:p>
            <w:pPr>
              <w:jc w:val="right"/>
              <w:spacing w:after="0"/>
              <w:rPr>
                <w:sz w:val="20"/>
                <w:szCs w:val="20"/>
                <w:color w:val="auto"/>
              </w:rPr>
            </w:pPr>
            <w:r>
              <w:rPr>
                <w:rFonts w:ascii="Arial" w:cs="Arial" w:eastAsia="Arial" w:hAnsi="Arial"/>
                <w:sz w:val="16"/>
                <w:szCs w:val="16"/>
                <w:color w:val="auto"/>
              </w:rPr>
              <w:t>94.41</w:t>
            </w:r>
          </w:p>
        </w:tc>
        <w:tc>
          <w:tcPr>
            <w:tcW w:w="1060" w:type="dxa"/>
            <w:vAlign w:val="bottom"/>
            <w:shd w:val="clear" w:color="auto" w:fill="E2E6F4"/>
          </w:tcPr>
          <w:p>
            <w:pPr>
              <w:jc w:val="right"/>
              <w:ind w:right="119"/>
              <w:spacing w:after="0"/>
              <w:rPr>
                <w:sz w:val="20"/>
                <w:szCs w:val="20"/>
                <w:color w:val="auto"/>
              </w:rPr>
            </w:pPr>
            <w:r>
              <w:rPr>
                <w:rFonts w:ascii="Arial" w:cs="Arial" w:eastAsia="Arial" w:hAnsi="Arial"/>
                <w:sz w:val="16"/>
                <w:szCs w:val="16"/>
                <w:color w:val="auto"/>
              </w:rPr>
              <w:t>3/11/2030</w:t>
            </w:r>
          </w:p>
        </w:tc>
        <w:tc>
          <w:tcPr>
            <w:tcW w:w="1100" w:type="dxa"/>
            <w:vAlign w:val="bottom"/>
            <w:shd w:val="clear" w:color="auto" w:fill="E2E6F4"/>
          </w:tcPr>
          <w:p>
            <w:pPr>
              <w:jc w:val="right"/>
              <w:ind w:right="40"/>
              <w:spacing w:after="0"/>
              <w:rPr>
                <w:sz w:val="20"/>
                <w:szCs w:val="20"/>
                <w:color w:val="auto"/>
              </w:rPr>
            </w:pPr>
            <w:r>
              <w:rPr>
                <w:rFonts w:ascii="Arial" w:cs="Arial" w:eastAsia="Arial" w:hAnsi="Arial"/>
                <w:sz w:val="16"/>
                <w:szCs w:val="16"/>
                <w:color w:val="auto"/>
              </w:rPr>
              <w:t>—</w:t>
            </w:r>
          </w:p>
        </w:tc>
        <w:tc>
          <w:tcPr>
            <w:tcW w:w="1000" w:type="dxa"/>
            <w:vAlign w:val="bottom"/>
            <w:shd w:val="clear" w:color="auto" w:fill="E2E6F4"/>
          </w:tcPr>
          <w:p>
            <w:pPr>
              <w:jc w:val="right"/>
              <w:ind w:right="20"/>
              <w:spacing w:after="0"/>
              <w:rPr>
                <w:sz w:val="20"/>
                <w:szCs w:val="20"/>
                <w:color w:val="auto"/>
              </w:rPr>
            </w:pPr>
            <w:r>
              <w:rPr>
                <w:rFonts w:ascii="Arial" w:cs="Arial" w:eastAsia="Arial" w:hAnsi="Arial"/>
                <w:sz w:val="16"/>
                <w:szCs w:val="16"/>
                <w:color w:val="auto"/>
              </w:rPr>
              <w:t>—</w:t>
            </w:r>
          </w:p>
        </w:tc>
        <w:tc>
          <w:tcPr>
            <w:tcW w:w="1040" w:type="dxa"/>
            <w:vAlign w:val="bottom"/>
            <w:shd w:val="clear" w:color="auto" w:fill="E2E6F4"/>
          </w:tcPr>
          <w:p>
            <w:pPr>
              <w:jc w:val="right"/>
              <w:ind w:right="1"/>
              <w:spacing w:after="0"/>
              <w:rPr>
                <w:sz w:val="20"/>
                <w:szCs w:val="20"/>
                <w:color w:val="auto"/>
              </w:rPr>
            </w:pPr>
            <w:r>
              <w:rPr>
                <w:rFonts w:ascii="Arial" w:cs="Arial" w:eastAsia="Arial" w:hAnsi="Arial"/>
                <w:sz w:val="16"/>
                <w:szCs w:val="16"/>
                <w:color w:val="auto"/>
              </w:rPr>
              <w:t>—</w:t>
            </w:r>
          </w:p>
        </w:tc>
        <w:tc>
          <w:tcPr>
            <w:tcW w:w="340" w:type="dxa"/>
            <w:vAlign w:val="bottom"/>
            <w:shd w:val="clear" w:color="auto" w:fill="E2E6F4"/>
          </w:tcPr>
          <w:p>
            <w:pPr>
              <w:spacing w:after="0"/>
              <w:rPr>
                <w:sz w:val="21"/>
                <w:szCs w:val="21"/>
                <w:color w:val="auto"/>
              </w:rPr>
            </w:pPr>
          </w:p>
        </w:tc>
        <w:tc>
          <w:tcPr>
            <w:tcW w:w="1180" w:type="dxa"/>
            <w:vAlign w:val="bottom"/>
            <w:shd w:val="clear" w:color="auto" w:fill="E2E6F4"/>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21"/>
        </w:trPr>
        <w:tc>
          <w:tcPr>
            <w:tcW w:w="880" w:type="dxa"/>
            <w:vAlign w:val="bottom"/>
            <w:shd w:val="clear" w:color="auto" w:fill="E2E6F4"/>
          </w:tcPr>
          <w:p>
            <w:pPr>
              <w:spacing w:after="0"/>
              <w:rPr>
                <w:sz w:val="19"/>
                <w:szCs w:val="19"/>
                <w:color w:val="auto"/>
              </w:rPr>
            </w:pPr>
          </w:p>
        </w:tc>
        <w:tc>
          <w:tcPr>
            <w:tcW w:w="880" w:type="dxa"/>
            <w:vAlign w:val="bottom"/>
            <w:shd w:val="clear" w:color="auto" w:fill="E2E6F4"/>
          </w:tcPr>
          <w:p>
            <w:pPr>
              <w:jc w:val="right"/>
              <w:spacing w:after="0"/>
              <w:rPr>
                <w:sz w:val="20"/>
                <w:szCs w:val="20"/>
                <w:color w:val="auto"/>
              </w:rPr>
            </w:pPr>
            <w:r>
              <w:rPr>
                <w:rFonts w:ascii="Arial" w:cs="Arial" w:eastAsia="Arial" w:hAnsi="Arial"/>
                <w:sz w:val="16"/>
                <w:szCs w:val="16"/>
                <w:color w:val="auto"/>
              </w:rPr>
              <w:t>3/10/2021</w:t>
            </w:r>
          </w:p>
        </w:tc>
        <w:tc>
          <w:tcPr>
            <w:tcW w:w="960" w:type="dxa"/>
            <w:vAlign w:val="bottom"/>
            <w:shd w:val="clear" w:color="auto" w:fill="E2E6F4"/>
          </w:tcPr>
          <w:p>
            <w:pPr>
              <w:jc w:val="right"/>
              <w:spacing w:after="0"/>
              <w:rPr>
                <w:sz w:val="20"/>
                <w:szCs w:val="20"/>
                <w:color w:val="auto"/>
              </w:rPr>
            </w:pPr>
            <w:r>
              <w:rPr>
                <w:rFonts w:ascii="Arial" w:cs="Arial" w:eastAsia="Arial" w:hAnsi="Arial"/>
                <w:sz w:val="16"/>
                <w:szCs w:val="16"/>
                <w:color w:val="auto"/>
              </w:rPr>
              <w:t>14,158</w:t>
            </w:r>
          </w:p>
        </w:tc>
        <w:tc>
          <w:tcPr>
            <w:tcW w:w="1080" w:type="dxa"/>
            <w:vAlign w:val="bottom"/>
            <w:shd w:val="clear" w:color="auto" w:fill="E2E6F4"/>
          </w:tcPr>
          <w:p>
            <w:pPr>
              <w:ind w:left="840"/>
              <w:spacing w:after="0"/>
              <w:rPr>
                <w:sz w:val="20"/>
                <w:szCs w:val="20"/>
                <w:color w:val="auto"/>
              </w:rPr>
            </w:pPr>
            <w:r>
              <w:rPr>
                <w:rFonts w:ascii="Arial" w:cs="Arial" w:eastAsia="Arial" w:hAnsi="Arial"/>
                <w:sz w:val="16"/>
                <w:szCs w:val="16"/>
                <w:color w:val="auto"/>
              </w:rPr>
              <w:t>—</w:t>
            </w:r>
          </w:p>
        </w:tc>
        <w:tc>
          <w:tcPr>
            <w:tcW w:w="1020" w:type="dxa"/>
            <w:vAlign w:val="bottom"/>
            <w:shd w:val="clear" w:color="auto" w:fill="E2E6F4"/>
          </w:tcPr>
          <w:p>
            <w:pPr>
              <w:ind w:left="780"/>
              <w:spacing w:after="0"/>
              <w:rPr>
                <w:sz w:val="20"/>
                <w:szCs w:val="20"/>
                <w:color w:val="auto"/>
              </w:rPr>
            </w:pPr>
            <w:r>
              <w:rPr>
                <w:rFonts w:ascii="Arial" w:cs="Arial" w:eastAsia="Arial" w:hAnsi="Arial"/>
                <w:sz w:val="16"/>
                <w:szCs w:val="16"/>
                <w:color w:val="auto"/>
              </w:rPr>
              <w:t>—</w:t>
            </w:r>
          </w:p>
        </w:tc>
        <w:tc>
          <w:tcPr>
            <w:tcW w:w="700" w:type="dxa"/>
            <w:vAlign w:val="bottom"/>
            <w:shd w:val="clear" w:color="auto" w:fill="E2E6F4"/>
          </w:tcPr>
          <w:p>
            <w:pPr>
              <w:jc w:val="right"/>
              <w:spacing w:after="0"/>
              <w:rPr>
                <w:sz w:val="20"/>
                <w:szCs w:val="20"/>
                <w:color w:val="auto"/>
              </w:rPr>
            </w:pPr>
            <w:r>
              <w:rPr>
                <w:rFonts w:ascii="Arial" w:cs="Arial" w:eastAsia="Arial" w:hAnsi="Arial"/>
                <w:sz w:val="16"/>
                <w:szCs w:val="16"/>
                <w:color w:val="auto"/>
              </w:rPr>
              <w:t>147.11</w:t>
            </w:r>
          </w:p>
        </w:tc>
        <w:tc>
          <w:tcPr>
            <w:tcW w:w="1060" w:type="dxa"/>
            <w:vAlign w:val="bottom"/>
            <w:shd w:val="clear" w:color="auto" w:fill="E2E6F4"/>
          </w:tcPr>
          <w:p>
            <w:pPr>
              <w:jc w:val="right"/>
              <w:ind w:right="119"/>
              <w:spacing w:after="0"/>
              <w:rPr>
                <w:sz w:val="20"/>
                <w:szCs w:val="20"/>
                <w:color w:val="auto"/>
              </w:rPr>
            </w:pPr>
            <w:r>
              <w:rPr>
                <w:rFonts w:ascii="Arial" w:cs="Arial" w:eastAsia="Arial" w:hAnsi="Arial"/>
                <w:sz w:val="16"/>
                <w:szCs w:val="16"/>
                <w:color w:val="auto"/>
              </w:rPr>
              <w:t>3/10/2031</w:t>
            </w:r>
          </w:p>
        </w:tc>
        <w:tc>
          <w:tcPr>
            <w:tcW w:w="1100" w:type="dxa"/>
            <w:vAlign w:val="bottom"/>
            <w:shd w:val="clear" w:color="auto" w:fill="E2E6F4"/>
          </w:tcPr>
          <w:p>
            <w:pPr>
              <w:jc w:val="right"/>
              <w:ind w:right="40"/>
              <w:spacing w:after="0"/>
              <w:rPr>
                <w:sz w:val="20"/>
                <w:szCs w:val="20"/>
                <w:color w:val="auto"/>
              </w:rPr>
            </w:pPr>
            <w:r>
              <w:rPr>
                <w:rFonts w:ascii="Arial" w:cs="Arial" w:eastAsia="Arial" w:hAnsi="Arial"/>
                <w:sz w:val="16"/>
                <w:szCs w:val="16"/>
                <w:color w:val="auto"/>
              </w:rPr>
              <w:t>—</w:t>
            </w:r>
          </w:p>
        </w:tc>
        <w:tc>
          <w:tcPr>
            <w:tcW w:w="1000" w:type="dxa"/>
            <w:vAlign w:val="bottom"/>
            <w:shd w:val="clear" w:color="auto" w:fill="E2E6F4"/>
          </w:tcPr>
          <w:p>
            <w:pPr>
              <w:jc w:val="right"/>
              <w:ind w:right="20"/>
              <w:spacing w:after="0"/>
              <w:rPr>
                <w:sz w:val="20"/>
                <w:szCs w:val="20"/>
                <w:color w:val="auto"/>
              </w:rPr>
            </w:pPr>
            <w:r>
              <w:rPr>
                <w:rFonts w:ascii="Arial" w:cs="Arial" w:eastAsia="Arial" w:hAnsi="Arial"/>
                <w:sz w:val="16"/>
                <w:szCs w:val="16"/>
                <w:color w:val="auto"/>
              </w:rPr>
              <w:t>—</w:t>
            </w:r>
          </w:p>
        </w:tc>
        <w:tc>
          <w:tcPr>
            <w:tcW w:w="1040" w:type="dxa"/>
            <w:vAlign w:val="bottom"/>
            <w:shd w:val="clear" w:color="auto" w:fill="E2E6F4"/>
          </w:tcPr>
          <w:p>
            <w:pPr>
              <w:jc w:val="right"/>
              <w:ind w:right="1"/>
              <w:spacing w:after="0"/>
              <w:rPr>
                <w:sz w:val="20"/>
                <w:szCs w:val="20"/>
                <w:color w:val="auto"/>
              </w:rPr>
            </w:pPr>
            <w:r>
              <w:rPr>
                <w:rFonts w:ascii="Arial" w:cs="Arial" w:eastAsia="Arial" w:hAnsi="Arial"/>
                <w:sz w:val="16"/>
                <w:szCs w:val="16"/>
                <w:color w:val="auto"/>
              </w:rPr>
              <w:t>—</w:t>
            </w:r>
          </w:p>
        </w:tc>
        <w:tc>
          <w:tcPr>
            <w:tcW w:w="340" w:type="dxa"/>
            <w:vAlign w:val="bottom"/>
            <w:shd w:val="clear" w:color="auto" w:fill="E2E6F4"/>
          </w:tcPr>
          <w:p>
            <w:pPr>
              <w:spacing w:after="0"/>
              <w:rPr>
                <w:sz w:val="19"/>
                <w:szCs w:val="19"/>
                <w:color w:val="auto"/>
              </w:rPr>
            </w:pPr>
          </w:p>
        </w:tc>
        <w:tc>
          <w:tcPr>
            <w:tcW w:w="1180" w:type="dxa"/>
            <w:vAlign w:val="bottom"/>
            <w:shd w:val="clear" w:color="auto" w:fill="E2E6F4"/>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43"/>
        </w:trPr>
        <w:tc>
          <w:tcPr>
            <w:tcW w:w="880" w:type="dxa"/>
            <w:vAlign w:val="bottom"/>
            <w:shd w:val="clear" w:color="auto" w:fill="E2E6F4"/>
          </w:tcPr>
          <w:p>
            <w:pPr>
              <w:spacing w:after="0"/>
              <w:rPr>
                <w:sz w:val="21"/>
                <w:szCs w:val="21"/>
                <w:color w:val="auto"/>
              </w:rPr>
            </w:pPr>
          </w:p>
        </w:tc>
        <w:tc>
          <w:tcPr>
            <w:tcW w:w="880" w:type="dxa"/>
            <w:vAlign w:val="bottom"/>
            <w:shd w:val="clear" w:color="auto" w:fill="E2E6F4"/>
          </w:tcPr>
          <w:p>
            <w:pPr>
              <w:jc w:val="right"/>
              <w:spacing w:after="0"/>
              <w:rPr>
                <w:sz w:val="20"/>
                <w:szCs w:val="20"/>
                <w:color w:val="auto"/>
              </w:rPr>
            </w:pPr>
            <w:r>
              <w:rPr>
                <w:rFonts w:ascii="Arial" w:cs="Arial" w:eastAsia="Arial" w:hAnsi="Arial"/>
                <w:sz w:val="16"/>
                <w:szCs w:val="16"/>
                <w:color w:val="auto"/>
              </w:rPr>
              <w:t>4/4/2022</w:t>
            </w:r>
          </w:p>
        </w:tc>
        <w:tc>
          <w:tcPr>
            <w:tcW w:w="960" w:type="dxa"/>
            <w:vAlign w:val="bottom"/>
            <w:shd w:val="clear" w:color="auto" w:fill="E2E6F4"/>
          </w:tcPr>
          <w:p>
            <w:pPr>
              <w:jc w:val="right"/>
              <w:spacing w:after="0"/>
              <w:rPr>
                <w:sz w:val="20"/>
                <w:szCs w:val="20"/>
                <w:color w:val="auto"/>
              </w:rPr>
            </w:pPr>
            <w:r>
              <w:rPr>
                <w:rFonts w:ascii="Arial" w:cs="Arial" w:eastAsia="Arial" w:hAnsi="Arial"/>
                <w:sz w:val="16"/>
                <w:szCs w:val="16"/>
                <w:color w:val="auto"/>
              </w:rPr>
              <w:t>—</w:t>
            </w:r>
          </w:p>
        </w:tc>
        <w:tc>
          <w:tcPr>
            <w:tcW w:w="1080" w:type="dxa"/>
            <w:vAlign w:val="bottom"/>
            <w:shd w:val="clear" w:color="auto" w:fill="E2E6F4"/>
          </w:tcPr>
          <w:p>
            <w:pPr>
              <w:ind w:left="840"/>
              <w:spacing w:after="0"/>
              <w:rPr>
                <w:sz w:val="20"/>
                <w:szCs w:val="20"/>
                <w:color w:val="auto"/>
              </w:rPr>
            </w:pPr>
            <w:r>
              <w:rPr>
                <w:rFonts w:ascii="Arial" w:cs="Arial" w:eastAsia="Arial" w:hAnsi="Arial"/>
                <w:sz w:val="16"/>
                <w:szCs w:val="16"/>
                <w:color w:val="auto"/>
              </w:rPr>
              <w:t>—</w:t>
            </w:r>
          </w:p>
        </w:tc>
        <w:tc>
          <w:tcPr>
            <w:tcW w:w="1020" w:type="dxa"/>
            <w:vAlign w:val="bottom"/>
            <w:shd w:val="clear" w:color="auto" w:fill="E2E6F4"/>
          </w:tcPr>
          <w:p>
            <w:pPr>
              <w:ind w:left="780"/>
              <w:spacing w:after="0"/>
              <w:rPr>
                <w:sz w:val="20"/>
                <w:szCs w:val="20"/>
                <w:color w:val="auto"/>
              </w:rPr>
            </w:pPr>
            <w:r>
              <w:rPr>
                <w:rFonts w:ascii="Arial" w:cs="Arial" w:eastAsia="Arial" w:hAnsi="Arial"/>
                <w:sz w:val="16"/>
                <w:szCs w:val="16"/>
                <w:color w:val="auto"/>
              </w:rPr>
              <w:t>—</w:t>
            </w:r>
          </w:p>
        </w:tc>
        <w:tc>
          <w:tcPr>
            <w:tcW w:w="700" w:type="dxa"/>
            <w:vAlign w:val="bottom"/>
            <w:shd w:val="clear" w:color="auto" w:fill="E2E6F4"/>
          </w:tcPr>
          <w:p>
            <w:pPr>
              <w:jc w:val="right"/>
              <w:spacing w:after="0"/>
              <w:rPr>
                <w:sz w:val="20"/>
                <w:szCs w:val="20"/>
                <w:color w:val="auto"/>
              </w:rPr>
            </w:pPr>
            <w:r>
              <w:rPr>
                <w:rFonts w:ascii="Arial" w:cs="Arial" w:eastAsia="Arial" w:hAnsi="Arial"/>
                <w:sz w:val="16"/>
                <w:szCs w:val="16"/>
                <w:color w:val="auto"/>
              </w:rPr>
              <w:t>—</w:t>
            </w:r>
          </w:p>
        </w:tc>
        <w:tc>
          <w:tcPr>
            <w:tcW w:w="1060" w:type="dxa"/>
            <w:vAlign w:val="bottom"/>
            <w:shd w:val="clear" w:color="auto" w:fill="E2E6F4"/>
          </w:tcPr>
          <w:p>
            <w:pPr>
              <w:jc w:val="right"/>
              <w:ind w:right="119"/>
              <w:spacing w:after="0"/>
              <w:rPr>
                <w:sz w:val="20"/>
                <w:szCs w:val="20"/>
                <w:color w:val="auto"/>
              </w:rPr>
            </w:pPr>
            <w:r>
              <w:rPr>
                <w:rFonts w:ascii="Arial" w:cs="Arial" w:eastAsia="Arial" w:hAnsi="Arial"/>
                <w:sz w:val="16"/>
                <w:szCs w:val="16"/>
                <w:color w:val="auto"/>
              </w:rPr>
              <w:t>—</w:t>
            </w:r>
          </w:p>
        </w:tc>
        <w:tc>
          <w:tcPr>
            <w:tcW w:w="1100" w:type="dxa"/>
            <w:vAlign w:val="bottom"/>
            <w:shd w:val="clear" w:color="auto" w:fill="E2E6F4"/>
          </w:tcPr>
          <w:p>
            <w:pPr>
              <w:jc w:val="right"/>
              <w:ind w:right="40"/>
              <w:spacing w:after="0"/>
              <w:rPr>
                <w:sz w:val="20"/>
                <w:szCs w:val="20"/>
                <w:color w:val="auto"/>
              </w:rPr>
            </w:pPr>
            <w:r>
              <w:rPr>
                <w:rFonts w:ascii="Arial" w:cs="Arial" w:eastAsia="Arial" w:hAnsi="Arial"/>
                <w:sz w:val="16"/>
                <w:szCs w:val="16"/>
                <w:color w:val="auto"/>
              </w:rPr>
              <w:t>1,670</w:t>
            </w:r>
          </w:p>
        </w:tc>
        <w:tc>
          <w:tcPr>
            <w:tcW w:w="1000" w:type="dxa"/>
            <w:vAlign w:val="bottom"/>
            <w:shd w:val="clear" w:color="auto" w:fill="E2E6F4"/>
          </w:tcPr>
          <w:p>
            <w:pPr>
              <w:jc w:val="right"/>
              <w:ind w:right="20"/>
              <w:spacing w:after="0"/>
              <w:rPr>
                <w:sz w:val="20"/>
                <w:szCs w:val="20"/>
                <w:color w:val="auto"/>
              </w:rPr>
            </w:pPr>
            <w:r>
              <w:rPr>
                <w:rFonts w:ascii="Arial" w:cs="Arial" w:eastAsia="Arial" w:hAnsi="Arial"/>
                <w:sz w:val="16"/>
                <w:szCs w:val="16"/>
                <w:color w:val="auto"/>
              </w:rPr>
              <w:t>390,997</w:t>
            </w:r>
          </w:p>
        </w:tc>
        <w:tc>
          <w:tcPr>
            <w:tcW w:w="1380" w:type="dxa"/>
            <w:vAlign w:val="bottom"/>
            <w:gridSpan w:val="2"/>
            <w:shd w:val="clear" w:color="auto" w:fill="E2E6F4"/>
          </w:tcPr>
          <w:p>
            <w:pPr>
              <w:jc w:val="right"/>
              <w:spacing w:after="0" w:line="243"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0"/>
                <w:szCs w:val="10"/>
                <w:color w:val="auto"/>
              </w:rPr>
              <w:t xml:space="preserve"> (4),(5)</w:t>
            </w:r>
          </w:p>
        </w:tc>
        <w:tc>
          <w:tcPr>
            <w:tcW w:w="1180" w:type="dxa"/>
            <w:vAlign w:val="bottom"/>
            <w:shd w:val="clear" w:color="auto" w:fill="E2E6F4"/>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43"/>
        </w:trPr>
        <w:tc>
          <w:tcPr>
            <w:tcW w:w="880" w:type="dxa"/>
            <w:vAlign w:val="bottom"/>
            <w:shd w:val="clear" w:color="auto" w:fill="E2E6F4"/>
          </w:tcPr>
          <w:p>
            <w:pPr>
              <w:spacing w:after="0"/>
              <w:rPr>
                <w:sz w:val="21"/>
                <w:szCs w:val="21"/>
                <w:color w:val="auto"/>
              </w:rPr>
            </w:pPr>
          </w:p>
        </w:tc>
        <w:tc>
          <w:tcPr>
            <w:tcW w:w="880" w:type="dxa"/>
            <w:vAlign w:val="bottom"/>
            <w:shd w:val="clear" w:color="auto" w:fill="E2E6F4"/>
          </w:tcPr>
          <w:p>
            <w:pPr>
              <w:jc w:val="right"/>
              <w:spacing w:after="0"/>
              <w:rPr>
                <w:sz w:val="20"/>
                <w:szCs w:val="20"/>
                <w:color w:val="auto"/>
              </w:rPr>
            </w:pPr>
            <w:r>
              <w:rPr>
                <w:rFonts w:ascii="Arial" w:cs="Arial" w:eastAsia="Arial" w:hAnsi="Arial"/>
                <w:sz w:val="16"/>
                <w:szCs w:val="16"/>
                <w:color w:val="auto"/>
              </w:rPr>
              <w:t>4/3/2023</w:t>
            </w:r>
          </w:p>
        </w:tc>
        <w:tc>
          <w:tcPr>
            <w:tcW w:w="960" w:type="dxa"/>
            <w:vAlign w:val="bottom"/>
            <w:shd w:val="clear" w:color="auto" w:fill="E2E6F4"/>
          </w:tcPr>
          <w:p>
            <w:pPr>
              <w:jc w:val="right"/>
              <w:spacing w:after="0"/>
              <w:rPr>
                <w:sz w:val="20"/>
                <w:szCs w:val="20"/>
                <w:color w:val="auto"/>
              </w:rPr>
            </w:pPr>
            <w:r>
              <w:rPr>
                <w:rFonts w:ascii="Arial" w:cs="Arial" w:eastAsia="Arial" w:hAnsi="Arial"/>
                <w:sz w:val="16"/>
                <w:szCs w:val="16"/>
                <w:color w:val="auto"/>
              </w:rPr>
              <w:t>—</w:t>
            </w:r>
          </w:p>
        </w:tc>
        <w:tc>
          <w:tcPr>
            <w:tcW w:w="1080" w:type="dxa"/>
            <w:vAlign w:val="bottom"/>
            <w:shd w:val="clear" w:color="auto" w:fill="E2E6F4"/>
          </w:tcPr>
          <w:p>
            <w:pPr>
              <w:ind w:left="840"/>
              <w:spacing w:after="0"/>
              <w:rPr>
                <w:sz w:val="20"/>
                <w:szCs w:val="20"/>
                <w:color w:val="auto"/>
              </w:rPr>
            </w:pPr>
            <w:r>
              <w:rPr>
                <w:rFonts w:ascii="Arial" w:cs="Arial" w:eastAsia="Arial" w:hAnsi="Arial"/>
                <w:sz w:val="16"/>
                <w:szCs w:val="16"/>
                <w:color w:val="auto"/>
              </w:rPr>
              <w:t>—</w:t>
            </w:r>
          </w:p>
        </w:tc>
        <w:tc>
          <w:tcPr>
            <w:tcW w:w="1020" w:type="dxa"/>
            <w:vAlign w:val="bottom"/>
            <w:shd w:val="clear" w:color="auto" w:fill="E2E6F4"/>
          </w:tcPr>
          <w:p>
            <w:pPr>
              <w:ind w:left="780"/>
              <w:spacing w:after="0"/>
              <w:rPr>
                <w:sz w:val="20"/>
                <w:szCs w:val="20"/>
                <w:color w:val="auto"/>
              </w:rPr>
            </w:pPr>
            <w:r>
              <w:rPr>
                <w:rFonts w:ascii="Arial" w:cs="Arial" w:eastAsia="Arial" w:hAnsi="Arial"/>
                <w:sz w:val="16"/>
                <w:szCs w:val="16"/>
                <w:color w:val="auto"/>
              </w:rPr>
              <w:t>—</w:t>
            </w:r>
          </w:p>
        </w:tc>
        <w:tc>
          <w:tcPr>
            <w:tcW w:w="700" w:type="dxa"/>
            <w:vAlign w:val="bottom"/>
            <w:shd w:val="clear" w:color="auto" w:fill="E2E6F4"/>
          </w:tcPr>
          <w:p>
            <w:pPr>
              <w:jc w:val="right"/>
              <w:spacing w:after="0"/>
              <w:rPr>
                <w:sz w:val="20"/>
                <w:szCs w:val="20"/>
                <w:color w:val="auto"/>
              </w:rPr>
            </w:pPr>
            <w:r>
              <w:rPr>
                <w:rFonts w:ascii="Arial" w:cs="Arial" w:eastAsia="Arial" w:hAnsi="Arial"/>
                <w:sz w:val="16"/>
                <w:szCs w:val="16"/>
                <w:color w:val="auto"/>
              </w:rPr>
              <w:t>—</w:t>
            </w:r>
          </w:p>
        </w:tc>
        <w:tc>
          <w:tcPr>
            <w:tcW w:w="1060" w:type="dxa"/>
            <w:vAlign w:val="bottom"/>
            <w:shd w:val="clear" w:color="auto" w:fill="E2E6F4"/>
          </w:tcPr>
          <w:p>
            <w:pPr>
              <w:jc w:val="right"/>
              <w:ind w:right="119"/>
              <w:spacing w:after="0"/>
              <w:rPr>
                <w:sz w:val="20"/>
                <w:szCs w:val="20"/>
                <w:color w:val="auto"/>
              </w:rPr>
            </w:pPr>
            <w:r>
              <w:rPr>
                <w:rFonts w:ascii="Arial" w:cs="Arial" w:eastAsia="Arial" w:hAnsi="Arial"/>
                <w:sz w:val="16"/>
                <w:szCs w:val="16"/>
                <w:color w:val="auto"/>
              </w:rPr>
              <w:t>—</w:t>
            </w:r>
          </w:p>
        </w:tc>
        <w:tc>
          <w:tcPr>
            <w:tcW w:w="1100" w:type="dxa"/>
            <w:vAlign w:val="bottom"/>
            <w:shd w:val="clear" w:color="auto" w:fill="E2E6F4"/>
          </w:tcPr>
          <w:p>
            <w:pPr>
              <w:jc w:val="right"/>
              <w:ind w:right="40"/>
              <w:spacing w:after="0"/>
              <w:rPr>
                <w:sz w:val="20"/>
                <w:szCs w:val="20"/>
                <w:color w:val="auto"/>
              </w:rPr>
            </w:pPr>
            <w:r>
              <w:rPr>
                <w:rFonts w:ascii="Arial" w:cs="Arial" w:eastAsia="Arial" w:hAnsi="Arial"/>
                <w:sz w:val="16"/>
                <w:szCs w:val="16"/>
                <w:color w:val="auto"/>
              </w:rPr>
              <w:t>4,706</w:t>
            </w:r>
          </w:p>
        </w:tc>
        <w:tc>
          <w:tcPr>
            <w:tcW w:w="1000" w:type="dxa"/>
            <w:vAlign w:val="bottom"/>
            <w:shd w:val="clear" w:color="auto" w:fill="E2E6F4"/>
          </w:tcPr>
          <w:p>
            <w:pPr>
              <w:jc w:val="right"/>
              <w:ind w:right="20"/>
              <w:spacing w:after="0"/>
              <w:rPr>
                <w:sz w:val="20"/>
                <w:szCs w:val="20"/>
                <w:color w:val="auto"/>
              </w:rPr>
            </w:pPr>
            <w:r>
              <w:rPr>
                <w:rFonts w:ascii="Arial" w:cs="Arial" w:eastAsia="Arial" w:hAnsi="Arial"/>
                <w:sz w:val="16"/>
                <w:szCs w:val="16"/>
                <w:color w:val="auto"/>
              </w:rPr>
              <w:t>1,101,816</w:t>
            </w:r>
          </w:p>
        </w:tc>
        <w:tc>
          <w:tcPr>
            <w:tcW w:w="1040" w:type="dxa"/>
            <w:vAlign w:val="bottom"/>
            <w:shd w:val="clear" w:color="auto" w:fill="E2E6F4"/>
          </w:tcPr>
          <w:p>
            <w:pPr>
              <w:jc w:val="right"/>
              <w:ind w:right="1"/>
              <w:spacing w:after="0"/>
              <w:rPr>
                <w:sz w:val="20"/>
                <w:szCs w:val="20"/>
                <w:color w:val="auto"/>
              </w:rPr>
            </w:pPr>
            <w:r>
              <w:rPr>
                <w:rFonts w:ascii="Arial" w:cs="Arial" w:eastAsia="Arial" w:hAnsi="Arial"/>
                <w:sz w:val="16"/>
                <w:szCs w:val="16"/>
                <w:color w:val="auto"/>
              </w:rPr>
              <w:t>4,180</w:t>
            </w:r>
          </w:p>
        </w:tc>
        <w:tc>
          <w:tcPr>
            <w:tcW w:w="340" w:type="dxa"/>
            <w:vAlign w:val="bottom"/>
            <w:shd w:val="clear" w:color="auto" w:fill="E2E6F4"/>
          </w:tcPr>
          <w:p>
            <w:pPr>
              <w:jc w:val="right"/>
              <w:spacing w:after="0"/>
              <w:rPr>
                <w:sz w:val="20"/>
                <w:szCs w:val="20"/>
                <w:color w:val="auto"/>
              </w:rPr>
            </w:pPr>
            <w:r>
              <w:rPr>
                <w:rFonts w:ascii="Arial" w:cs="Arial" w:eastAsia="Arial" w:hAnsi="Arial"/>
                <w:sz w:val="11"/>
                <w:szCs w:val="11"/>
                <w:color w:val="auto"/>
                <w:w w:val="93"/>
              </w:rPr>
              <w:t>(4),(5)</w:t>
            </w:r>
          </w:p>
        </w:tc>
        <w:tc>
          <w:tcPr>
            <w:tcW w:w="1180" w:type="dxa"/>
            <w:vAlign w:val="bottom"/>
            <w:shd w:val="clear" w:color="auto" w:fill="E2E6F4"/>
          </w:tcPr>
          <w:p>
            <w:pPr>
              <w:jc w:val="right"/>
              <w:spacing w:after="0"/>
              <w:rPr>
                <w:sz w:val="20"/>
                <w:szCs w:val="20"/>
                <w:color w:val="auto"/>
              </w:rPr>
            </w:pPr>
            <w:r>
              <w:rPr>
                <w:rFonts w:ascii="Arial" w:cs="Arial" w:eastAsia="Arial" w:hAnsi="Arial"/>
                <w:sz w:val="16"/>
                <w:szCs w:val="16"/>
                <w:color w:val="auto"/>
              </w:rPr>
              <w:t>978,663</w:t>
            </w:r>
          </w:p>
        </w:tc>
        <w:tc>
          <w:tcPr>
            <w:tcW w:w="0" w:type="dxa"/>
            <w:vAlign w:val="bottom"/>
          </w:tcPr>
          <w:p>
            <w:pPr>
              <w:spacing w:after="0"/>
              <w:rPr>
                <w:sz w:val="1"/>
                <w:szCs w:val="1"/>
                <w:color w:val="auto"/>
              </w:rPr>
            </w:pPr>
          </w:p>
        </w:tc>
      </w:tr>
      <w:tr>
        <w:trPr>
          <w:trHeight w:val="243"/>
        </w:trPr>
        <w:tc>
          <w:tcPr>
            <w:tcW w:w="880" w:type="dxa"/>
            <w:vAlign w:val="bottom"/>
            <w:shd w:val="clear" w:color="auto" w:fill="E2E6F4"/>
          </w:tcPr>
          <w:p>
            <w:pPr>
              <w:spacing w:after="0"/>
              <w:rPr>
                <w:sz w:val="21"/>
                <w:szCs w:val="21"/>
                <w:color w:val="auto"/>
              </w:rPr>
            </w:pPr>
          </w:p>
        </w:tc>
        <w:tc>
          <w:tcPr>
            <w:tcW w:w="880" w:type="dxa"/>
            <w:vAlign w:val="bottom"/>
            <w:shd w:val="clear" w:color="auto" w:fill="E2E6F4"/>
          </w:tcPr>
          <w:p>
            <w:pPr>
              <w:jc w:val="right"/>
              <w:spacing w:after="0"/>
              <w:rPr>
                <w:sz w:val="20"/>
                <w:szCs w:val="20"/>
                <w:color w:val="auto"/>
              </w:rPr>
            </w:pPr>
            <w:r>
              <w:rPr>
                <w:rFonts w:ascii="Arial" w:cs="Arial" w:eastAsia="Arial" w:hAnsi="Arial"/>
                <w:sz w:val="16"/>
                <w:szCs w:val="16"/>
                <w:color w:val="auto"/>
              </w:rPr>
              <w:t>9/10/2024</w:t>
            </w:r>
          </w:p>
        </w:tc>
        <w:tc>
          <w:tcPr>
            <w:tcW w:w="960" w:type="dxa"/>
            <w:vAlign w:val="bottom"/>
            <w:shd w:val="clear" w:color="auto" w:fill="E2E6F4"/>
          </w:tcPr>
          <w:p>
            <w:pPr>
              <w:jc w:val="right"/>
              <w:spacing w:after="0"/>
              <w:rPr>
                <w:sz w:val="20"/>
                <w:szCs w:val="20"/>
                <w:color w:val="auto"/>
              </w:rPr>
            </w:pPr>
            <w:r>
              <w:rPr>
                <w:rFonts w:ascii="Arial" w:cs="Arial" w:eastAsia="Arial" w:hAnsi="Arial"/>
                <w:sz w:val="16"/>
                <w:szCs w:val="16"/>
                <w:color w:val="auto"/>
              </w:rPr>
              <w:t>—</w:t>
            </w:r>
          </w:p>
        </w:tc>
        <w:tc>
          <w:tcPr>
            <w:tcW w:w="1080" w:type="dxa"/>
            <w:vAlign w:val="bottom"/>
            <w:shd w:val="clear" w:color="auto" w:fill="E2E6F4"/>
          </w:tcPr>
          <w:p>
            <w:pPr>
              <w:ind w:left="840"/>
              <w:spacing w:after="0"/>
              <w:rPr>
                <w:sz w:val="20"/>
                <w:szCs w:val="20"/>
                <w:color w:val="auto"/>
              </w:rPr>
            </w:pPr>
            <w:r>
              <w:rPr>
                <w:rFonts w:ascii="Arial" w:cs="Arial" w:eastAsia="Arial" w:hAnsi="Arial"/>
                <w:sz w:val="16"/>
                <w:szCs w:val="16"/>
                <w:color w:val="auto"/>
              </w:rPr>
              <w:t>—</w:t>
            </w:r>
          </w:p>
        </w:tc>
        <w:tc>
          <w:tcPr>
            <w:tcW w:w="1020" w:type="dxa"/>
            <w:vAlign w:val="bottom"/>
            <w:shd w:val="clear" w:color="auto" w:fill="E2E6F4"/>
          </w:tcPr>
          <w:p>
            <w:pPr>
              <w:ind w:left="780"/>
              <w:spacing w:after="0"/>
              <w:rPr>
                <w:sz w:val="20"/>
                <w:szCs w:val="20"/>
                <w:color w:val="auto"/>
              </w:rPr>
            </w:pPr>
            <w:r>
              <w:rPr>
                <w:rFonts w:ascii="Arial" w:cs="Arial" w:eastAsia="Arial" w:hAnsi="Arial"/>
                <w:sz w:val="16"/>
                <w:szCs w:val="16"/>
                <w:color w:val="auto"/>
              </w:rPr>
              <w:t>—</w:t>
            </w:r>
          </w:p>
        </w:tc>
        <w:tc>
          <w:tcPr>
            <w:tcW w:w="700" w:type="dxa"/>
            <w:vAlign w:val="bottom"/>
            <w:shd w:val="clear" w:color="auto" w:fill="E2E6F4"/>
          </w:tcPr>
          <w:p>
            <w:pPr>
              <w:jc w:val="right"/>
              <w:spacing w:after="0"/>
              <w:rPr>
                <w:sz w:val="20"/>
                <w:szCs w:val="20"/>
                <w:color w:val="auto"/>
              </w:rPr>
            </w:pPr>
            <w:r>
              <w:rPr>
                <w:rFonts w:ascii="Arial" w:cs="Arial" w:eastAsia="Arial" w:hAnsi="Arial"/>
                <w:sz w:val="16"/>
                <w:szCs w:val="16"/>
                <w:color w:val="auto"/>
              </w:rPr>
              <w:t>—</w:t>
            </w:r>
          </w:p>
        </w:tc>
        <w:tc>
          <w:tcPr>
            <w:tcW w:w="1060" w:type="dxa"/>
            <w:vAlign w:val="bottom"/>
            <w:shd w:val="clear" w:color="auto" w:fill="E2E6F4"/>
          </w:tcPr>
          <w:p>
            <w:pPr>
              <w:jc w:val="right"/>
              <w:ind w:right="119"/>
              <w:spacing w:after="0"/>
              <w:rPr>
                <w:sz w:val="20"/>
                <w:szCs w:val="20"/>
                <w:color w:val="auto"/>
              </w:rPr>
            </w:pPr>
            <w:r>
              <w:rPr>
                <w:rFonts w:ascii="Arial" w:cs="Arial" w:eastAsia="Arial" w:hAnsi="Arial"/>
                <w:sz w:val="16"/>
                <w:szCs w:val="16"/>
                <w:color w:val="auto"/>
              </w:rPr>
              <w:t>—</w:t>
            </w:r>
          </w:p>
        </w:tc>
        <w:tc>
          <w:tcPr>
            <w:tcW w:w="1100" w:type="dxa"/>
            <w:vAlign w:val="bottom"/>
            <w:shd w:val="clear" w:color="auto" w:fill="E2E6F4"/>
          </w:tcPr>
          <w:p>
            <w:pPr>
              <w:jc w:val="right"/>
              <w:ind w:right="40"/>
              <w:spacing w:after="0"/>
              <w:rPr>
                <w:sz w:val="20"/>
                <w:szCs w:val="20"/>
                <w:color w:val="auto"/>
              </w:rPr>
            </w:pPr>
            <w:r>
              <w:rPr>
                <w:rFonts w:ascii="Arial" w:cs="Arial" w:eastAsia="Arial" w:hAnsi="Arial"/>
                <w:sz w:val="16"/>
                <w:szCs w:val="16"/>
                <w:color w:val="auto"/>
              </w:rPr>
              <w:t>4,375</w:t>
            </w:r>
          </w:p>
        </w:tc>
        <w:tc>
          <w:tcPr>
            <w:tcW w:w="1000" w:type="dxa"/>
            <w:vAlign w:val="bottom"/>
            <w:shd w:val="clear" w:color="auto" w:fill="E2E6F4"/>
          </w:tcPr>
          <w:p>
            <w:pPr>
              <w:jc w:val="right"/>
              <w:ind w:right="20"/>
              <w:spacing w:after="0"/>
              <w:rPr>
                <w:sz w:val="20"/>
                <w:szCs w:val="20"/>
                <w:color w:val="auto"/>
              </w:rPr>
            </w:pPr>
            <w:r>
              <w:rPr>
                <w:rFonts w:ascii="Arial" w:cs="Arial" w:eastAsia="Arial" w:hAnsi="Arial"/>
                <w:sz w:val="16"/>
                <w:szCs w:val="16"/>
                <w:color w:val="auto"/>
              </w:rPr>
              <w:t>1,024,319</w:t>
            </w:r>
          </w:p>
        </w:tc>
        <w:tc>
          <w:tcPr>
            <w:tcW w:w="1040" w:type="dxa"/>
            <w:vAlign w:val="bottom"/>
            <w:shd w:val="clear" w:color="auto" w:fill="E2E6F4"/>
          </w:tcPr>
          <w:p>
            <w:pPr>
              <w:jc w:val="right"/>
              <w:ind w:right="1"/>
              <w:spacing w:after="0"/>
              <w:rPr>
                <w:sz w:val="20"/>
                <w:szCs w:val="20"/>
                <w:color w:val="auto"/>
              </w:rPr>
            </w:pPr>
            <w:r>
              <w:rPr>
                <w:rFonts w:ascii="Arial" w:cs="Arial" w:eastAsia="Arial" w:hAnsi="Arial"/>
                <w:sz w:val="16"/>
                <w:szCs w:val="16"/>
                <w:color w:val="auto"/>
              </w:rPr>
              <w:t>9,897</w:t>
            </w:r>
          </w:p>
        </w:tc>
        <w:tc>
          <w:tcPr>
            <w:tcW w:w="340" w:type="dxa"/>
            <w:vAlign w:val="bottom"/>
            <w:shd w:val="clear" w:color="auto" w:fill="E2E6F4"/>
          </w:tcPr>
          <w:p>
            <w:pPr>
              <w:jc w:val="right"/>
              <w:spacing w:after="0"/>
              <w:rPr>
                <w:sz w:val="20"/>
                <w:szCs w:val="20"/>
                <w:color w:val="auto"/>
              </w:rPr>
            </w:pPr>
            <w:r>
              <w:rPr>
                <w:rFonts w:ascii="Arial" w:cs="Arial" w:eastAsia="Arial" w:hAnsi="Arial"/>
                <w:sz w:val="11"/>
                <w:szCs w:val="11"/>
                <w:color w:val="auto"/>
                <w:w w:val="93"/>
              </w:rPr>
              <w:t>(4),(5)</w:t>
            </w:r>
          </w:p>
        </w:tc>
        <w:tc>
          <w:tcPr>
            <w:tcW w:w="1180" w:type="dxa"/>
            <w:vAlign w:val="bottom"/>
            <w:shd w:val="clear" w:color="auto" w:fill="E2E6F4"/>
          </w:tcPr>
          <w:p>
            <w:pPr>
              <w:jc w:val="right"/>
              <w:spacing w:after="0"/>
              <w:rPr>
                <w:sz w:val="20"/>
                <w:szCs w:val="20"/>
                <w:color w:val="auto"/>
              </w:rPr>
            </w:pPr>
            <w:r>
              <w:rPr>
                <w:rFonts w:ascii="Arial" w:cs="Arial" w:eastAsia="Arial" w:hAnsi="Arial"/>
                <w:sz w:val="16"/>
                <w:szCs w:val="16"/>
                <w:color w:val="auto"/>
              </w:rPr>
              <w:t>2,317,185</w:t>
            </w:r>
          </w:p>
        </w:tc>
        <w:tc>
          <w:tcPr>
            <w:tcW w:w="0" w:type="dxa"/>
            <w:vAlign w:val="bottom"/>
          </w:tcPr>
          <w:p>
            <w:pPr>
              <w:spacing w:after="0"/>
              <w:rPr>
                <w:sz w:val="1"/>
                <w:szCs w:val="1"/>
                <w:color w:val="auto"/>
              </w:rPr>
            </w:pPr>
          </w:p>
        </w:tc>
      </w:tr>
      <w:tr>
        <w:trPr>
          <w:trHeight w:val="281"/>
        </w:trPr>
        <w:tc>
          <w:tcPr>
            <w:tcW w:w="880" w:type="dxa"/>
            <w:vAlign w:val="bottom"/>
            <w:shd w:val="clear" w:color="auto" w:fill="E2E6F4"/>
          </w:tcPr>
          <w:p>
            <w:pPr>
              <w:spacing w:after="0"/>
              <w:rPr>
                <w:sz w:val="24"/>
                <w:szCs w:val="24"/>
                <w:color w:val="auto"/>
              </w:rPr>
            </w:pPr>
          </w:p>
        </w:tc>
        <w:tc>
          <w:tcPr>
            <w:tcW w:w="880" w:type="dxa"/>
            <w:vAlign w:val="bottom"/>
            <w:shd w:val="clear" w:color="auto" w:fill="E2E6F4"/>
          </w:tcPr>
          <w:p>
            <w:pPr>
              <w:jc w:val="right"/>
              <w:spacing w:after="0"/>
              <w:rPr>
                <w:sz w:val="20"/>
                <w:szCs w:val="20"/>
                <w:color w:val="auto"/>
              </w:rPr>
            </w:pPr>
            <w:r>
              <w:rPr>
                <w:rFonts w:ascii="Arial" w:cs="Arial" w:eastAsia="Arial" w:hAnsi="Arial"/>
                <w:sz w:val="16"/>
                <w:szCs w:val="16"/>
                <w:color w:val="auto"/>
              </w:rPr>
              <w:t>4/8/2025</w:t>
            </w:r>
          </w:p>
        </w:tc>
        <w:tc>
          <w:tcPr>
            <w:tcW w:w="960" w:type="dxa"/>
            <w:vAlign w:val="bottom"/>
            <w:shd w:val="clear" w:color="auto" w:fill="E2E6F4"/>
          </w:tcPr>
          <w:p>
            <w:pPr>
              <w:jc w:val="right"/>
              <w:spacing w:after="0"/>
              <w:rPr>
                <w:sz w:val="20"/>
                <w:szCs w:val="20"/>
                <w:color w:val="auto"/>
              </w:rPr>
            </w:pPr>
            <w:r>
              <w:rPr>
                <w:rFonts w:ascii="Arial" w:cs="Arial" w:eastAsia="Arial" w:hAnsi="Arial"/>
                <w:sz w:val="16"/>
                <w:szCs w:val="16"/>
                <w:color w:val="auto"/>
              </w:rPr>
              <w:t>—</w:t>
            </w:r>
          </w:p>
        </w:tc>
        <w:tc>
          <w:tcPr>
            <w:tcW w:w="1080" w:type="dxa"/>
            <w:vAlign w:val="bottom"/>
            <w:shd w:val="clear" w:color="auto" w:fill="E2E6F4"/>
          </w:tcPr>
          <w:p>
            <w:pPr>
              <w:ind w:left="840"/>
              <w:spacing w:after="0"/>
              <w:rPr>
                <w:sz w:val="20"/>
                <w:szCs w:val="20"/>
                <w:color w:val="auto"/>
              </w:rPr>
            </w:pPr>
            <w:r>
              <w:rPr>
                <w:rFonts w:ascii="Arial" w:cs="Arial" w:eastAsia="Arial" w:hAnsi="Arial"/>
                <w:sz w:val="16"/>
                <w:szCs w:val="16"/>
                <w:color w:val="auto"/>
              </w:rPr>
              <w:t>—</w:t>
            </w:r>
          </w:p>
        </w:tc>
        <w:tc>
          <w:tcPr>
            <w:tcW w:w="1020" w:type="dxa"/>
            <w:vAlign w:val="bottom"/>
            <w:shd w:val="clear" w:color="auto" w:fill="E2E6F4"/>
          </w:tcPr>
          <w:p>
            <w:pPr>
              <w:ind w:left="780"/>
              <w:spacing w:after="0"/>
              <w:rPr>
                <w:sz w:val="20"/>
                <w:szCs w:val="20"/>
                <w:color w:val="auto"/>
              </w:rPr>
            </w:pPr>
            <w:r>
              <w:rPr>
                <w:rFonts w:ascii="Arial" w:cs="Arial" w:eastAsia="Arial" w:hAnsi="Arial"/>
                <w:sz w:val="16"/>
                <w:szCs w:val="16"/>
                <w:color w:val="auto"/>
              </w:rPr>
              <w:t>—</w:t>
            </w:r>
          </w:p>
        </w:tc>
        <w:tc>
          <w:tcPr>
            <w:tcW w:w="700" w:type="dxa"/>
            <w:vAlign w:val="bottom"/>
            <w:shd w:val="clear" w:color="auto" w:fill="E2E6F4"/>
          </w:tcPr>
          <w:p>
            <w:pPr>
              <w:jc w:val="right"/>
              <w:spacing w:after="0"/>
              <w:rPr>
                <w:sz w:val="20"/>
                <w:szCs w:val="20"/>
                <w:color w:val="auto"/>
              </w:rPr>
            </w:pPr>
            <w:r>
              <w:rPr>
                <w:rFonts w:ascii="Arial" w:cs="Arial" w:eastAsia="Arial" w:hAnsi="Arial"/>
                <w:sz w:val="16"/>
                <w:szCs w:val="16"/>
                <w:color w:val="auto"/>
              </w:rPr>
              <w:t>—</w:t>
            </w:r>
          </w:p>
        </w:tc>
        <w:tc>
          <w:tcPr>
            <w:tcW w:w="1060" w:type="dxa"/>
            <w:vAlign w:val="bottom"/>
            <w:shd w:val="clear" w:color="auto" w:fill="E2E6F4"/>
          </w:tcPr>
          <w:p>
            <w:pPr>
              <w:jc w:val="right"/>
              <w:ind w:right="119"/>
              <w:spacing w:after="0"/>
              <w:rPr>
                <w:sz w:val="20"/>
                <w:szCs w:val="20"/>
                <w:color w:val="auto"/>
              </w:rPr>
            </w:pPr>
            <w:r>
              <w:rPr>
                <w:rFonts w:ascii="Arial" w:cs="Arial" w:eastAsia="Arial" w:hAnsi="Arial"/>
                <w:sz w:val="16"/>
                <w:szCs w:val="16"/>
                <w:color w:val="auto"/>
              </w:rPr>
              <w:t>—</w:t>
            </w:r>
          </w:p>
        </w:tc>
        <w:tc>
          <w:tcPr>
            <w:tcW w:w="1100" w:type="dxa"/>
            <w:vAlign w:val="bottom"/>
            <w:shd w:val="clear" w:color="auto" w:fill="E2E6F4"/>
          </w:tcPr>
          <w:p>
            <w:pPr>
              <w:jc w:val="right"/>
              <w:ind w:right="40"/>
              <w:spacing w:after="0"/>
              <w:rPr>
                <w:sz w:val="20"/>
                <w:szCs w:val="20"/>
                <w:color w:val="auto"/>
              </w:rPr>
            </w:pPr>
            <w:r>
              <w:rPr>
                <w:rFonts w:ascii="Arial" w:cs="Arial" w:eastAsia="Arial" w:hAnsi="Arial"/>
                <w:sz w:val="16"/>
                <w:szCs w:val="16"/>
                <w:color w:val="auto"/>
              </w:rPr>
              <w:t>10,717</w:t>
            </w:r>
          </w:p>
        </w:tc>
        <w:tc>
          <w:tcPr>
            <w:tcW w:w="1000" w:type="dxa"/>
            <w:vAlign w:val="bottom"/>
            <w:shd w:val="clear" w:color="auto" w:fill="E2E6F4"/>
          </w:tcPr>
          <w:p>
            <w:pPr>
              <w:jc w:val="right"/>
              <w:ind w:right="20"/>
              <w:spacing w:after="0"/>
              <w:rPr>
                <w:sz w:val="20"/>
                <w:szCs w:val="20"/>
                <w:color w:val="auto"/>
              </w:rPr>
            </w:pPr>
            <w:r>
              <w:rPr>
                <w:rFonts w:ascii="Arial" w:cs="Arial" w:eastAsia="Arial" w:hAnsi="Arial"/>
                <w:sz w:val="16"/>
                <w:szCs w:val="16"/>
                <w:color w:val="auto"/>
              </w:rPr>
              <w:t>2,509,171</w:t>
            </w:r>
          </w:p>
        </w:tc>
        <w:tc>
          <w:tcPr>
            <w:tcW w:w="1040" w:type="dxa"/>
            <w:vAlign w:val="bottom"/>
            <w:shd w:val="clear" w:color="auto" w:fill="E2E6F4"/>
          </w:tcPr>
          <w:p>
            <w:pPr>
              <w:jc w:val="right"/>
              <w:ind w:right="1"/>
              <w:spacing w:after="0"/>
              <w:rPr>
                <w:sz w:val="20"/>
                <w:szCs w:val="20"/>
                <w:color w:val="auto"/>
              </w:rPr>
            </w:pPr>
            <w:r>
              <w:rPr>
                <w:rFonts w:ascii="Arial" w:cs="Arial" w:eastAsia="Arial" w:hAnsi="Arial"/>
                <w:sz w:val="16"/>
                <w:szCs w:val="16"/>
                <w:color w:val="auto"/>
              </w:rPr>
              <w:t>18,823</w:t>
            </w:r>
          </w:p>
        </w:tc>
        <w:tc>
          <w:tcPr>
            <w:tcW w:w="340" w:type="dxa"/>
            <w:vAlign w:val="bottom"/>
            <w:shd w:val="clear" w:color="auto" w:fill="E2E6F4"/>
          </w:tcPr>
          <w:p>
            <w:pPr>
              <w:jc w:val="right"/>
              <w:spacing w:after="0"/>
              <w:rPr>
                <w:sz w:val="20"/>
                <w:szCs w:val="20"/>
                <w:color w:val="auto"/>
              </w:rPr>
            </w:pPr>
            <w:r>
              <w:rPr>
                <w:rFonts w:ascii="Arial" w:cs="Arial" w:eastAsia="Arial" w:hAnsi="Arial"/>
                <w:sz w:val="11"/>
                <w:szCs w:val="11"/>
                <w:color w:val="auto"/>
                <w:w w:val="93"/>
              </w:rPr>
              <w:t>(4),(5)</w:t>
            </w:r>
          </w:p>
        </w:tc>
        <w:tc>
          <w:tcPr>
            <w:tcW w:w="1180" w:type="dxa"/>
            <w:vAlign w:val="bottom"/>
            <w:shd w:val="clear" w:color="auto" w:fill="E2E6F4"/>
          </w:tcPr>
          <w:p>
            <w:pPr>
              <w:jc w:val="right"/>
              <w:spacing w:after="0"/>
              <w:rPr>
                <w:sz w:val="20"/>
                <w:szCs w:val="20"/>
                <w:color w:val="auto"/>
              </w:rPr>
            </w:pPr>
            <w:r>
              <w:rPr>
                <w:rFonts w:ascii="Arial" w:cs="Arial" w:eastAsia="Arial" w:hAnsi="Arial"/>
                <w:sz w:val="16"/>
                <w:szCs w:val="16"/>
                <w:color w:val="auto"/>
              </w:rPr>
              <w:t>4,407,029</w:t>
            </w:r>
          </w:p>
        </w:tc>
        <w:tc>
          <w:tcPr>
            <w:tcW w:w="0" w:type="dxa"/>
            <w:vAlign w:val="bottom"/>
          </w:tcPr>
          <w:p>
            <w:pPr>
              <w:spacing w:after="0"/>
              <w:rPr>
                <w:sz w:val="1"/>
                <w:szCs w:val="1"/>
                <w:color w:val="auto"/>
              </w:rPr>
            </w:pPr>
          </w:p>
        </w:tc>
      </w:tr>
      <w:tr>
        <w:trPr>
          <w:trHeight w:val="235"/>
        </w:trPr>
        <w:tc>
          <w:tcPr>
            <w:tcW w:w="880" w:type="dxa"/>
            <w:vAlign w:val="bottom"/>
          </w:tcPr>
          <w:p>
            <w:pPr>
              <w:ind w:left="20"/>
              <w:spacing w:after="0"/>
              <w:rPr>
                <w:sz w:val="20"/>
                <w:szCs w:val="20"/>
                <w:color w:val="auto"/>
              </w:rPr>
            </w:pPr>
            <w:r>
              <w:rPr>
                <w:rFonts w:ascii="Arial" w:cs="Arial" w:eastAsia="Arial" w:hAnsi="Arial"/>
                <w:sz w:val="16"/>
                <w:szCs w:val="16"/>
                <w:b w:val="1"/>
                <w:bCs w:val="1"/>
                <w:color w:val="0067B3"/>
              </w:rPr>
              <w:t>Vivek Jain</w:t>
            </w:r>
          </w:p>
        </w:tc>
        <w:tc>
          <w:tcPr>
            <w:tcW w:w="880" w:type="dxa"/>
            <w:vAlign w:val="bottom"/>
          </w:tcPr>
          <w:p>
            <w:pPr>
              <w:jc w:val="right"/>
              <w:spacing w:after="0"/>
              <w:rPr>
                <w:sz w:val="20"/>
                <w:szCs w:val="20"/>
                <w:color w:val="auto"/>
              </w:rPr>
            </w:pPr>
            <w:r>
              <w:rPr>
                <w:rFonts w:ascii="Arial" w:cs="Arial" w:eastAsia="Arial" w:hAnsi="Arial"/>
                <w:sz w:val="16"/>
                <w:szCs w:val="16"/>
                <w:color w:val="auto"/>
              </w:rPr>
              <w:t>8/24/2021</w:t>
            </w:r>
          </w:p>
        </w:tc>
        <w:tc>
          <w:tcPr>
            <w:tcW w:w="960" w:type="dxa"/>
            <w:vAlign w:val="bottom"/>
          </w:tcPr>
          <w:p>
            <w:pPr>
              <w:jc w:val="right"/>
              <w:spacing w:after="0"/>
              <w:rPr>
                <w:sz w:val="20"/>
                <w:szCs w:val="20"/>
                <w:color w:val="auto"/>
              </w:rPr>
            </w:pPr>
            <w:r>
              <w:rPr>
                <w:rFonts w:ascii="Arial" w:cs="Arial" w:eastAsia="Arial" w:hAnsi="Arial"/>
                <w:sz w:val="16"/>
                <w:szCs w:val="16"/>
                <w:color w:val="auto"/>
              </w:rPr>
              <w:t>—</w:t>
            </w:r>
          </w:p>
        </w:tc>
        <w:tc>
          <w:tcPr>
            <w:tcW w:w="1080" w:type="dxa"/>
            <w:vAlign w:val="bottom"/>
          </w:tcPr>
          <w:p>
            <w:pPr>
              <w:ind w:left="840"/>
              <w:spacing w:after="0"/>
              <w:rPr>
                <w:sz w:val="20"/>
                <w:szCs w:val="20"/>
                <w:color w:val="auto"/>
              </w:rPr>
            </w:pPr>
            <w:r>
              <w:rPr>
                <w:rFonts w:ascii="Arial" w:cs="Arial" w:eastAsia="Arial" w:hAnsi="Arial"/>
                <w:sz w:val="16"/>
                <w:szCs w:val="16"/>
                <w:color w:val="auto"/>
              </w:rPr>
              <w:t>—</w:t>
            </w:r>
          </w:p>
        </w:tc>
        <w:tc>
          <w:tcPr>
            <w:tcW w:w="1020" w:type="dxa"/>
            <w:vAlign w:val="bottom"/>
          </w:tcPr>
          <w:p>
            <w:pPr>
              <w:ind w:left="780"/>
              <w:spacing w:after="0"/>
              <w:rPr>
                <w:sz w:val="20"/>
                <w:szCs w:val="20"/>
                <w:color w:val="auto"/>
              </w:rPr>
            </w:pPr>
            <w:r>
              <w:rPr>
                <w:rFonts w:ascii="Arial" w:cs="Arial" w:eastAsia="Arial" w:hAnsi="Arial"/>
                <w:sz w:val="16"/>
                <w:szCs w:val="16"/>
                <w:color w:val="auto"/>
              </w:rPr>
              <w:t>—</w:t>
            </w:r>
          </w:p>
        </w:tc>
        <w:tc>
          <w:tcPr>
            <w:tcW w:w="700" w:type="dxa"/>
            <w:vAlign w:val="bottom"/>
          </w:tcPr>
          <w:p>
            <w:pPr>
              <w:jc w:val="right"/>
              <w:spacing w:after="0"/>
              <w:rPr>
                <w:sz w:val="20"/>
                <w:szCs w:val="20"/>
                <w:color w:val="auto"/>
              </w:rPr>
            </w:pPr>
            <w:r>
              <w:rPr>
                <w:rFonts w:ascii="Arial" w:cs="Arial" w:eastAsia="Arial" w:hAnsi="Arial"/>
                <w:sz w:val="16"/>
                <w:szCs w:val="16"/>
                <w:color w:val="auto"/>
              </w:rPr>
              <w:t>—</w:t>
            </w:r>
          </w:p>
        </w:tc>
        <w:tc>
          <w:tcPr>
            <w:tcW w:w="106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100" w:type="dxa"/>
            <w:vAlign w:val="bottom"/>
          </w:tcPr>
          <w:p>
            <w:pPr>
              <w:jc w:val="right"/>
              <w:ind w:right="40"/>
              <w:spacing w:after="0"/>
              <w:rPr>
                <w:sz w:val="20"/>
                <w:szCs w:val="20"/>
                <w:color w:val="auto"/>
              </w:rPr>
            </w:pPr>
            <w:r>
              <w:rPr>
                <w:rFonts w:ascii="Arial" w:cs="Arial" w:eastAsia="Arial" w:hAnsi="Arial"/>
                <w:sz w:val="16"/>
                <w:szCs w:val="16"/>
                <w:color w:val="auto"/>
              </w:rPr>
              <w:t>2,290</w:t>
            </w:r>
          </w:p>
        </w:tc>
        <w:tc>
          <w:tcPr>
            <w:tcW w:w="1000" w:type="dxa"/>
            <w:vAlign w:val="bottom"/>
          </w:tcPr>
          <w:p>
            <w:pPr>
              <w:jc w:val="right"/>
              <w:ind w:right="20"/>
              <w:spacing w:after="0"/>
              <w:rPr>
                <w:sz w:val="20"/>
                <w:szCs w:val="20"/>
                <w:color w:val="auto"/>
              </w:rPr>
            </w:pPr>
            <w:r>
              <w:rPr>
                <w:rFonts w:ascii="Arial" w:cs="Arial" w:eastAsia="Arial" w:hAnsi="Arial"/>
                <w:sz w:val="16"/>
                <w:szCs w:val="16"/>
                <w:color w:val="auto"/>
              </w:rPr>
              <w:t>536,158</w:t>
            </w:r>
          </w:p>
        </w:tc>
        <w:tc>
          <w:tcPr>
            <w:tcW w:w="1040" w:type="dxa"/>
            <w:vAlign w:val="bottom"/>
          </w:tcPr>
          <w:p>
            <w:pPr>
              <w:jc w:val="right"/>
              <w:ind w:right="1"/>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5"/>
        </w:trPr>
        <w:tc>
          <w:tcPr>
            <w:tcW w:w="88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4/4/2022</w:t>
            </w:r>
          </w:p>
        </w:tc>
        <w:tc>
          <w:tcPr>
            <w:tcW w:w="960" w:type="dxa"/>
            <w:vAlign w:val="bottom"/>
          </w:tcPr>
          <w:p>
            <w:pPr>
              <w:jc w:val="right"/>
              <w:spacing w:after="0"/>
              <w:rPr>
                <w:sz w:val="20"/>
                <w:szCs w:val="20"/>
                <w:color w:val="auto"/>
              </w:rPr>
            </w:pPr>
            <w:r>
              <w:rPr>
                <w:rFonts w:ascii="Arial" w:cs="Arial" w:eastAsia="Arial" w:hAnsi="Arial"/>
                <w:sz w:val="16"/>
                <w:szCs w:val="16"/>
                <w:color w:val="auto"/>
              </w:rPr>
              <w:t>—</w:t>
            </w:r>
          </w:p>
        </w:tc>
        <w:tc>
          <w:tcPr>
            <w:tcW w:w="1080" w:type="dxa"/>
            <w:vAlign w:val="bottom"/>
          </w:tcPr>
          <w:p>
            <w:pPr>
              <w:ind w:left="840"/>
              <w:spacing w:after="0"/>
              <w:rPr>
                <w:sz w:val="20"/>
                <w:szCs w:val="20"/>
                <w:color w:val="auto"/>
              </w:rPr>
            </w:pPr>
            <w:r>
              <w:rPr>
                <w:rFonts w:ascii="Arial" w:cs="Arial" w:eastAsia="Arial" w:hAnsi="Arial"/>
                <w:sz w:val="16"/>
                <w:szCs w:val="16"/>
                <w:color w:val="auto"/>
              </w:rPr>
              <w:t>—</w:t>
            </w:r>
          </w:p>
        </w:tc>
        <w:tc>
          <w:tcPr>
            <w:tcW w:w="1020" w:type="dxa"/>
            <w:vAlign w:val="bottom"/>
          </w:tcPr>
          <w:p>
            <w:pPr>
              <w:ind w:left="780"/>
              <w:spacing w:after="0"/>
              <w:rPr>
                <w:sz w:val="20"/>
                <w:szCs w:val="20"/>
                <w:color w:val="auto"/>
              </w:rPr>
            </w:pPr>
            <w:r>
              <w:rPr>
                <w:rFonts w:ascii="Arial" w:cs="Arial" w:eastAsia="Arial" w:hAnsi="Arial"/>
                <w:sz w:val="16"/>
                <w:szCs w:val="16"/>
                <w:color w:val="auto"/>
              </w:rPr>
              <w:t>—</w:t>
            </w:r>
          </w:p>
        </w:tc>
        <w:tc>
          <w:tcPr>
            <w:tcW w:w="700" w:type="dxa"/>
            <w:vAlign w:val="bottom"/>
          </w:tcPr>
          <w:p>
            <w:pPr>
              <w:jc w:val="right"/>
              <w:spacing w:after="0"/>
              <w:rPr>
                <w:sz w:val="20"/>
                <w:szCs w:val="20"/>
                <w:color w:val="auto"/>
              </w:rPr>
            </w:pPr>
            <w:r>
              <w:rPr>
                <w:rFonts w:ascii="Arial" w:cs="Arial" w:eastAsia="Arial" w:hAnsi="Arial"/>
                <w:sz w:val="16"/>
                <w:szCs w:val="16"/>
                <w:color w:val="auto"/>
              </w:rPr>
              <w:t>—</w:t>
            </w:r>
          </w:p>
        </w:tc>
        <w:tc>
          <w:tcPr>
            <w:tcW w:w="106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100" w:type="dxa"/>
            <w:vAlign w:val="bottom"/>
          </w:tcPr>
          <w:p>
            <w:pPr>
              <w:jc w:val="right"/>
              <w:ind w:right="40"/>
              <w:spacing w:after="0"/>
              <w:rPr>
                <w:sz w:val="20"/>
                <w:szCs w:val="20"/>
                <w:color w:val="auto"/>
              </w:rPr>
            </w:pPr>
            <w:r>
              <w:rPr>
                <w:rFonts w:ascii="Arial" w:cs="Arial" w:eastAsia="Arial" w:hAnsi="Arial"/>
                <w:sz w:val="16"/>
                <w:szCs w:val="16"/>
                <w:color w:val="auto"/>
              </w:rPr>
              <w:t>2,783</w:t>
            </w:r>
          </w:p>
        </w:tc>
        <w:tc>
          <w:tcPr>
            <w:tcW w:w="1000" w:type="dxa"/>
            <w:vAlign w:val="bottom"/>
          </w:tcPr>
          <w:p>
            <w:pPr>
              <w:jc w:val="right"/>
              <w:ind w:right="20"/>
              <w:spacing w:after="0"/>
              <w:rPr>
                <w:sz w:val="20"/>
                <w:szCs w:val="20"/>
                <w:color w:val="auto"/>
              </w:rPr>
            </w:pPr>
            <w:r>
              <w:rPr>
                <w:rFonts w:ascii="Arial" w:cs="Arial" w:eastAsia="Arial" w:hAnsi="Arial"/>
                <w:sz w:val="16"/>
                <w:szCs w:val="16"/>
                <w:color w:val="auto"/>
              </w:rPr>
              <w:t>651,584</w:t>
            </w:r>
          </w:p>
        </w:tc>
        <w:tc>
          <w:tcPr>
            <w:tcW w:w="1040" w:type="dxa"/>
            <w:vAlign w:val="bottom"/>
          </w:tcPr>
          <w:p>
            <w:pPr>
              <w:jc w:val="right"/>
              <w:ind w:right="1"/>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43"/>
        </w:trPr>
        <w:tc>
          <w:tcPr>
            <w:tcW w:w="8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4/3/2023</w:t>
            </w:r>
          </w:p>
        </w:tc>
        <w:tc>
          <w:tcPr>
            <w:tcW w:w="960" w:type="dxa"/>
            <w:vAlign w:val="bottom"/>
          </w:tcPr>
          <w:p>
            <w:pPr>
              <w:jc w:val="right"/>
              <w:spacing w:after="0"/>
              <w:rPr>
                <w:sz w:val="20"/>
                <w:szCs w:val="20"/>
                <w:color w:val="auto"/>
              </w:rPr>
            </w:pPr>
            <w:r>
              <w:rPr>
                <w:rFonts w:ascii="Arial" w:cs="Arial" w:eastAsia="Arial" w:hAnsi="Arial"/>
                <w:sz w:val="16"/>
                <w:szCs w:val="16"/>
                <w:color w:val="auto"/>
              </w:rPr>
              <w:t>—</w:t>
            </w:r>
          </w:p>
        </w:tc>
        <w:tc>
          <w:tcPr>
            <w:tcW w:w="1080" w:type="dxa"/>
            <w:vAlign w:val="bottom"/>
          </w:tcPr>
          <w:p>
            <w:pPr>
              <w:ind w:left="840"/>
              <w:spacing w:after="0"/>
              <w:rPr>
                <w:sz w:val="20"/>
                <w:szCs w:val="20"/>
                <w:color w:val="auto"/>
              </w:rPr>
            </w:pPr>
            <w:r>
              <w:rPr>
                <w:rFonts w:ascii="Arial" w:cs="Arial" w:eastAsia="Arial" w:hAnsi="Arial"/>
                <w:sz w:val="16"/>
                <w:szCs w:val="16"/>
                <w:color w:val="auto"/>
              </w:rPr>
              <w:t>—</w:t>
            </w:r>
          </w:p>
        </w:tc>
        <w:tc>
          <w:tcPr>
            <w:tcW w:w="1020" w:type="dxa"/>
            <w:vAlign w:val="bottom"/>
          </w:tcPr>
          <w:p>
            <w:pPr>
              <w:ind w:left="780"/>
              <w:spacing w:after="0"/>
              <w:rPr>
                <w:sz w:val="20"/>
                <w:szCs w:val="20"/>
                <w:color w:val="auto"/>
              </w:rPr>
            </w:pPr>
            <w:r>
              <w:rPr>
                <w:rFonts w:ascii="Arial" w:cs="Arial" w:eastAsia="Arial" w:hAnsi="Arial"/>
                <w:sz w:val="16"/>
                <w:szCs w:val="16"/>
                <w:color w:val="auto"/>
              </w:rPr>
              <w:t>—</w:t>
            </w:r>
          </w:p>
        </w:tc>
        <w:tc>
          <w:tcPr>
            <w:tcW w:w="700" w:type="dxa"/>
            <w:vAlign w:val="bottom"/>
          </w:tcPr>
          <w:p>
            <w:pPr>
              <w:jc w:val="right"/>
              <w:spacing w:after="0"/>
              <w:rPr>
                <w:sz w:val="20"/>
                <w:szCs w:val="20"/>
                <w:color w:val="auto"/>
              </w:rPr>
            </w:pPr>
            <w:r>
              <w:rPr>
                <w:rFonts w:ascii="Arial" w:cs="Arial" w:eastAsia="Arial" w:hAnsi="Arial"/>
                <w:sz w:val="16"/>
                <w:szCs w:val="16"/>
                <w:color w:val="auto"/>
              </w:rPr>
              <w:t>—</w:t>
            </w:r>
          </w:p>
        </w:tc>
        <w:tc>
          <w:tcPr>
            <w:tcW w:w="106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100" w:type="dxa"/>
            <w:vAlign w:val="bottom"/>
          </w:tcPr>
          <w:p>
            <w:pPr>
              <w:jc w:val="right"/>
              <w:ind w:right="40"/>
              <w:spacing w:after="0"/>
              <w:rPr>
                <w:sz w:val="20"/>
                <w:szCs w:val="20"/>
                <w:color w:val="auto"/>
              </w:rPr>
            </w:pPr>
            <w:r>
              <w:rPr>
                <w:rFonts w:ascii="Arial" w:cs="Arial" w:eastAsia="Arial" w:hAnsi="Arial"/>
                <w:sz w:val="16"/>
                <w:szCs w:val="16"/>
                <w:color w:val="auto"/>
              </w:rPr>
              <w:t>7,378</w:t>
            </w:r>
          </w:p>
        </w:tc>
        <w:tc>
          <w:tcPr>
            <w:tcW w:w="1000" w:type="dxa"/>
            <w:vAlign w:val="bottom"/>
          </w:tcPr>
          <w:p>
            <w:pPr>
              <w:jc w:val="right"/>
              <w:ind w:right="20"/>
              <w:spacing w:after="0"/>
              <w:rPr>
                <w:sz w:val="20"/>
                <w:szCs w:val="20"/>
                <w:color w:val="auto"/>
              </w:rPr>
            </w:pPr>
            <w:r>
              <w:rPr>
                <w:rFonts w:ascii="Arial" w:cs="Arial" w:eastAsia="Arial" w:hAnsi="Arial"/>
                <w:sz w:val="16"/>
                <w:szCs w:val="16"/>
                <w:color w:val="auto"/>
              </w:rPr>
              <w:t>1,727,411</w:t>
            </w:r>
          </w:p>
        </w:tc>
        <w:tc>
          <w:tcPr>
            <w:tcW w:w="1040" w:type="dxa"/>
            <w:vAlign w:val="bottom"/>
          </w:tcPr>
          <w:p>
            <w:pPr>
              <w:jc w:val="right"/>
              <w:ind w:right="1"/>
              <w:spacing w:after="0"/>
              <w:rPr>
                <w:sz w:val="20"/>
                <w:szCs w:val="20"/>
                <w:color w:val="auto"/>
              </w:rPr>
            </w:pPr>
            <w:r>
              <w:rPr>
                <w:rFonts w:ascii="Arial" w:cs="Arial" w:eastAsia="Arial" w:hAnsi="Arial"/>
                <w:sz w:val="16"/>
                <w:szCs w:val="16"/>
                <w:color w:val="auto"/>
              </w:rPr>
              <w:t>6,550</w:t>
            </w:r>
          </w:p>
        </w:tc>
        <w:tc>
          <w:tcPr>
            <w:tcW w:w="340" w:type="dxa"/>
            <w:vAlign w:val="bottom"/>
          </w:tcPr>
          <w:p>
            <w:pPr>
              <w:jc w:val="right"/>
              <w:spacing w:after="0"/>
              <w:rPr>
                <w:sz w:val="20"/>
                <w:szCs w:val="20"/>
                <w:color w:val="auto"/>
              </w:rPr>
            </w:pPr>
            <w:r>
              <w:rPr>
                <w:rFonts w:ascii="Arial" w:cs="Arial" w:eastAsia="Arial" w:hAnsi="Arial"/>
                <w:sz w:val="11"/>
                <w:szCs w:val="11"/>
                <w:color w:val="auto"/>
                <w:w w:val="93"/>
              </w:rPr>
              <w:t>(4),(5)</w:t>
            </w:r>
          </w:p>
        </w:tc>
        <w:tc>
          <w:tcPr>
            <w:tcW w:w="1180" w:type="dxa"/>
            <w:vAlign w:val="bottom"/>
          </w:tcPr>
          <w:p>
            <w:pPr>
              <w:jc w:val="right"/>
              <w:spacing w:after="0"/>
              <w:rPr>
                <w:sz w:val="20"/>
                <w:szCs w:val="20"/>
                <w:color w:val="auto"/>
              </w:rPr>
            </w:pPr>
            <w:r>
              <w:rPr>
                <w:rFonts w:ascii="Arial" w:cs="Arial" w:eastAsia="Arial" w:hAnsi="Arial"/>
                <w:sz w:val="16"/>
                <w:szCs w:val="16"/>
                <w:color w:val="auto"/>
              </w:rPr>
              <w:t>1,533,552</w:t>
            </w:r>
          </w:p>
        </w:tc>
        <w:tc>
          <w:tcPr>
            <w:tcW w:w="0" w:type="dxa"/>
            <w:vAlign w:val="bottom"/>
          </w:tcPr>
          <w:p>
            <w:pPr>
              <w:spacing w:after="0"/>
              <w:rPr>
                <w:sz w:val="1"/>
                <w:szCs w:val="1"/>
                <w:color w:val="auto"/>
              </w:rPr>
            </w:pPr>
          </w:p>
        </w:tc>
      </w:tr>
      <w:tr>
        <w:trPr>
          <w:trHeight w:val="324"/>
        </w:trPr>
        <w:tc>
          <w:tcPr>
            <w:tcW w:w="88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9/10/2024</w:t>
            </w:r>
          </w:p>
        </w:tc>
        <w:tc>
          <w:tcPr>
            <w:tcW w:w="960" w:type="dxa"/>
            <w:vAlign w:val="bottom"/>
          </w:tcPr>
          <w:p>
            <w:pPr>
              <w:jc w:val="right"/>
              <w:spacing w:after="0"/>
              <w:rPr>
                <w:sz w:val="20"/>
                <w:szCs w:val="20"/>
                <w:color w:val="auto"/>
              </w:rPr>
            </w:pPr>
            <w:r>
              <w:rPr>
                <w:rFonts w:ascii="Arial" w:cs="Arial" w:eastAsia="Arial" w:hAnsi="Arial"/>
                <w:sz w:val="16"/>
                <w:szCs w:val="16"/>
                <w:color w:val="auto"/>
              </w:rPr>
              <w:t>—</w:t>
            </w:r>
          </w:p>
        </w:tc>
        <w:tc>
          <w:tcPr>
            <w:tcW w:w="1080" w:type="dxa"/>
            <w:vAlign w:val="bottom"/>
          </w:tcPr>
          <w:p>
            <w:pPr>
              <w:ind w:left="840"/>
              <w:spacing w:after="0"/>
              <w:rPr>
                <w:sz w:val="20"/>
                <w:szCs w:val="20"/>
                <w:color w:val="auto"/>
              </w:rPr>
            </w:pPr>
            <w:r>
              <w:rPr>
                <w:rFonts w:ascii="Arial" w:cs="Arial" w:eastAsia="Arial" w:hAnsi="Arial"/>
                <w:sz w:val="16"/>
                <w:szCs w:val="16"/>
                <w:color w:val="auto"/>
              </w:rPr>
              <w:t>—</w:t>
            </w:r>
          </w:p>
        </w:tc>
        <w:tc>
          <w:tcPr>
            <w:tcW w:w="1020" w:type="dxa"/>
            <w:vAlign w:val="bottom"/>
          </w:tcPr>
          <w:p>
            <w:pPr>
              <w:ind w:left="780"/>
              <w:spacing w:after="0"/>
              <w:rPr>
                <w:sz w:val="20"/>
                <w:szCs w:val="20"/>
                <w:color w:val="auto"/>
              </w:rPr>
            </w:pPr>
            <w:r>
              <w:rPr>
                <w:rFonts w:ascii="Arial" w:cs="Arial" w:eastAsia="Arial" w:hAnsi="Arial"/>
                <w:sz w:val="16"/>
                <w:szCs w:val="16"/>
                <w:color w:val="auto"/>
              </w:rPr>
              <w:t>—</w:t>
            </w:r>
          </w:p>
        </w:tc>
        <w:tc>
          <w:tcPr>
            <w:tcW w:w="700" w:type="dxa"/>
            <w:vAlign w:val="bottom"/>
          </w:tcPr>
          <w:p>
            <w:pPr>
              <w:jc w:val="right"/>
              <w:spacing w:after="0"/>
              <w:rPr>
                <w:sz w:val="20"/>
                <w:szCs w:val="20"/>
                <w:color w:val="auto"/>
              </w:rPr>
            </w:pPr>
            <w:r>
              <w:rPr>
                <w:rFonts w:ascii="Arial" w:cs="Arial" w:eastAsia="Arial" w:hAnsi="Arial"/>
                <w:sz w:val="16"/>
                <w:szCs w:val="16"/>
                <w:color w:val="auto"/>
              </w:rPr>
              <w:t>—</w:t>
            </w:r>
          </w:p>
        </w:tc>
        <w:tc>
          <w:tcPr>
            <w:tcW w:w="106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100" w:type="dxa"/>
            <w:vAlign w:val="bottom"/>
          </w:tcPr>
          <w:p>
            <w:pPr>
              <w:jc w:val="right"/>
              <w:ind w:right="40"/>
              <w:spacing w:after="0"/>
              <w:rPr>
                <w:sz w:val="20"/>
                <w:szCs w:val="20"/>
                <w:color w:val="auto"/>
              </w:rPr>
            </w:pPr>
            <w:r>
              <w:rPr>
                <w:rFonts w:ascii="Arial" w:cs="Arial" w:eastAsia="Arial" w:hAnsi="Arial"/>
                <w:sz w:val="16"/>
                <w:szCs w:val="16"/>
                <w:color w:val="auto"/>
              </w:rPr>
              <w:t>6,563</w:t>
            </w:r>
          </w:p>
        </w:tc>
        <w:tc>
          <w:tcPr>
            <w:tcW w:w="1000" w:type="dxa"/>
            <w:vAlign w:val="bottom"/>
          </w:tcPr>
          <w:p>
            <w:pPr>
              <w:jc w:val="right"/>
              <w:ind w:right="20"/>
              <w:spacing w:after="0"/>
              <w:rPr>
                <w:sz w:val="20"/>
                <w:szCs w:val="20"/>
                <w:color w:val="auto"/>
              </w:rPr>
            </w:pPr>
            <w:r>
              <w:rPr>
                <w:rFonts w:ascii="Arial" w:cs="Arial" w:eastAsia="Arial" w:hAnsi="Arial"/>
                <w:sz w:val="16"/>
                <w:szCs w:val="16"/>
                <w:color w:val="auto"/>
              </w:rPr>
              <w:t>1,536,595</w:t>
            </w:r>
          </w:p>
        </w:tc>
        <w:tc>
          <w:tcPr>
            <w:tcW w:w="1040" w:type="dxa"/>
            <w:vAlign w:val="bottom"/>
          </w:tcPr>
          <w:p>
            <w:pPr>
              <w:jc w:val="right"/>
              <w:ind w:right="1"/>
              <w:spacing w:after="0"/>
              <w:rPr>
                <w:sz w:val="20"/>
                <w:szCs w:val="20"/>
                <w:color w:val="auto"/>
              </w:rPr>
            </w:pPr>
            <w:r>
              <w:rPr>
                <w:rFonts w:ascii="Arial" w:cs="Arial" w:eastAsia="Arial" w:hAnsi="Arial"/>
                <w:sz w:val="16"/>
                <w:szCs w:val="16"/>
                <w:color w:val="auto"/>
              </w:rPr>
              <w:t>14,844</w:t>
            </w:r>
          </w:p>
        </w:tc>
        <w:tc>
          <w:tcPr>
            <w:tcW w:w="340" w:type="dxa"/>
            <w:vAlign w:val="bottom"/>
          </w:tcPr>
          <w:p>
            <w:pPr>
              <w:jc w:val="right"/>
              <w:spacing w:after="0"/>
              <w:rPr>
                <w:sz w:val="20"/>
                <w:szCs w:val="20"/>
                <w:color w:val="auto"/>
              </w:rPr>
            </w:pPr>
            <w:r>
              <w:rPr>
                <w:rFonts w:ascii="Arial" w:cs="Arial" w:eastAsia="Arial" w:hAnsi="Arial"/>
                <w:sz w:val="11"/>
                <w:szCs w:val="11"/>
                <w:color w:val="auto"/>
                <w:w w:val="93"/>
              </w:rPr>
              <w:t>(4),(5)</w:t>
            </w:r>
          </w:p>
        </w:tc>
        <w:tc>
          <w:tcPr>
            <w:tcW w:w="1180" w:type="dxa"/>
            <w:vAlign w:val="bottom"/>
          </w:tcPr>
          <w:p>
            <w:pPr>
              <w:jc w:val="right"/>
              <w:spacing w:after="0"/>
              <w:rPr>
                <w:sz w:val="20"/>
                <w:szCs w:val="20"/>
                <w:color w:val="auto"/>
              </w:rPr>
            </w:pPr>
            <w:r>
              <w:rPr>
                <w:rFonts w:ascii="Arial" w:cs="Arial" w:eastAsia="Arial" w:hAnsi="Arial"/>
                <w:sz w:val="16"/>
                <w:szCs w:val="16"/>
                <w:color w:val="auto"/>
              </w:rPr>
              <w:t>3,475,426</w:t>
            </w:r>
          </w:p>
        </w:tc>
        <w:tc>
          <w:tcPr>
            <w:tcW w:w="0" w:type="dxa"/>
            <w:vAlign w:val="bottom"/>
          </w:tcPr>
          <w:p>
            <w:pPr>
              <w:spacing w:after="0"/>
              <w:rPr>
                <w:sz w:val="1"/>
                <w:szCs w:val="1"/>
                <w:color w:val="auto"/>
              </w:rPr>
            </w:pPr>
          </w:p>
        </w:tc>
      </w:tr>
      <w:tr>
        <w:trPr>
          <w:trHeight w:val="324"/>
        </w:trPr>
        <w:tc>
          <w:tcPr>
            <w:tcW w:w="88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4/8/2025</w:t>
            </w:r>
          </w:p>
        </w:tc>
        <w:tc>
          <w:tcPr>
            <w:tcW w:w="960" w:type="dxa"/>
            <w:vAlign w:val="bottom"/>
          </w:tcPr>
          <w:p>
            <w:pPr>
              <w:jc w:val="right"/>
              <w:spacing w:after="0"/>
              <w:rPr>
                <w:sz w:val="20"/>
                <w:szCs w:val="20"/>
                <w:color w:val="auto"/>
              </w:rPr>
            </w:pPr>
            <w:r>
              <w:rPr>
                <w:rFonts w:ascii="Arial" w:cs="Arial" w:eastAsia="Arial" w:hAnsi="Arial"/>
                <w:sz w:val="16"/>
                <w:szCs w:val="16"/>
                <w:color w:val="auto"/>
              </w:rPr>
              <w:t>—</w:t>
            </w:r>
          </w:p>
        </w:tc>
        <w:tc>
          <w:tcPr>
            <w:tcW w:w="1080" w:type="dxa"/>
            <w:vAlign w:val="bottom"/>
          </w:tcPr>
          <w:p>
            <w:pPr>
              <w:ind w:left="840"/>
              <w:spacing w:after="0"/>
              <w:rPr>
                <w:sz w:val="20"/>
                <w:szCs w:val="20"/>
                <w:color w:val="auto"/>
              </w:rPr>
            </w:pPr>
            <w:r>
              <w:rPr>
                <w:rFonts w:ascii="Arial" w:cs="Arial" w:eastAsia="Arial" w:hAnsi="Arial"/>
                <w:sz w:val="16"/>
                <w:szCs w:val="16"/>
                <w:color w:val="auto"/>
              </w:rPr>
              <w:t>—</w:t>
            </w:r>
          </w:p>
        </w:tc>
        <w:tc>
          <w:tcPr>
            <w:tcW w:w="1020" w:type="dxa"/>
            <w:vAlign w:val="bottom"/>
          </w:tcPr>
          <w:p>
            <w:pPr>
              <w:ind w:left="780"/>
              <w:spacing w:after="0"/>
              <w:rPr>
                <w:sz w:val="20"/>
                <w:szCs w:val="20"/>
                <w:color w:val="auto"/>
              </w:rPr>
            </w:pPr>
            <w:r>
              <w:rPr>
                <w:rFonts w:ascii="Arial" w:cs="Arial" w:eastAsia="Arial" w:hAnsi="Arial"/>
                <w:sz w:val="16"/>
                <w:szCs w:val="16"/>
                <w:color w:val="auto"/>
              </w:rPr>
              <w:t>—</w:t>
            </w:r>
          </w:p>
        </w:tc>
        <w:tc>
          <w:tcPr>
            <w:tcW w:w="700" w:type="dxa"/>
            <w:vAlign w:val="bottom"/>
          </w:tcPr>
          <w:p>
            <w:pPr>
              <w:jc w:val="right"/>
              <w:spacing w:after="0"/>
              <w:rPr>
                <w:sz w:val="20"/>
                <w:szCs w:val="20"/>
                <w:color w:val="auto"/>
              </w:rPr>
            </w:pPr>
            <w:r>
              <w:rPr>
                <w:rFonts w:ascii="Arial" w:cs="Arial" w:eastAsia="Arial" w:hAnsi="Arial"/>
                <w:sz w:val="16"/>
                <w:szCs w:val="16"/>
                <w:color w:val="auto"/>
              </w:rPr>
              <w:t>—</w:t>
            </w:r>
          </w:p>
        </w:tc>
        <w:tc>
          <w:tcPr>
            <w:tcW w:w="106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100" w:type="dxa"/>
            <w:vAlign w:val="bottom"/>
          </w:tcPr>
          <w:p>
            <w:pPr>
              <w:jc w:val="right"/>
              <w:ind w:right="40"/>
              <w:spacing w:after="0"/>
              <w:rPr>
                <w:sz w:val="20"/>
                <w:szCs w:val="20"/>
                <w:color w:val="auto"/>
              </w:rPr>
            </w:pPr>
            <w:r>
              <w:rPr>
                <w:rFonts w:ascii="Arial" w:cs="Arial" w:eastAsia="Arial" w:hAnsi="Arial"/>
                <w:sz w:val="16"/>
                <w:szCs w:val="16"/>
                <w:color w:val="auto"/>
              </w:rPr>
              <w:t>12,615</w:t>
            </w:r>
          </w:p>
        </w:tc>
        <w:tc>
          <w:tcPr>
            <w:tcW w:w="1000" w:type="dxa"/>
            <w:vAlign w:val="bottom"/>
          </w:tcPr>
          <w:p>
            <w:pPr>
              <w:jc w:val="right"/>
              <w:ind w:right="20"/>
              <w:spacing w:after="0"/>
              <w:rPr>
                <w:sz w:val="20"/>
                <w:szCs w:val="20"/>
                <w:color w:val="auto"/>
              </w:rPr>
            </w:pPr>
            <w:r>
              <w:rPr>
                <w:rFonts w:ascii="Arial" w:cs="Arial" w:eastAsia="Arial" w:hAnsi="Arial"/>
                <w:sz w:val="16"/>
                <w:szCs w:val="16"/>
                <w:color w:val="auto"/>
              </w:rPr>
              <w:t>2,953,550</w:t>
            </w:r>
          </w:p>
        </w:tc>
        <w:tc>
          <w:tcPr>
            <w:tcW w:w="1040" w:type="dxa"/>
            <w:vAlign w:val="bottom"/>
          </w:tcPr>
          <w:p>
            <w:pPr>
              <w:jc w:val="right"/>
              <w:ind w:right="1"/>
              <w:spacing w:after="0"/>
              <w:rPr>
                <w:sz w:val="20"/>
                <w:szCs w:val="20"/>
                <w:color w:val="auto"/>
              </w:rPr>
            </w:pPr>
            <w:r>
              <w:rPr>
                <w:rFonts w:ascii="Arial" w:cs="Arial" w:eastAsia="Arial" w:hAnsi="Arial"/>
                <w:sz w:val="16"/>
                <w:szCs w:val="16"/>
                <w:color w:val="auto"/>
              </w:rPr>
              <w:t>22,157</w:t>
            </w:r>
          </w:p>
        </w:tc>
        <w:tc>
          <w:tcPr>
            <w:tcW w:w="340" w:type="dxa"/>
            <w:vAlign w:val="bottom"/>
          </w:tcPr>
          <w:p>
            <w:pPr>
              <w:jc w:val="right"/>
              <w:spacing w:after="0"/>
              <w:rPr>
                <w:sz w:val="20"/>
                <w:szCs w:val="20"/>
                <w:color w:val="auto"/>
              </w:rPr>
            </w:pPr>
            <w:r>
              <w:rPr>
                <w:rFonts w:ascii="Arial" w:cs="Arial" w:eastAsia="Arial" w:hAnsi="Arial"/>
                <w:sz w:val="11"/>
                <w:szCs w:val="11"/>
                <w:color w:val="auto"/>
                <w:w w:val="93"/>
              </w:rPr>
              <w:t>(4),(5)</w:t>
            </w:r>
          </w:p>
        </w:tc>
        <w:tc>
          <w:tcPr>
            <w:tcW w:w="1180" w:type="dxa"/>
            <w:vAlign w:val="bottom"/>
          </w:tcPr>
          <w:p>
            <w:pPr>
              <w:jc w:val="right"/>
              <w:spacing w:after="0"/>
              <w:rPr>
                <w:sz w:val="20"/>
                <w:szCs w:val="20"/>
                <w:color w:val="auto"/>
              </w:rPr>
            </w:pPr>
            <w:r>
              <w:rPr>
                <w:rFonts w:ascii="Arial" w:cs="Arial" w:eastAsia="Arial" w:hAnsi="Arial"/>
                <w:sz w:val="16"/>
                <w:szCs w:val="16"/>
                <w:color w:val="auto"/>
              </w:rPr>
              <w:t>5,187,618</w:t>
            </w:r>
          </w:p>
        </w:tc>
        <w:tc>
          <w:tcPr>
            <w:tcW w:w="0" w:type="dxa"/>
            <w:vAlign w:val="bottom"/>
          </w:tcPr>
          <w:p>
            <w:pPr>
              <w:spacing w:after="0"/>
              <w:rPr>
                <w:sz w:val="1"/>
                <w:szCs w:val="1"/>
                <w:color w:val="auto"/>
              </w:rPr>
            </w:pPr>
          </w:p>
        </w:tc>
      </w:tr>
      <w:tr>
        <w:trPr>
          <w:trHeight w:val="96"/>
        </w:trPr>
        <w:tc>
          <w:tcPr>
            <w:tcW w:w="880" w:type="dxa"/>
            <w:vAlign w:val="bottom"/>
          </w:tcPr>
          <w:p>
            <w:pPr>
              <w:spacing w:after="0"/>
              <w:rPr>
                <w:sz w:val="8"/>
                <w:szCs w:val="8"/>
                <w:color w:val="auto"/>
              </w:rPr>
            </w:pPr>
          </w:p>
        </w:tc>
        <w:tc>
          <w:tcPr>
            <w:tcW w:w="880" w:type="dxa"/>
            <w:vAlign w:val="bottom"/>
          </w:tcPr>
          <w:p>
            <w:pPr>
              <w:spacing w:after="0"/>
              <w:rPr>
                <w:sz w:val="8"/>
                <w:szCs w:val="8"/>
                <w:color w:val="auto"/>
              </w:rPr>
            </w:pPr>
          </w:p>
        </w:tc>
        <w:tc>
          <w:tcPr>
            <w:tcW w:w="96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020" w:type="dxa"/>
            <w:vAlign w:val="bottom"/>
          </w:tcPr>
          <w:p>
            <w:pPr>
              <w:spacing w:after="0"/>
              <w:rPr>
                <w:sz w:val="8"/>
                <w:szCs w:val="8"/>
                <w:color w:val="auto"/>
              </w:rPr>
            </w:pPr>
          </w:p>
        </w:tc>
        <w:tc>
          <w:tcPr>
            <w:tcW w:w="70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040" w:type="dxa"/>
            <w:vAlign w:val="bottom"/>
          </w:tcPr>
          <w:p>
            <w:pPr>
              <w:spacing w:after="0"/>
              <w:rPr>
                <w:sz w:val="8"/>
                <w:szCs w:val="8"/>
                <w:color w:val="auto"/>
              </w:rPr>
            </w:pPr>
          </w:p>
        </w:tc>
        <w:tc>
          <w:tcPr>
            <w:tcW w:w="340" w:type="dxa"/>
            <w:vAlign w:val="bottom"/>
          </w:tcPr>
          <w:p>
            <w:pPr>
              <w:spacing w:after="0"/>
              <w:rPr>
                <w:sz w:val="8"/>
                <w:szCs w:val="8"/>
                <w:color w:val="auto"/>
              </w:rPr>
            </w:pPr>
          </w:p>
        </w:tc>
        <w:tc>
          <w:tcPr>
            <w:tcW w:w="11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9"/>
        </w:trPr>
        <w:tc>
          <w:tcPr>
            <w:tcW w:w="880" w:type="dxa"/>
            <w:vAlign w:val="bottom"/>
            <w:shd w:val="clear" w:color="auto" w:fill="E2E6F4"/>
          </w:tcPr>
          <w:p>
            <w:pPr>
              <w:ind w:left="20"/>
              <w:spacing w:after="0"/>
              <w:rPr>
                <w:sz w:val="20"/>
                <w:szCs w:val="20"/>
                <w:color w:val="auto"/>
              </w:rPr>
            </w:pPr>
            <w:r>
              <w:rPr>
                <w:rFonts w:ascii="Arial" w:cs="Arial" w:eastAsia="Arial" w:hAnsi="Arial"/>
                <w:sz w:val="16"/>
                <w:szCs w:val="16"/>
                <w:b w:val="1"/>
                <w:bCs w:val="1"/>
                <w:color w:val="0067B3"/>
              </w:rPr>
              <w:t>Katsu</w:t>
            </w:r>
          </w:p>
        </w:tc>
        <w:tc>
          <w:tcPr>
            <w:tcW w:w="880" w:type="dxa"/>
            <w:vAlign w:val="bottom"/>
            <w:shd w:val="clear" w:color="auto" w:fill="E2E6F4"/>
          </w:tcPr>
          <w:p>
            <w:pPr>
              <w:jc w:val="right"/>
              <w:spacing w:after="0"/>
              <w:rPr>
                <w:sz w:val="20"/>
                <w:szCs w:val="20"/>
                <w:color w:val="auto"/>
              </w:rPr>
            </w:pPr>
            <w:r>
              <w:rPr>
                <w:rFonts w:ascii="Arial" w:cs="Arial" w:eastAsia="Arial" w:hAnsi="Arial"/>
                <w:sz w:val="16"/>
                <w:szCs w:val="16"/>
                <w:color w:val="auto"/>
              </w:rPr>
              <w:t>3/3/2019</w:t>
            </w:r>
          </w:p>
        </w:tc>
        <w:tc>
          <w:tcPr>
            <w:tcW w:w="960" w:type="dxa"/>
            <w:vAlign w:val="bottom"/>
            <w:shd w:val="clear" w:color="auto" w:fill="E2E6F4"/>
          </w:tcPr>
          <w:p>
            <w:pPr>
              <w:jc w:val="right"/>
              <w:spacing w:after="0"/>
              <w:rPr>
                <w:sz w:val="20"/>
                <w:szCs w:val="20"/>
                <w:color w:val="auto"/>
              </w:rPr>
            </w:pPr>
            <w:r>
              <w:rPr>
                <w:rFonts w:ascii="Arial" w:cs="Arial" w:eastAsia="Arial" w:hAnsi="Arial"/>
                <w:sz w:val="16"/>
                <w:szCs w:val="16"/>
                <w:color w:val="auto"/>
              </w:rPr>
              <w:t>2,320</w:t>
            </w:r>
          </w:p>
        </w:tc>
        <w:tc>
          <w:tcPr>
            <w:tcW w:w="1080" w:type="dxa"/>
            <w:vAlign w:val="bottom"/>
            <w:shd w:val="clear" w:color="auto" w:fill="E2E6F4"/>
          </w:tcPr>
          <w:p>
            <w:pPr>
              <w:ind w:left="840"/>
              <w:spacing w:after="0"/>
              <w:rPr>
                <w:sz w:val="20"/>
                <w:szCs w:val="20"/>
                <w:color w:val="auto"/>
              </w:rPr>
            </w:pPr>
            <w:r>
              <w:rPr>
                <w:rFonts w:ascii="Arial" w:cs="Arial" w:eastAsia="Arial" w:hAnsi="Arial"/>
                <w:sz w:val="16"/>
                <w:szCs w:val="16"/>
                <w:color w:val="auto"/>
              </w:rPr>
              <w:t>—</w:t>
            </w:r>
          </w:p>
        </w:tc>
        <w:tc>
          <w:tcPr>
            <w:tcW w:w="1020" w:type="dxa"/>
            <w:vAlign w:val="bottom"/>
            <w:shd w:val="clear" w:color="auto" w:fill="E2E6F4"/>
          </w:tcPr>
          <w:p>
            <w:pPr>
              <w:ind w:left="780"/>
              <w:spacing w:after="0"/>
              <w:rPr>
                <w:sz w:val="20"/>
                <w:szCs w:val="20"/>
                <w:color w:val="auto"/>
              </w:rPr>
            </w:pPr>
            <w:r>
              <w:rPr>
                <w:rFonts w:ascii="Arial" w:cs="Arial" w:eastAsia="Arial" w:hAnsi="Arial"/>
                <w:sz w:val="16"/>
                <w:szCs w:val="16"/>
                <w:color w:val="auto"/>
              </w:rPr>
              <w:t>—</w:t>
            </w:r>
          </w:p>
        </w:tc>
        <w:tc>
          <w:tcPr>
            <w:tcW w:w="700" w:type="dxa"/>
            <w:vAlign w:val="bottom"/>
            <w:shd w:val="clear" w:color="auto" w:fill="E2E6F4"/>
          </w:tcPr>
          <w:p>
            <w:pPr>
              <w:jc w:val="right"/>
              <w:spacing w:after="0"/>
              <w:rPr>
                <w:sz w:val="20"/>
                <w:szCs w:val="20"/>
                <w:color w:val="auto"/>
              </w:rPr>
            </w:pPr>
            <w:r>
              <w:rPr>
                <w:rFonts w:ascii="Arial" w:cs="Arial" w:eastAsia="Arial" w:hAnsi="Arial"/>
                <w:sz w:val="16"/>
                <w:szCs w:val="16"/>
                <w:color w:val="auto"/>
              </w:rPr>
              <w:t>108.08</w:t>
            </w:r>
          </w:p>
        </w:tc>
        <w:tc>
          <w:tcPr>
            <w:tcW w:w="1060" w:type="dxa"/>
            <w:vAlign w:val="bottom"/>
            <w:shd w:val="clear" w:color="auto" w:fill="E2E6F4"/>
          </w:tcPr>
          <w:p>
            <w:pPr>
              <w:jc w:val="right"/>
              <w:ind w:right="119"/>
              <w:spacing w:after="0"/>
              <w:rPr>
                <w:sz w:val="20"/>
                <w:szCs w:val="20"/>
                <w:color w:val="auto"/>
              </w:rPr>
            </w:pPr>
            <w:r>
              <w:rPr>
                <w:rFonts w:ascii="Arial" w:cs="Arial" w:eastAsia="Arial" w:hAnsi="Arial"/>
                <w:sz w:val="16"/>
                <w:szCs w:val="16"/>
                <w:color w:val="auto"/>
              </w:rPr>
              <w:t>3/13/2029</w:t>
            </w:r>
          </w:p>
        </w:tc>
        <w:tc>
          <w:tcPr>
            <w:tcW w:w="1100" w:type="dxa"/>
            <w:vAlign w:val="bottom"/>
            <w:shd w:val="clear" w:color="auto" w:fill="E2E6F4"/>
          </w:tcPr>
          <w:p>
            <w:pPr>
              <w:jc w:val="right"/>
              <w:ind w:right="40"/>
              <w:spacing w:after="0"/>
              <w:rPr>
                <w:sz w:val="20"/>
                <w:szCs w:val="20"/>
                <w:color w:val="auto"/>
              </w:rPr>
            </w:pPr>
            <w:r>
              <w:rPr>
                <w:rFonts w:ascii="Arial" w:cs="Arial" w:eastAsia="Arial" w:hAnsi="Arial"/>
                <w:sz w:val="16"/>
                <w:szCs w:val="16"/>
                <w:color w:val="auto"/>
              </w:rPr>
              <w:t>—</w:t>
            </w:r>
          </w:p>
        </w:tc>
        <w:tc>
          <w:tcPr>
            <w:tcW w:w="1000" w:type="dxa"/>
            <w:vAlign w:val="bottom"/>
            <w:shd w:val="clear" w:color="auto" w:fill="E2E6F4"/>
          </w:tcPr>
          <w:p>
            <w:pPr>
              <w:jc w:val="right"/>
              <w:ind w:right="20"/>
              <w:spacing w:after="0"/>
              <w:rPr>
                <w:sz w:val="20"/>
                <w:szCs w:val="20"/>
                <w:color w:val="auto"/>
              </w:rPr>
            </w:pPr>
            <w:r>
              <w:rPr>
                <w:rFonts w:ascii="Arial" w:cs="Arial" w:eastAsia="Arial" w:hAnsi="Arial"/>
                <w:sz w:val="16"/>
                <w:szCs w:val="16"/>
                <w:color w:val="auto"/>
              </w:rPr>
              <w:t>—</w:t>
            </w:r>
          </w:p>
        </w:tc>
        <w:tc>
          <w:tcPr>
            <w:tcW w:w="1040" w:type="dxa"/>
            <w:vAlign w:val="bottom"/>
            <w:shd w:val="clear" w:color="auto" w:fill="E2E6F4"/>
          </w:tcPr>
          <w:p>
            <w:pPr>
              <w:jc w:val="right"/>
              <w:ind w:right="1"/>
              <w:spacing w:after="0"/>
              <w:rPr>
                <w:sz w:val="20"/>
                <w:szCs w:val="20"/>
                <w:color w:val="auto"/>
              </w:rPr>
            </w:pPr>
            <w:r>
              <w:rPr>
                <w:rFonts w:ascii="Arial" w:cs="Arial" w:eastAsia="Arial" w:hAnsi="Arial"/>
                <w:sz w:val="16"/>
                <w:szCs w:val="16"/>
                <w:color w:val="auto"/>
              </w:rPr>
              <w:t>—</w:t>
            </w:r>
          </w:p>
        </w:tc>
        <w:tc>
          <w:tcPr>
            <w:tcW w:w="340" w:type="dxa"/>
            <w:vAlign w:val="bottom"/>
            <w:shd w:val="clear" w:color="auto" w:fill="E2E6F4"/>
          </w:tcPr>
          <w:p>
            <w:pPr>
              <w:spacing w:after="0"/>
              <w:rPr>
                <w:sz w:val="19"/>
                <w:szCs w:val="19"/>
                <w:color w:val="auto"/>
              </w:rPr>
            </w:pPr>
          </w:p>
        </w:tc>
        <w:tc>
          <w:tcPr>
            <w:tcW w:w="1180" w:type="dxa"/>
            <w:vAlign w:val="bottom"/>
            <w:shd w:val="clear" w:color="auto" w:fill="E2E6F4"/>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23"/>
        </w:trPr>
        <w:tc>
          <w:tcPr>
            <w:tcW w:w="880" w:type="dxa"/>
            <w:vAlign w:val="bottom"/>
            <w:shd w:val="clear" w:color="auto" w:fill="E2E6F4"/>
          </w:tcPr>
          <w:p>
            <w:pPr>
              <w:ind w:left="20"/>
              <w:spacing w:after="0"/>
              <w:rPr>
                <w:sz w:val="20"/>
                <w:szCs w:val="20"/>
                <w:color w:val="auto"/>
              </w:rPr>
            </w:pPr>
            <w:r>
              <w:rPr>
                <w:rFonts w:ascii="Arial" w:cs="Arial" w:eastAsia="Arial" w:hAnsi="Arial"/>
                <w:sz w:val="16"/>
                <w:szCs w:val="16"/>
                <w:b w:val="1"/>
                <w:bCs w:val="1"/>
                <w:color w:val="0067B3"/>
              </w:rPr>
              <w:t>Nakamura</w:t>
            </w:r>
          </w:p>
        </w:tc>
        <w:tc>
          <w:tcPr>
            <w:tcW w:w="880" w:type="dxa"/>
            <w:vAlign w:val="bottom"/>
            <w:vMerge w:val="restart"/>
            <w:shd w:val="clear" w:color="auto" w:fill="E2E6F4"/>
          </w:tcPr>
          <w:p>
            <w:pPr>
              <w:jc w:val="right"/>
              <w:spacing w:after="0"/>
              <w:rPr>
                <w:sz w:val="20"/>
                <w:szCs w:val="20"/>
                <w:color w:val="auto"/>
              </w:rPr>
            </w:pPr>
            <w:r>
              <w:rPr>
                <w:rFonts w:ascii="Arial" w:cs="Arial" w:eastAsia="Arial" w:hAnsi="Arial"/>
                <w:sz w:val="16"/>
                <w:szCs w:val="16"/>
                <w:color w:val="auto"/>
              </w:rPr>
              <w:t>4/4/2022</w:t>
            </w:r>
          </w:p>
        </w:tc>
        <w:tc>
          <w:tcPr>
            <w:tcW w:w="960" w:type="dxa"/>
            <w:vAlign w:val="bottom"/>
            <w:vMerge w:val="restart"/>
            <w:shd w:val="clear" w:color="auto" w:fill="E2E6F4"/>
          </w:tcPr>
          <w:p>
            <w:pPr>
              <w:jc w:val="right"/>
              <w:spacing w:after="0"/>
              <w:rPr>
                <w:sz w:val="20"/>
                <w:szCs w:val="20"/>
                <w:color w:val="auto"/>
              </w:rPr>
            </w:pPr>
            <w:r>
              <w:rPr>
                <w:rFonts w:ascii="Arial" w:cs="Arial" w:eastAsia="Arial" w:hAnsi="Arial"/>
                <w:sz w:val="16"/>
                <w:szCs w:val="16"/>
                <w:color w:val="auto"/>
              </w:rPr>
              <w:t>—</w:t>
            </w:r>
          </w:p>
        </w:tc>
        <w:tc>
          <w:tcPr>
            <w:tcW w:w="1080" w:type="dxa"/>
            <w:vAlign w:val="bottom"/>
            <w:vMerge w:val="restart"/>
            <w:shd w:val="clear" w:color="auto" w:fill="E2E6F4"/>
          </w:tcPr>
          <w:p>
            <w:pPr>
              <w:ind w:left="840"/>
              <w:spacing w:after="0"/>
              <w:rPr>
                <w:sz w:val="20"/>
                <w:szCs w:val="20"/>
                <w:color w:val="auto"/>
              </w:rPr>
            </w:pPr>
            <w:r>
              <w:rPr>
                <w:rFonts w:ascii="Arial" w:cs="Arial" w:eastAsia="Arial" w:hAnsi="Arial"/>
                <w:sz w:val="16"/>
                <w:szCs w:val="16"/>
                <w:color w:val="auto"/>
              </w:rPr>
              <w:t>—</w:t>
            </w:r>
          </w:p>
        </w:tc>
        <w:tc>
          <w:tcPr>
            <w:tcW w:w="1020" w:type="dxa"/>
            <w:vAlign w:val="bottom"/>
            <w:vMerge w:val="restart"/>
            <w:shd w:val="clear" w:color="auto" w:fill="E2E6F4"/>
          </w:tcPr>
          <w:p>
            <w:pPr>
              <w:ind w:left="780"/>
              <w:spacing w:after="0"/>
              <w:rPr>
                <w:sz w:val="20"/>
                <w:szCs w:val="20"/>
                <w:color w:val="auto"/>
              </w:rPr>
            </w:pPr>
            <w:r>
              <w:rPr>
                <w:rFonts w:ascii="Arial" w:cs="Arial" w:eastAsia="Arial" w:hAnsi="Arial"/>
                <w:sz w:val="16"/>
                <w:szCs w:val="16"/>
                <w:color w:val="auto"/>
              </w:rPr>
              <w:t>—</w:t>
            </w:r>
          </w:p>
        </w:tc>
        <w:tc>
          <w:tcPr>
            <w:tcW w:w="700" w:type="dxa"/>
            <w:vAlign w:val="bottom"/>
            <w:vMerge w:val="restart"/>
            <w:shd w:val="clear" w:color="auto" w:fill="E2E6F4"/>
          </w:tcPr>
          <w:p>
            <w:pPr>
              <w:jc w:val="right"/>
              <w:spacing w:after="0"/>
              <w:rPr>
                <w:sz w:val="20"/>
                <w:szCs w:val="20"/>
                <w:color w:val="auto"/>
              </w:rPr>
            </w:pPr>
            <w:r>
              <w:rPr>
                <w:rFonts w:ascii="Arial" w:cs="Arial" w:eastAsia="Arial" w:hAnsi="Arial"/>
                <w:sz w:val="16"/>
                <w:szCs w:val="16"/>
                <w:color w:val="auto"/>
              </w:rPr>
              <w:t>—</w:t>
            </w:r>
          </w:p>
        </w:tc>
        <w:tc>
          <w:tcPr>
            <w:tcW w:w="1060" w:type="dxa"/>
            <w:vAlign w:val="bottom"/>
            <w:vMerge w:val="restart"/>
            <w:shd w:val="clear" w:color="auto" w:fill="E2E6F4"/>
          </w:tcPr>
          <w:p>
            <w:pPr>
              <w:jc w:val="right"/>
              <w:ind w:right="119"/>
              <w:spacing w:after="0"/>
              <w:rPr>
                <w:sz w:val="20"/>
                <w:szCs w:val="20"/>
                <w:color w:val="auto"/>
              </w:rPr>
            </w:pPr>
            <w:r>
              <w:rPr>
                <w:rFonts w:ascii="Arial" w:cs="Arial" w:eastAsia="Arial" w:hAnsi="Arial"/>
                <w:sz w:val="16"/>
                <w:szCs w:val="16"/>
                <w:color w:val="auto"/>
              </w:rPr>
              <w:t>—</w:t>
            </w:r>
          </w:p>
        </w:tc>
        <w:tc>
          <w:tcPr>
            <w:tcW w:w="1100" w:type="dxa"/>
            <w:vAlign w:val="bottom"/>
            <w:vMerge w:val="restart"/>
            <w:shd w:val="clear" w:color="auto" w:fill="E2E6F4"/>
          </w:tcPr>
          <w:p>
            <w:pPr>
              <w:jc w:val="right"/>
              <w:ind w:right="40"/>
              <w:spacing w:after="0"/>
              <w:rPr>
                <w:sz w:val="20"/>
                <w:szCs w:val="20"/>
                <w:color w:val="auto"/>
              </w:rPr>
            </w:pPr>
            <w:r>
              <w:rPr>
                <w:rFonts w:ascii="Arial" w:cs="Arial" w:eastAsia="Arial" w:hAnsi="Arial"/>
                <w:sz w:val="16"/>
                <w:szCs w:val="16"/>
                <w:color w:val="auto"/>
              </w:rPr>
              <w:t>557</w:t>
            </w:r>
          </w:p>
        </w:tc>
        <w:tc>
          <w:tcPr>
            <w:tcW w:w="1000" w:type="dxa"/>
            <w:vAlign w:val="bottom"/>
            <w:vMerge w:val="restart"/>
            <w:shd w:val="clear" w:color="auto" w:fill="E2E6F4"/>
          </w:tcPr>
          <w:p>
            <w:pPr>
              <w:jc w:val="right"/>
              <w:ind w:right="20"/>
              <w:spacing w:after="0"/>
              <w:rPr>
                <w:sz w:val="20"/>
                <w:szCs w:val="20"/>
                <w:color w:val="auto"/>
              </w:rPr>
            </w:pPr>
            <w:r>
              <w:rPr>
                <w:rFonts w:ascii="Arial" w:cs="Arial" w:eastAsia="Arial" w:hAnsi="Arial"/>
                <w:sz w:val="16"/>
                <w:szCs w:val="16"/>
                <w:color w:val="auto"/>
              </w:rPr>
              <w:t>130,410</w:t>
            </w:r>
          </w:p>
        </w:tc>
        <w:tc>
          <w:tcPr>
            <w:tcW w:w="1040" w:type="dxa"/>
            <w:vAlign w:val="bottom"/>
            <w:vMerge w:val="restart"/>
            <w:shd w:val="clear" w:color="auto" w:fill="E2E6F4"/>
          </w:tcPr>
          <w:p>
            <w:pPr>
              <w:jc w:val="right"/>
              <w:ind w:right="1"/>
              <w:spacing w:after="0"/>
              <w:rPr>
                <w:sz w:val="20"/>
                <w:szCs w:val="20"/>
                <w:color w:val="auto"/>
              </w:rPr>
            </w:pPr>
            <w:r>
              <w:rPr>
                <w:rFonts w:ascii="Arial" w:cs="Arial" w:eastAsia="Arial" w:hAnsi="Arial"/>
                <w:sz w:val="16"/>
                <w:szCs w:val="16"/>
                <w:color w:val="auto"/>
              </w:rPr>
              <w:t>—</w:t>
            </w:r>
          </w:p>
        </w:tc>
        <w:tc>
          <w:tcPr>
            <w:tcW w:w="340" w:type="dxa"/>
            <w:vAlign w:val="bottom"/>
            <w:shd w:val="clear" w:color="auto" w:fill="E2E6F4"/>
          </w:tcPr>
          <w:p>
            <w:pPr>
              <w:jc w:val="right"/>
              <w:spacing w:after="0"/>
              <w:rPr>
                <w:sz w:val="20"/>
                <w:szCs w:val="20"/>
                <w:color w:val="auto"/>
              </w:rPr>
            </w:pPr>
            <w:r>
              <w:rPr>
                <w:rFonts w:ascii="Arial" w:cs="Arial" w:eastAsia="Arial" w:hAnsi="Arial"/>
                <w:sz w:val="11"/>
                <w:szCs w:val="11"/>
                <w:color w:val="auto"/>
                <w:w w:val="93"/>
              </w:rPr>
              <w:t>(4),(5)</w:t>
            </w:r>
          </w:p>
        </w:tc>
        <w:tc>
          <w:tcPr>
            <w:tcW w:w="1180" w:type="dxa"/>
            <w:vAlign w:val="bottom"/>
            <w:vMerge w:val="restart"/>
            <w:shd w:val="clear" w:color="auto" w:fill="E2E6F4"/>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60"/>
        </w:trPr>
        <w:tc>
          <w:tcPr>
            <w:tcW w:w="880" w:type="dxa"/>
            <w:vAlign w:val="bottom"/>
            <w:shd w:val="clear" w:color="auto" w:fill="E2E6F4"/>
          </w:tcPr>
          <w:p>
            <w:pPr>
              <w:spacing w:after="0"/>
              <w:rPr>
                <w:sz w:val="5"/>
                <w:szCs w:val="5"/>
                <w:color w:val="auto"/>
              </w:rPr>
            </w:pPr>
          </w:p>
        </w:tc>
        <w:tc>
          <w:tcPr>
            <w:tcW w:w="880" w:type="dxa"/>
            <w:vAlign w:val="bottom"/>
            <w:vMerge w:val="continue"/>
            <w:shd w:val="clear" w:color="auto" w:fill="E2E6F4"/>
          </w:tcPr>
          <w:p>
            <w:pPr>
              <w:spacing w:after="0"/>
              <w:rPr>
                <w:sz w:val="5"/>
                <w:szCs w:val="5"/>
                <w:color w:val="auto"/>
              </w:rPr>
            </w:pPr>
          </w:p>
        </w:tc>
        <w:tc>
          <w:tcPr>
            <w:tcW w:w="960" w:type="dxa"/>
            <w:vAlign w:val="bottom"/>
            <w:vMerge w:val="continue"/>
            <w:shd w:val="clear" w:color="auto" w:fill="E2E6F4"/>
          </w:tcPr>
          <w:p>
            <w:pPr>
              <w:spacing w:after="0"/>
              <w:rPr>
                <w:sz w:val="5"/>
                <w:szCs w:val="5"/>
                <w:color w:val="auto"/>
              </w:rPr>
            </w:pPr>
          </w:p>
        </w:tc>
        <w:tc>
          <w:tcPr>
            <w:tcW w:w="1080" w:type="dxa"/>
            <w:vAlign w:val="bottom"/>
            <w:vMerge w:val="continue"/>
            <w:shd w:val="clear" w:color="auto" w:fill="E2E6F4"/>
          </w:tcPr>
          <w:p>
            <w:pPr>
              <w:spacing w:after="0"/>
              <w:rPr>
                <w:sz w:val="5"/>
                <w:szCs w:val="5"/>
                <w:color w:val="auto"/>
              </w:rPr>
            </w:pPr>
          </w:p>
        </w:tc>
        <w:tc>
          <w:tcPr>
            <w:tcW w:w="1020" w:type="dxa"/>
            <w:vAlign w:val="bottom"/>
            <w:vMerge w:val="continue"/>
            <w:shd w:val="clear" w:color="auto" w:fill="E2E6F4"/>
          </w:tcPr>
          <w:p>
            <w:pPr>
              <w:spacing w:after="0"/>
              <w:rPr>
                <w:sz w:val="5"/>
                <w:szCs w:val="5"/>
                <w:color w:val="auto"/>
              </w:rPr>
            </w:pPr>
          </w:p>
        </w:tc>
        <w:tc>
          <w:tcPr>
            <w:tcW w:w="700" w:type="dxa"/>
            <w:vAlign w:val="bottom"/>
            <w:vMerge w:val="continue"/>
            <w:shd w:val="clear" w:color="auto" w:fill="E2E6F4"/>
          </w:tcPr>
          <w:p>
            <w:pPr>
              <w:spacing w:after="0"/>
              <w:rPr>
                <w:sz w:val="5"/>
                <w:szCs w:val="5"/>
                <w:color w:val="auto"/>
              </w:rPr>
            </w:pPr>
          </w:p>
        </w:tc>
        <w:tc>
          <w:tcPr>
            <w:tcW w:w="1060" w:type="dxa"/>
            <w:vAlign w:val="bottom"/>
            <w:vMerge w:val="continue"/>
            <w:shd w:val="clear" w:color="auto" w:fill="E2E6F4"/>
          </w:tcPr>
          <w:p>
            <w:pPr>
              <w:spacing w:after="0"/>
              <w:rPr>
                <w:sz w:val="5"/>
                <w:szCs w:val="5"/>
                <w:color w:val="auto"/>
              </w:rPr>
            </w:pPr>
          </w:p>
        </w:tc>
        <w:tc>
          <w:tcPr>
            <w:tcW w:w="1100" w:type="dxa"/>
            <w:vAlign w:val="bottom"/>
            <w:vMerge w:val="continue"/>
            <w:shd w:val="clear" w:color="auto" w:fill="E2E6F4"/>
          </w:tcPr>
          <w:p>
            <w:pPr>
              <w:spacing w:after="0"/>
              <w:rPr>
                <w:sz w:val="5"/>
                <w:szCs w:val="5"/>
                <w:color w:val="auto"/>
              </w:rPr>
            </w:pPr>
          </w:p>
        </w:tc>
        <w:tc>
          <w:tcPr>
            <w:tcW w:w="1000" w:type="dxa"/>
            <w:vAlign w:val="bottom"/>
            <w:vMerge w:val="continue"/>
            <w:shd w:val="clear" w:color="auto" w:fill="E2E6F4"/>
          </w:tcPr>
          <w:p>
            <w:pPr>
              <w:spacing w:after="0"/>
              <w:rPr>
                <w:sz w:val="5"/>
                <w:szCs w:val="5"/>
                <w:color w:val="auto"/>
              </w:rPr>
            </w:pPr>
          </w:p>
        </w:tc>
        <w:tc>
          <w:tcPr>
            <w:tcW w:w="1040" w:type="dxa"/>
            <w:vAlign w:val="bottom"/>
            <w:vMerge w:val="continue"/>
            <w:shd w:val="clear" w:color="auto" w:fill="E2E6F4"/>
          </w:tcPr>
          <w:p>
            <w:pPr>
              <w:spacing w:after="0"/>
              <w:rPr>
                <w:sz w:val="5"/>
                <w:szCs w:val="5"/>
                <w:color w:val="auto"/>
              </w:rPr>
            </w:pPr>
          </w:p>
        </w:tc>
        <w:tc>
          <w:tcPr>
            <w:tcW w:w="340" w:type="dxa"/>
            <w:vAlign w:val="bottom"/>
            <w:vMerge w:val="restart"/>
            <w:shd w:val="clear" w:color="auto" w:fill="E2E6F4"/>
          </w:tcPr>
          <w:p>
            <w:pPr>
              <w:jc w:val="right"/>
              <w:spacing w:after="0"/>
              <w:rPr>
                <w:sz w:val="20"/>
                <w:szCs w:val="20"/>
                <w:color w:val="auto"/>
              </w:rPr>
            </w:pPr>
            <w:r>
              <w:rPr>
                <w:rFonts w:ascii="Arial" w:cs="Arial" w:eastAsia="Arial" w:hAnsi="Arial"/>
                <w:sz w:val="11"/>
                <w:szCs w:val="11"/>
                <w:color w:val="auto"/>
                <w:w w:val="93"/>
              </w:rPr>
              <w:t>(4),(5)</w:t>
            </w:r>
          </w:p>
        </w:tc>
        <w:tc>
          <w:tcPr>
            <w:tcW w:w="1180" w:type="dxa"/>
            <w:vAlign w:val="bottom"/>
            <w:vMerge w:val="continue"/>
            <w:shd w:val="clear" w:color="auto" w:fill="E2E6F4"/>
          </w:tcPr>
          <w:p>
            <w:pPr>
              <w:spacing w:after="0"/>
              <w:rPr>
                <w:sz w:val="5"/>
                <w:szCs w:val="5"/>
                <w:color w:val="auto"/>
              </w:rPr>
            </w:pPr>
          </w:p>
        </w:tc>
        <w:tc>
          <w:tcPr>
            <w:tcW w:w="0" w:type="dxa"/>
            <w:vAlign w:val="bottom"/>
          </w:tcPr>
          <w:p>
            <w:pPr>
              <w:spacing w:after="0"/>
              <w:rPr>
                <w:sz w:val="1"/>
                <w:szCs w:val="1"/>
                <w:color w:val="auto"/>
              </w:rPr>
            </w:pPr>
          </w:p>
        </w:tc>
      </w:tr>
      <w:tr>
        <w:trPr>
          <w:trHeight w:val="221"/>
        </w:trPr>
        <w:tc>
          <w:tcPr>
            <w:tcW w:w="880" w:type="dxa"/>
            <w:vAlign w:val="bottom"/>
            <w:shd w:val="clear" w:color="auto" w:fill="E2E6F4"/>
          </w:tcPr>
          <w:p>
            <w:pPr>
              <w:spacing w:after="0"/>
              <w:rPr>
                <w:sz w:val="19"/>
                <w:szCs w:val="19"/>
                <w:color w:val="auto"/>
              </w:rPr>
            </w:pPr>
          </w:p>
        </w:tc>
        <w:tc>
          <w:tcPr>
            <w:tcW w:w="880" w:type="dxa"/>
            <w:vAlign w:val="bottom"/>
            <w:shd w:val="clear" w:color="auto" w:fill="E2E6F4"/>
          </w:tcPr>
          <w:p>
            <w:pPr>
              <w:jc w:val="right"/>
              <w:spacing w:after="0"/>
              <w:rPr>
                <w:sz w:val="20"/>
                <w:szCs w:val="20"/>
                <w:color w:val="auto"/>
              </w:rPr>
            </w:pPr>
            <w:r>
              <w:rPr>
                <w:rFonts w:ascii="Arial" w:cs="Arial" w:eastAsia="Arial" w:hAnsi="Arial"/>
                <w:sz w:val="16"/>
                <w:szCs w:val="16"/>
                <w:color w:val="auto"/>
              </w:rPr>
              <w:t>4/3/2023</w:t>
            </w:r>
          </w:p>
        </w:tc>
        <w:tc>
          <w:tcPr>
            <w:tcW w:w="960" w:type="dxa"/>
            <w:vAlign w:val="bottom"/>
            <w:shd w:val="clear" w:color="auto" w:fill="E2E6F4"/>
          </w:tcPr>
          <w:p>
            <w:pPr>
              <w:jc w:val="right"/>
              <w:spacing w:after="0"/>
              <w:rPr>
                <w:sz w:val="20"/>
                <w:szCs w:val="20"/>
                <w:color w:val="auto"/>
              </w:rPr>
            </w:pPr>
            <w:r>
              <w:rPr>
                <w:rFonts w:ascii="Arial" w:cs="Arial" w:eastAsia="Arial" w:hAnsi="Arial"/>
                <w:sz w:val="16"/>
                <w:szCs w:val="16"/>
                <w:color w:val="auto"/>
              </w:rPr>
              <w:t>—</w:t>
            </w:r>
          </w:p>
        </w:tc>
        <w:tc>
          <w:tcPr>
            <w:tcW w:w="1080" w:type="dxa"/>
            <w:vAlign w:val="bottom"/>
            <w:shd w:val="clear" w:color="auto" w:fill="E2E6F4"/>
          </w:tcPr>
          <w:p>
            <w:pPr>
              <w:ind w:left="840"/>
              <w:spacing w:after="0"/>
              <w:rPr>
                <w:sz w:val="20"/>
                <w:szCs w:val="20"/>
                <w:color w:val="auto"/>
              </w:rPr>
            </w:pPr>
            <w:r>
              <w:rPr>
                <w:rFonts w:ascii="Arial" w:cs="Arial" w:eastAsia="Arial" w:hAnsi="Arial"/>
                <w:sz w:val="16"/>
                <w:szCs w:val="16"/>
                <w:color w:val="auto"/>
              </w:rPr>
              <w:t>—</w:t>
            </w:r>
          </w:p>
        </w:tc>
        <w:tc>
          <w:tcPr>
            <w:tcW w:w="1020" w:type="dxa"/>
            <w:vAlign w:val="bottom"/>
            <w:shd w:val="clear" w:color="auto" w:fill="E2E6F4"/>
          </w:tcPr>
          <w:p>
            <w:pPr>
              <w:ind w:left="780"/>
              <w:spacing w:after="0"/>
              <w:rPr>
                <w:sz w:val="20"/>
                <w:szCs w:val="20"/>
                <w:color w:val="auto"/>
              </w:rPr>
            </w:pPr>
            <w:r>
              <w:rPr>
                <w:rFonts w:ascii="Arial" w:cs="Arial" w:eastAsia="Arial" w:hAnsi="Arial"/>
                <w:sz w:val="16"/>
                <w:szCs w:val="16"/>
                <w:color w:val="auto"/>
              </w:rPr>
              <w:t>—</w:t>
            </w:r>
          </w:p>
        </w:tc>
        <w:tc>
          <w:tcPr>
            <w:tcW w:w="700" w:type="dxa"/>
            <w:vAlign w:val="bottom"/>
            <w:shd w:val="clear" w:color="auto" w:fill="E2E6F4"/>
          </w:tcPr>
          <w:p>
            <w:pPr>
              <w:jc w:val="right"/>
              <w:spacing w:after="0"/>
              <w:rPr>
                <w:sz w:val="20"/>
                <w:szCs w:val="20"/>
                <w:color w:val="auto"/>
              </w:rPr>
            </w:pPr>
            <w:r>
              <w:rPr>
                <w:rFonts w:ascii="Arial" w:cs="Arial" w:eastAsia="Arial" w:hAnsi="Arial"/>
                <w:sz w:val="16"/>
                <w:szCs w:val="16"/>
                <w:color w:val="auto"/>
              </w:rPr>
              <w:t>—</w:t>
            </w:r>
          </w:p>
        </w:tc>
        <w:tc>
          <w:tcPr>
            <w:tcW w:w="1060" w:type="dxa"/>
            <w:vAlign w:val="bottom"/>
            <w:shd w:val="clear" w:color="auto" w:fill="E2E6F4"/>
          </w:tcPr>
          <w:p>
            <w:pPr>
              <w:jc w:val="right"/>
              <w:ind w:right="119"/>
              <w:spacing w:after="0"/>
              <w:rPr>
                <w:sz w:val="20"/>
                <w:szCs w:val="20"/>
                <w:color w:val="auto"/>
              </w:rPr>
            </w:pPr>
            <w:r>
              <w:rPr>
                <w:rFonts w:ascii="Arial" w:cs="Arial" w:eastAsia="Arial" w:hAnsi="Arial"/>
                <w:sz w:val="16"/>
                <w:szCs w:val="16"/>
                <w:color w:val="auto"/>
              </w:rPr>
              <w:t>—</w:t>
            </w:r>
          </w:p>
        </w:tc>
        <w:tc>
          <w:tcPr>
            <w:tcW w:w="1100" w:type="dxa"/>
            <w:vAlign w:val="bottom"/>
            <w:shd w:val="clear" w:color="auto" w:fill="E2E6F4"/>
          </w:tcPr>
          <w:p>
            <w:pPr>
              <w:jc w:val="right"/>
              <w:ind w:right="40"/>
              <w:spacing w:after="0"/>
              <w:rPr>
                <w:sz w:val="20"/>
                <w:szCs w:val="20"/>
                <w:color w:val="auto"/>
              </w:rPr>
            </w:pPr>
            <w:r>
              <w:rPr>
                <w:rFonts w:ascii="Arial" w:cs="Arial" w:eastAsia="Arial" w:hAnsi="Arial"/>
                <w:sz w:val="16"/>
                <w:szCs w:val="16"/>
                <w:color w:val="auto"/>
              </w:rPr>
              <w:t>1,066</w:t>
            </w:r>
          </w:p>
        </w:tc>
        <w:tc>
          <w:tcPr>
            <w:tcW w:w="1000" w:type="dxa"/>
            <w:vAlign w:val="bottom"/>
            <w:shd w:val="clear" w:color="auto" w:fill="E2E6F4"/>
          </w:tcPr>
          <w:p>
            <w:pPr>
              <w:jc w:val="right"/>
              <w:ind w:right="20"/>
              <w:spacing w:after="0"/>
              <w:rPr>
                <w:sz w:val="20"/>
                <w:szCs w:val="20"/>
                <w:color w:val="auto"/>
              </w:rPr>
            </w:pPr>
            <w:r>
              <w:rPr>
                <w:rFonts w:ascii="Arial" w:cs="Arial" w:eastAsia="Arial" w:hAnsi="Arial"/>
                <w:sz w:val="16"/>
                <w:szCs w:val="16"/>
                <w:color w:val="auto"/>
              </w:rPr>
              <w:t>249,583</w:t>
            </w:r>
          </w:p>
        </w:tc>
        <w:tc>
          <w:tcPr>
            <w:tcW w:w="1040" w:type="dxa"/>
            <w:vAlign w:val="bottom"/>
            <w:shd w:val="clear" w:color="auto" w:fill="E2E6F4"/>
          </w:tcPr>
          <w:p>
            <w:pPr>
              <w:jc w:val="right"/>
              <w:ind w:right="1"/>
              <w:spacing w:after="0"/>
              <w:rPr>
                <w:sz w:val="20"/>
                <w:szCs w:val="20"/>
                <w:color w:val="auto"/>
              </w:rPr>
            </w:pPr>
            <w:r>
              <w:rPr>
                <w:rFonts w:ascii="Arial" w:cs="Arial" w:eastAsia="Arial" w:hAnsi="Arial"/>
                <w:sz w:val="16"/>
                <w:szCs w:val="16"/>
                <w:color w:val="auto"/>
              </w:rPr>
              <w:t>208</w:t>
            </w:r>
          </w:p>
        </w:tc>
        <w:tc>
          <w:tcPr>
            <w:tcW w:w="340" w:type="dxa"/>
            <w:vAlign w:val="bottom"/>
            <w:vMerge w:val="continue"/>
            <w:shd w:val="clear" w:color="auto" w:fill="E2E6F4"/>
          </w:tcPr>
          <w:p>
            <w:pPr>
              <w:spacing w:after="0"/>
              <w:rPr>
                <w:sz w:val="19"/>
                <w:szCs w:val="19"/>
                <w:color w:val="auto"/>
              </w:rPr>
            </w:pPr>
          </w:p>
        </w:tc>
        <w:tc>
          <w:tcPr>
            <w:tcW w:w="1180" w:type="dxa"/>
            <w:vAlign w:val="bottom"/>
            <w:shd w:val="clear" w:color="auto" w:fill="E2E6F4"/>
          </w:tcPr>
          <w:p>
            <w:pPr>
              <w:jc w:val="right"/>
              <w:spacing w:after="0"/>
              <w:rPr>
                <w:sz w:val="20"/>
                <w:szCs w:val="20"/>
                <w:color w:val="auto"/>
              </w:rPr>
            </w:pPr>
            <w:r>
              <w:rPr>
                <w:rFonts w:ascii="Arial" w:cs="Arial" w:eastAsia="Arial" w:hAnsi="Arial"/>
                <w:sz w:val="16"/>
                <w:szCs w:val="16"/>
                <w:color w:val="auto"/>
              </w:rPr>
              <w:t>48,699</w:t>
            </w:r>
          </w:p>
        </w:tc>
        <w:tc>
          <w:tcPr>
            <w:tcW w:w="0" w:type="dxa"/>
            <w:vAlign w:val="bottom"/>
          </w:tcPr>
          <w:p>
            <w:pPr>
              <w:spacing w:after="0"/>
              <w:rPr>
                <w:sz w:val="1"/>
                <w:szCs w:val="1"/>
                <w:color w:val="auto"/>
              </w:rPr>
            </w:pPr>
          </w:p>
        </w:tc>
      </w:tr>
      <w:tr>
        <w:trPr>
          <w:trHeight w:val="265"/>
        </w:trPr>
        <w:tc>
          <w:tcPr>
            <w:tcW w:w="880" w:type="dxa"/>
            <w:vAlign w:val="bottom"/>
            <w:shd w:val="clear" w:color="auto" w:fill="E2E6F4"/>
          </w:tcPr>
          <w:p>
            <w:pPr>
              <w:spacing w:after="0"/>
              <w:rPr>
                <w:sz w:val="23"/>
                <w:szCs w:val="23"/>
                <w:color w:val="auto"/>
              </w:rPr>
            </w:pPr>
          </w:p>
        </w:tc>
        <w:tc>
          <w:tcPr>
            <w:tcW w:w="880" w:type="dxa"/>
            <w:vAlign w:val="bottom"/>
            <w:shd w:val="clear" w:color="auto" w:fill="E2E6F4"/>
          </w:tcPr>
          <w:p>
            <w:pPr>
              <w:jc w:val="right"/>
              <w:spacing w:after="0"/>
              <w:rPr>
                <w:sz w:val="20"/>
                <w:szCs w:val="20"/>
                <w:color w:val="auto"/>
              </w:rPr>
            </w:pPr>
            <w:r>
              <w:rPr>
                <w:rFonts w:ascii="Arial" w:cs="Arial" w:eastAsia="Arial" w:hAnsi="Arial"/>
                <w:sz w:val="16"/>
                <w:szCs w:val="16"/>
                <w:color w:val="auto"/>
              </w:rPr>
              <w:t>9/10/2024</w:t>
            </w:r>
          </w:p>
        </w:tc>
        <w:tc>
          <w:tcPr>
            <w:tcW w:w="960" w:type="dxa"/>
            <w:vAlign w:val="bottom"/>
            <w:shd w:val="clear" w:color="auto" w:fill="E2E6F4"/>
          </w:tcPr>
          <w:p>
            <w:pPr>
              <w:jc w:val="right"/>
              <w:spacing w:after="0"/>
              <w:rPr>
                <w:sz w:val="20"/>
                <w:szCs w:val="20"/>
                <w:color w:val="auto"/>
              </w:rPr>
            </w:pPr>
            <w:r>
              <w:rPr>
                <w:rFonts w:ascii="Arial" w:cs="Arial" w:eastAsia="Arial" w:hAnsi="Arial"/>
                <w:sz w:val="16"/>
                <w:szCs w:val="16"/>
                <w:color w:val="auto"/>
              </w:rPr>
              <w:t>—</w:t>
            </w:r>
          </w:p>
        </w:tc>
        <w:tc>
          <w:tcPr>
            <w:tcW w:w="1080" w:type="dxa"/>
            <w:vAlign w:val="bottom"/>
            <w:shd w:val="clear" w:color="auto" w:fill="E2E6F4"/>
          </w:tcPr>
          <w:p>
            <w:pPr>
              <w:ind w:left="840"/>
              <w:spacing w:after="0"/>
              <w:rPr>
                <w:sz w:val="20"/>
                <w:szCs w:val="20"/>
                <w:color w:val="auto"/>
              </w:rPr>
            </w:pPr>
            <w:r>
              <w:rPr>
                <w:rFonts w:ascii="Arial" w:cs="Arial" w:eastAsia="Arial" w:hAnsi="Arial"/>
                <w:sz w:val="16"/>
                <w:szCs w:val="16"/>
                <w:color w:val="auto"/>
              </w:rPr>
              <w:t>—</w:t>
            </w:r>
          </w:p>
        </w:tc>
        <w:tc>
          <w:tcPr>
            <w:tcW w:w="1020" w:type="dxa"/>
            <w:vAlign w:val="bottom"/>
            <w:shd w:val="clear" w:color="auto" w:fill="E2E6F4"/>
          </w:tcPr>
          <w:p>
            <w:pPr>
              <w:ind w:left="780"/>
              <w:spacing w:after="0"/>
              <w:rPr>
                <w:sz w:val="20"/>
                <w:szCs w:val="20"/>
                <w:color w:val="auto"/>
              </w:rPr>
            </w:pPr>
            <w:r>
              <w:rPr>
                <w:rFonts w:ascii="Arial" w:cs="Arial" w:eastAsia="Arial" w:hAnsi="Arial"/>
                <w:sz w:val="16"/>
                <w:szCs w:val="16"/>
                <w:color w:val="auto"/>
              </w:rPr>
              <w:t>—</w:t>
            </w:r>
          </w:p>
        </w:tc>
        <w:tc>
          <w:tcPr>
            <w:tcW w:w="700" w:type="dxa"/>
            <w:vAlign w:val="bottom"/>
            <w:shd w:val="clear" w:color="auto" w:fill="E2E6F4"/>
          </w:tcPr>
          <w:p>
            <w:pPr>
              <w:jc w:val="right"/>
              <w:spacing w:after="0"/>
              <w:rPr>
                <w:sz w:val="20"/>
                <w:szCs w:val="20"/>
                <w:color w:val="auto"/>
              </w:rPr>
            </w:pPr>
            <w:r>
              <w:rPr>
                <w:rFonts w:ascii="Arial" w:cs="Arial" w:eastAsia="Arial" w:hAnsi="Arial"/>
                <w:sz w:val="16"/>
                <w:szCs w:val="16"/>
                <w:color w:val="auto"/>
              </w:rPr>
              <w:t>—</w:t>
            </w:r>
          </w:p>
        </w:tc>
        <w:tc>
          <w:tcPr>
            <w:tcW w:w="1060" w:type="dxa"/>
            <w:vAlign w:val="bottom"/>
            <w:shd w:val="clear" w:color="auto" w:fill="E2E6F4"/>
          </w:tcPr>
          <w:p>
            <w:pPr>
              <w:jc w:val="right"/>
              <w:ind w:right="119"/>
              <w:spacing w:after="0"/>
              <w:rPr>
                <w:sz w:val="20"/>
                <w:szCs w:val="20"/>
                <w:color w:val="auto"/>
              </w:rPr>
            </w:pPr>
            <w:r>
              <w:rPr>
                <w:rFonts w:ascii="Arial" w:cs="Arial" w:eastAsia="Arial" w:hAnsi="Arial"/>
                <w:sz w:val="16"/>
                <w:szCs w:val="16"/>
                <w:color w:val="auto"/>
              </w:rPr>
              <w:t>—</w:t>
            </w:r>
          </w:p>
        </w:tc>
        <w:tc>
          <w:tcPr>
            <w:tcW w:w="1100" w:type="dxa"/>
            <w:vAlign w:val="bottom"/>
            <w:shd w:val="clear" w:color="auto" w:fill="E2E6F4"/>
          </w:tcPr>
          <w:p>
            <w:pPr>
              <w:jc w:val="right"/>
              <w:ind w:right="40"/>
              <w:spacing w:after="0"/>
              <w:rPr>
                <w:sz w:val="20"/>
                <w:szCs w:val="20"/>
                <w:color w:val="auto"/>
              </w:rPr>
            </w:pPr>
            <w:r>
              <w:rPr>
                <w:rFonts w:ascii="Arial" w:cs="Arial" w:eastAsia="Arial" w:hAnsi="Arial"/>
                <w:sz w:val="16"/>
                <w:szCs w:val="16"/>
                <w:color w:val="auto"/>
              </w:rPr>
              <w:t>1,251</w:t>
            </w:r>
          </w:p>
        </w:tc>
        <w:tc>
          <w:tcPr>
            <w:tcW w:w="1000" w:type="dxa"/>
            <w:vAlign w:val="bottom"/>
            <w:shd w:val="clear" w:color="auto" w:fill="E2E6F4"/>
          </w:tcPr>
          <w:p>
            <w:pPr>
              <w:jc w:val="right"/>
              <w:ind w:right="20"/>
              <w:spacing w:after="0"/>
              <w:rPr>
                <w:sz w:val="20"/>
                <w:szCs w:val="20"/>
                <w:color w:val="auto"/>
              </w:rPr>
            </w:pPr>
            <w:r>
              <w:rPr>
                <w:rFonts w:ascii="Arial" w:cs="Arial" w:eastAsia="Arial" w:hAnsi="Arial"/>
                <w:sz w:val="16"/>
                <w:szCs w:val="16"/>
                <w:color w:val="auto"/>
              </w:rPr>
              <w:t>292,897</w:t>
            </w:r>
          </w:p>
        </w:tc>
        <w:tc>
          <w:tcPr>
            <w:tcW w:w="1040" w:type="dxa"/>
            <w:vAlign w:val="bottom"/>
            <w:shd w:val="clear" w:color="auto" w:fill="E2E6F4"/>
          </w:tcPr>
          <w:p>
            <w:pPr>
              <w:jc w:val="right"/>
              <w:ind w:right="1"/>
              <w:spacing w:after="0"/>
              <w:rPr>
                <w:sz w:val="20"/>
                <w:szCs w:val="20"/>
                <w:color w:val="auto"/>
              </w:rPr>
            </w:pPr>
            <w:r>
              <w:rPr>
                <w:rFonts w:ascii="Arial" w:cs="Arial" w:eastAsia="Arial" w:hAnsi="Arial"/>
                <w:sz w:val="16"/>
                <w:szCs w:val="16"/>
                <w:color w:val="auto"/>
              </w:rPr>
              <w:t>673</w:t>
            </w:r>
          </w:p>
        </w:tc>
        <w:tc>
          <w:tcPr>
            <w:tcW w:w="340" w:type="dxa"/>
            <w:vAlign w:val="bottom"/>
            <w:shd w:val="clear" w:color="auto" w:fill="E2E6F4"/>
          </w:tcPr>
          <w:p>
            <w:pPr>
              <w:jc w:val="right"/>
              <w:spacing w:after="0"/>
              <w:rPr>
                <w:sz w:val="20"/>
                <w:szCs w:val="20"/>
                <w:color w:val="auto"/>
              </w:rPr>
            </w:pPr>
            <w:r>
              <w:rPr>
                <w:rFonts w:ascii="Arial" w:cs="Arial" w:eastAsia="Arial" w:hAnsi="Arial"/>
                <w:sz w:val="11"/>
                <w:szCs w:val="11"/>
                <w:color w:val="auto"/>
                <w:w w:val="93"/>
              </w:rPr>
              <w:t>(4),(5)</w:t>
            </w:r>
          </w:p>
        </w:tc>
        <w:tc>
          <w:tcPr>
            <w:tcW w:w="1180" w:type="dxa"/>
            <w:vAlign w:val="bottom"/>
            <w:shd w:val="clear" w:color="auto" w:fill="E2E6F4"/>
          </w:tcPr>
          <w:p>
            <w:pPr>
              <w:jc w:val="right"/>
              <w:spacing w:after="0"/>
              <w:rPr>
                <w:sz w:val="20"/>
                <w:szCs w:val="20"/>
                <w:color w:val="auto"/>
              </w:rPr>
            </w:pPr>
            <w:r>
              <w:rPr>
                <w:rFonts w:ascii="Arial" w:cs="Arial" w:eastAsia="Arial" w:hAnsi="Arial"/>
                <w:sz w:val="16"/>
                <w:szCs w:val="16"/>
                <w:color w:val="auto"/>
              </w:rPr>
              <w:t>157,569</w:t>
            </w:r>
          </w:p>
        </w:tc>
        <w:tc>
          <w:tcPr>
            <w:tcW w:w="0" w:type="dxa"/>
            <w:vAlign w:val="bottom"/>
          </w:tcPr>
          <w:p>
            <w:pPr>
              <w:spacing w:after="0"/>
              <w:rPr>
                <w:sz w:val="1"/>
                <w:szCs w:val="1"/>
                <w:color w:val="auto"/>
              </w:rPr>
            </w:pPr>
          </w:p>
        </w:tc>
      </w:tr>
      <w:tr>
        <w:trPr>
          <w:trHeight w:val="243"/>
        </w:trPr>
        <w:tc>
          <w:tcPr>
            <w:tcW w:w="880" w:type="dxa"/>
            <w:vAlign w:val="bottom"/>
            <w:shd w:val="clear" w:color="auto" w:fill="E2E6F4"/>
          </w:tcPr>
          <w:p>
            <w:pPr>
              <w:spacing w:after="0"/>
              <w:rPr>
                <w:sz w:val="21"/>
                <w:szCs w:val="21"/>
                <w:color w:val="auto"/>
              </w:rPr>
            </w:pPr>
          </w:p>
        </w:tc>
        <w:tc>
          <w:tcPr>
            <w:tcW w:w="880" w:type="dxa"/>
            <w:vAlign w:val="bottom"/>
            <w:shd w:val="clear" w:color="auto" w:fill="E2E6F4"/>
          </w:tcPr>
          <w:p>
            <w:pPr>
              <w:jc w:val="right"/>
              <w:spacing w:after="0"/>
              <w:rPr>
                <w:sz w:val="20"/>
                <w:szCs w:val="20"/>
                <w:color w:val="auto"/>
              </w:rPr>
            </w:pPr>
            <w:r>
              <w:rPr>
                <w:rFonts w:ascii="Arial" w:cs="Arial" w:eastAsia="Arial" w:hAnsi="Arial"/>
                <w:sz w:val="16"/>
                <w:szCs w:val="16"/>
                <w:color w:val="auto"/>
              </w:rPr>
              <w:t>4/8/2025</w:t>
            </w:r>
          </w:p>
        </w:tc>
        <w:tc>
          <w:tcPr>
            <w:tcW w:w="960" w:type="dxa"/>
            <w:vAlign w:val="bottom"/>
            <w:shd w:val="clear" w:color="auto" w:fill="E2E6F4"/>
          </w:tcPr>
          <w:p>
            <w:pPr>
              <w:spacing w:after="0"/>
              <w:rPr>
                <w:sz w:val="21"/>
                <w:szCs w:val="21"/>
                <w:color w:val="auto"/>
              </w:rPr>
            </w:pPr>
          </w:p>
        </w:tc>
        <w:tc>
          <w:tcPr>
            <w:tcW w:w="1080" w:type="dxa"/>
            <w:vAlign w:val="bottom"/>
            <w:shd w:val="clear" w:color="auto" w:fill="E2E6F4"/>
          </w:tcPr>
          <w:p>
            <w:pPr>
              <w:spacing w:after="0"/>
              <w:rPr>
                <w:sz w:val="21"/>
                <w:szCs w:val="21"/>
                <w:color w:val="auto"/>
              </w:rPr>
            </w:pPr>
          </w:p>
        </w:tc>
        <w:tc>
          <w:tcPr>
            <w:tcW w:w="1020" w:type="dxa"/>
            <w:vAlign w:val="bottom"/>
            <w:shd w:val="clear" w:color="auto" w:fill="E2E6F4"/>
          </w:tcPr>
          <w:p>
            <w:pPr>
              <w:spacing w:after="0"/>
              <w:rPr>
                <w:sz w:val="21"/>
                <w:szCs w:val="21"/>
                <w:color w:val="auto"/>
              </w:rPr>
            </w:pPr>
          </w:p>
        </w:tc>
        <w:tc>
          <w:tcPr>
            <w:tcW w:w="700" w:type="dxa"/>
            <w:vAlign w:val="bottom"/>
            <w:shd w:val="clear" w:color="auto" w:fill="E2E6F4"/>
          </w:tcPr>
          <w:p>
            <w:pPr>
              <w:spacing w:after="0"/>
              <w:rPr>
                <w:sz w:val="21"/>
                <w:szCs w:val="21"/>
                <w:color w:val="auto"/>
              </w:rPr>
            </w:pPr>
          </w:p>
        </w:tc>
        <w:tc>
          <w:tcPr>
            <w:tcW w:w="1060" w:type="dxa"/>
            <w:vAlign w:val="bottom"/>
            <w:shd w:val="clear" w:color="auto" w:fill="E2E6F4"/>
          </w:tcPr>
          <w:p>
            <w:pPr>
              <w:spacing w:after="0"/>
              <w:rPr>
                <w:sz w:val="21"/>
                <w:szCs w:val="21"/>
                <w:color w:val="auto"/>
              </w:rPr>
            </w:pPr>
          </w:p>
        </w:tc>
        <w:tc>
          <w:tcPr>
            <w:tcW w:w="1100" w:type="dxa"/>
            <w:vAlign w:val="bottom"/>
            <w:shd w:val="clear" w:color="auto" w:fill="E2E6F4"/>
          </w:tcPr>
          <w:p>
            <w:pPr>
              <w:jc w:val="right"/>
              <w:ind w:right="40"/>
              <w:spacing w:after="0"/>
              <w:rPr>
                <w:sz w:val="20"/>
                <w:szCs w:val="20"/>
                <w:color w:val="auto"/>
              </w:rPr>
            </w:pPr>
            <w:r>
              <w:rPr>
                <w:rFonts w:ascii="Arial" w:cs="Arial" w:eastAsia="Arial" w:hAnsi="Arial"/>
                <w:sz w:val="16"/>
                <w:szCs w:val="16"/>
                <w:color w:val="auto"/>
              </w:rPr>
              <w:t>6,698</w:t>
            </w:r>
          </w:p>
        </w:tc>
        <w:tc>
          <w:tcPr>
            <w:tcW w:w="1000" w:type="dxa"/>
            <w:vAlign w:val="bottom"/>
            <w:shd w:val="clear" w:color="auto" w:fill="E2E6F4"/>
          </w:tcPr>
          <w:p>
            <w:pPr>
              <w:jc w:val="right"/>
              <w:ind w:right="20"/>
              <w:spacing w:after="0"/>
              <w:rPr>
                <w:sz w:val="20"/>
                <w:szCs w:val="20"/>
                <w:color w:val="auto"/>
              </w:rPr>
            </w:pPr>
            <w:r>
              <w:rPr>
                <w:rFonts w:ascii="Arial" w:cs="Arial" w:eastAsia="Arial" w:hAnsi="Arial"/>
                <w:sz w:val="16"/>
                <w:szCs w:val="16"/>
                <w:color w:val="auto"/>
              </w:rPr>
              <w:t>1,568,203</w:t>
            </w:r>
          </w:p>
        </w:tc>
        <w:tc>
          <w:tcPr>
            <w:tcW w:w="1040" w:type="dxa"/>
            <w:vAlign w:val="bottom"/>
            <w:shd w:val="clear" w:color="auto" w:fill="E2E6F4"/>
          </w:tcPr>
          <w:p>
            <w:pPr>
              <w:jc w:val="right"/>
              <w:ind w:right="1"/>
              <w:spacing w:after="0"/>
              <w:rPr>
                <w:sz w:val="20"/>
                <w:szCs w:val="20"/>
                <w:color w:val="auto"/>
              </w:rPr>
            </w:pPr>
            <w:r>
              <w:rPr>
                <w:rFonts w:ascii="Arial" w:cs="Arial" w:eastAsia="Arial" w:hAnsi="Arial"/>
                <w:sz w:val="16"/>
                <w:szCs w:val="16"/>
                <w:color w:val="auto"/>
              </w:rPr>
              <w:t>11,765</w:t>
            </w:r>
          </w:p>
        </w:tc>
        <w:tc>
          <w:tcPr>
            <w:tcW w:w="340" w:type="dxa"/>
            <w:vAlign w:val="bottom"/>
            <w:shd w:val="clear" w:color="auto" w:fill="E2E6F4"/>
          </w:tcPr>
          <w:p>
            <w:pPr>
              <w:jc w:val="right"/>
              <w:spacing w:after="0"/>
              <w:rPr>
                <w:sz w:val="20"/>
                <w:szCs w:val="20"/>
                <w:color w:val="auto"/>
              </w:rPr>
            </w:pPr>
            <w:r>
              <w:rPr>
                <w:rFonts w:ascii="Arial" w:cs="Arial" w:eastAsia="Arial" w:hAnsi="Arial"/>
                <w:sz w:val="11"/>
                <w:szCs w:val="11"/>
                <w:color w:val="auto"/>
                <w:w w:val="93"/>
              </w:rPr>
              <w:t>(4),(5)</w:t>
            </w:r>
          </w:p>
        </w:tc>
        <w:tc>
          <w:tcPr>
            <w:tcW w:w="1180" w:type="dxa"/>
            <w:vAlign w:val="bottom"/>
            <w:shd w:val="clear" w:color="auto" w:fill="E2E6F4"/>
          </w:tcPr>
          <w:p>
            <w:pPr>
              <w:jc w:val="right"/>
              <w:spacing w:after="0"/>
              <w:rPr>
                <w:sz w:val="20"/>
                <w:szCs w:val="20"/>
                <w:color w:val="auto"/>
              </w:rPr>
            </w:pPr>
            <w:r>
              <w:rPr>
                <w:rFonts w:ascii="Arial" w:cs="Arial" w:eastAsia="Arial" w:hAnsi="Arial"/>
                <w:sz w:val="16"/>
                <w:szCs w:val="16"/>
                <w:color w:val="auto"/>
              </w:rPr>
              <w:t>2,754,539</w:t>
            </w:r>
          </w:p>
        </w:tc>
        <w:tc>
          <w:tcPr>
            <w:tcW w:w="0" w:type="dxa"/>
            <w:vAlign w:val="bottom"/>
          </w:tcPr>
          <w:p>
            <w:pPr>
              <w:spacing w:after="0"/>
              <w:rPr>
                <w:sz w:val="1"/>
                <w:szCs w:val="1"/>
                <w:color w:val="auto"/>
              </w:rPr>
            </w:pPr>
          </w:p>
        </w:tc>
      </w:tr>
      <w:tr>
        <w:trPr>
          <w:trHeight w:val="96"/>
        </w:trPr>
        <w:tc>
          <w:tcPr>
            <w:tcW w:w="880" w:type="dxa"/>
            <w:vAlign w:val="bottom"/>
            <w:tcBorders>
              <w:bottom w:val="single" w:sz="8" w:color="0067B3"/>
            </w:tcBorders>
            <w:shd w:val="clear" w:color="auto" w:fill="E2E6F4"/>
          </w:tcPr>
          <w:p>
            <w:pPr>
              <w:spacing w:after="0"/>
              <w:rPr>
                <w:sz w:val="8"/>
                <w:szCs w:val="8"/>
                <w:color w:val="auto"/>
              </w:rPr>
            </w:pPr>
          </w:p>
        </w:tc>
        <w:tc>
          <w:tcPr>
            <w:tcW w:w="880" w:type="dxa"/>
            <w:vAlign w:val="bottom"/>
            <w:tcBorders>
              <w:bottom w:val="single" w:sz="8" w:color="0067B3"/>
            </w:tcBorders>
            <w:shd w:val="clear" w:color="auto" w:fill="E2E6F4"/>
          </w:tcPr>
          <w:p>
            <w:pPr>
              <w:spacing w:after="0"/>
              <w:rPr>
                <w:sz w:val="8"/>
                <w:szCs w:val="8"/>
                <w:color w:val="auto"/>
              </w:rPr>
            </w:pPr>
          </w:p>
        </w:tc>
        <w:tc>
          <w:tcPr>
            <w:tcW w:w="960" w:type="dxa"/>
            <w:vAlign w:val="bottom"/>
            <w:tcBorders>
              <w:bottom w:val="single" w:sz="8" w:color="0067B3"/>
            </w:tcBorders>
            <w:shd w:val="clear" w:color="auto" w:fill="E2E6F4"/>
          </w:tcPr>
          <w:p>
            <w:pPr>
              <w:spacing w:after="0"/>
              <w:rPr>
                <w:sz w:val="8"/>
                <w:szCs w:val="8"/>
                <w:color w:val="auto"/>
              </w:rPr>
            </w:pPr>
          </w:p>
        </w:tc>
        <w:tc>
          <w:tcPr>
            <w:tcW w:w="1080" w:type="dxa"/>
            <w:vAlign w:val="bottom"/>
            <w:tcBorders>
              <w:bottom w:val="single" w:sz="8" w:color="0067B3"/>
            </w:tcBorders>
            <w:shd w:val="clear" w:color="auto" w:fill="E2E6F4"/>
          </w:tcPr>
          <w:p>
            <w:pPr>
              <w:spacing w:after="0"/>
              <w:rPr>
                <w:sz w:val="8"/>
                <w:szCs w:val="8"/>
                <w:color w:val="auto"/>
              </w:rPr>
            </w:pPr>
          </w:p>
        </w:tc>
        <w:tc>
          <w:tcPr>
            <w:tcW w:w="1020" w:type="dxa"/>
            <w:vAlign w:val="bottom"/>
            <w:tcBorders>
              <w:bottom w:val="single" w:sz="8" w:color="0067B3"/>
            </w:tcBorders>
            <w:shd w:val="clear" w:color="auto" w:fill="E2E6F4"/>
          </w:tcPr>
          <w:p>
            <w:pPr>
              <w:spacing w:after="0"/>
              <w:rPr>
                <w:sz w:val="8"/>
                <w:szCs w:val="8"/>
                <w:color w:val="auto"/>
              </w:rPr>
            </w:pPr>
          </w:p>
        </w:tc>
        <w:tc>
          <w:tcPr>
            <w:tcW w:w="700" w:type="dxa"/>
            <w:vAlign w:val="bottom"/>
            <w:tcBorders>
              <w:bottom w:val="single" w:sz="8" w:color="0067B3"/>
            </w:tcBorders>
            <w:shd w:val="clear" w:color="auto" w:fill="E2E6F4"/>
          </w:tcPr>
          <w:p>
            <w:pPr>
              <w:spacing w:after="0"/>
              <w:rPr>
                <w:sz w:val="8"/>
                <w:szCs w:val="8"/>
                <w:color w:val="auto"/>
              </w:rPr>
            </w:pPr>
          </w:p>
        </w:tc>
        <w:tc>
          <w:tcPr>
            <w:tcW w:w="1060" w:type="dxa"/>
            <w:vAlign w:val="bottom"/>
            <w:tcBorders>
              <w:bottom w:val="single" w:sz="8" w:color="0067B3"/>
            </w:tcBorders>
            <w:shd w:val="clear" w:color="auto" w:fill="E2E6F4"/>
          </w:tcPr>
          <w:p>
            <w:pPr>
              <w:spacing w:after="0"/>
              <w:rPr>
                <w:sz w:val="8"/>
                <w:szCs w:val="8"/>
                <w:color w:val="auto"/>
              </w:rPr>
            </w:pPr>
          </w:p>
        </w:tc>
        <w:tc>
          <w:tcPr>
            <w:tcW w:w="1100" w:type="dxa"/>
            <w:vAlign w:val="bottom"/>
            <w:tcBorders>
              <w:bottom w:val="single" w:sz="8" w:color="0067B3"/>
            </w:tcBorders>
            <w:shd w:val="clear" w:color="auto" w:fill="E2E6F4"/>
          </w:tcPr>
          <w:p>
            <w:pPr>
              <w:spacing w:after="0"/>
              <w:rPr>
                <w:sz w:val="8"/>
                <w:szCs w:val="8"/>
                <w:color w:val="auto"/>
              </w:rPr>
            </w:pPr>
          </w:p>
        </w:tc>
        <w:tc>
          <w:tcPr>
            <w:tcW w:w="1000" w:type="dxa"/>
            <w:vAlign w:val="bottom"/>
            <w:tcBorders>
              <w:bottom w:val="single" w:sz="8" w:color="0067B3"/>
            </w:tcBorders>
            <w:shd w:val="clear" w:color="auto" w:fill="E2E6F4"/>
          </w:tcPr>
          <w:p>
            <w:pPr>
              <w:spacing w:after="0"/>
              <w:rPr>
                <w:sz w:val="8"/>
                <w:szCs w:val="8"/>
                <w:color w:val="auto"/>
              </w:rPr>
            </w:pPr>
          </w:p>
        </w:tc>
        <w:tc>
          <w:tcPr>
            <w:tcW w:w="1040" w:type="dxa"/>
            <w:vAlign w:val="bottom"/>
            <w:tcBorders>
              <w:bottom w:val="single" w:sz="8" w:color="0067B3"/>
            </w:tcBorders>
            <w:shd w:val="clear" w:color="auto" w:fill="E2E6F4"/>
          </w:tcPr>
          <w:p>
            <w:pPr>
              <w:spacing w:after="0"/>
              <w:rPr>
                <w:sz w:val="8"/>
                <w:szCs w:val="8"/>
                <w:color w:val="auto"/>
              </w:rPr>
            </w:pPr>
          </w:p>
        </w:tc>
        <w:tc>
          <w:tcPr>
            <w:tcW w:w="340" w:type="dxa"/>
            <w:vAlign w:val="bottom"/>
            <w:tcBorders>
              <w:bottom w:val="single" w:sz="8" w:color="0067B3"/>
            </w:tcBorders>
            <w:shd w:val="clear" w:color="auto" w:fill="E2E6F4"/>
          </w:tcPr>
          <w:p>
            <w:pPr>
              <w:spacing w:after="0"/>
              <w:rPr>
                <w:sz w:val="8"/>
                <w:szCs w:val="8"/>
                <w:color w:val="auto"/>
              </w:rPr>
            </w:pPr>
          </w:p>
        </w:tc>
        <w:tc>
          <w:tcPr>
            <w:tcW w:w="1180" w:type="dxa"/>
            <w:vAlign w:val="bottom"/>
            <w:tcBorders>
              <w:bottom w:val="single" w:sz="8" w:color="0067B3"/>
            </w:tcBorders>
            <w:shd w:val="clear" w:color="auto" w:fill="E2E6F4"/>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1119505</wp:posOffset>
            </wp:positionH>
            <wp:positionV relativeFrom="paragraph">
              <wp:posOffset>-6411595</wp:posOffset>
            </wp:positionV>
            <wp:extent cx="6017895" cy="8255"/>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6017895" cy="8255"/>
                    </a:xfrm>
                    <a:prstGeom prst="rect">
                      <a:avLst/>
                    </a:prstGeom>
                    <a:noFill/>
                  </pic:spPr>
                </pic:pic>
              </a:graphicData>
            </a:graphic>
          </wp:anchor>
        </w:drawing>
      </w:r>
    </w:p>
    <w:p>
      <w:pPr>
        <w:spacing w:after="0" w:line="142" w:lineRule="exact"/>
        <w:rPr>
          <w:sz w:val="20"/>
          <w:szCs w:val="20"/>
          <w:color w:val="auto"/>
        </w:rPr>
      </w:pPr>
    </w:p>
    <w:p>
      <w:pPr>
        <w:ind w:left="220" w:hanging="212"/>
        <w:spacing w:after="0"/>
        <w:tabs>
          <w:tab w:leader="none" w:pos="220" w:val="left"/>
        </w:tabs>
        <w:numPr>
          <w:ilvl w:val="0"/>
          <w:numId w:val="116"/>
        </w:numPr>
        <w:rPr>
          <w:rFonts w:ascii="Arial" w:cs="Arial" w:eastAsia="Arial" w:hAnsi="Arial"/>
          <w:sz w:val="21"/>
          <w:szCs w:val="21"/>
          <w:color w:val="auto"/>
          <w:vertAlign w:val="superscript"/>
        </w:rPr>
      </w:pPr>
      <w:r>
        <w:rPr>
          <w:rFonts w:ascii="Arial" w:cs="Arial" w:eastAsia="Arial" w:hAnsi="Arial"/>
          <w:sz w:val="16"/>
          <w:szCs w:val="16"/>
          <w:color w:val="auto"/>
        </w:rPr>
        <w:t>The expiration date of each stock option award is ten years after its grant date.</w:t>
      </w:r>
    </w:p>
    <w:p>
      <w:pPr>
        <w:spacing w:after="0" w:line="70" w:lineRule="exact"/>
        <w:rPr>
          <w:rFonts w:ascii="Arial" w:cs="Arial" w:eastAsia="Arial" w:hAnsi="Arial"/>
          <w:sz w:val="21"/>
          <w:szCs w:val="21"/>
          <w:color w:val="auto"/>
          <w:vertAlign w:val="superscript"/>
        </w:rPr>
      </w:pPr>
    </w:p>
    <w:p>
      <w:pPr>
        <w:ind w:left="200" w:right="60" w:hanging="192"/>
        <w:spacing w:after="0" w:line="245" w:lineRule="auto"/>
        <w:tabs>
          <w:tab w:leader="none" w:pos="215" w:val="left"/>
        </w:tabs>
        <w:numPr>
          <w:ilvl w:val="0"/>
          <w:numId w:val="116"/>
        </w:numPr>
        <w:rPr>
          <w:rFonts w:ascii="Arial" w:cs="Arial" w:eastAsia="Arial" w:hAnsi="Arial"/>
          <w:sz w:val="21"/>
          <w:szCs w:val="21"/>
          <w:color w:val="auto"/>
          <w:vertAlign w:val="superscript"/>
        </w:rPr>
      </w:pPr>
      <w:r>
        <w:rPr>
          <w:rFonts w:ascii="Arial" w:cs="Arial" w:eastAsia="Arial" w:hAnsi="Arial"/>
          <w:sz w:val="16"/>
          <w:szCs w:val="16"/>
          <w:color w:val="auto"/>
        </w:rPr>
        <w:t>The time-based RSUs granted in 2022 vest in four equal installments on each of the first, second, third and fourth anniversaries of March 15, 2022. The time-based RSUs granted to Mr. Jain in 2021 vest in four equal increments on February 15, 2025; May 15, 2025; August 15, 2025; and November 15, 2025. The time-based RSUs granted in April 2023 vest in four equal installments on the first, second, third and fourth anniversaries of March 15, 2023. The time-based RSUs granted in 2024 (other than those granted to Mr. Puccio on March 15, 2024) vest in four equal installments on the first, second, third, and fourth anniversaries of August 15, 2024. The time-based RSUs granted to Mr. Puccio on March 15, 2024 vest in three equal installments on the first, second and third anniversaries of March 15, 2024. The time-based RSUs granted in 2025 vest in equal installments on the first, second, third and fourth anniversaries of March 15, 2025. This column also includes Financial Metric PRSU awards granted in 2023 that were earned as of November 1, 2025, which continue to be subject to service-based vesting requirements until March 15, 2026.</w:t>
      </w:r>
    </w:p>
    <w:p>
      <w:pPr>
        <w:spacing w:after="0" w:line="200" w:lineRule="exact"/>
        <w:rPr>
          <w:sz w:val="20"/>
          <w:szCs w:val="20"/>
          <w:color w:val="auto"/>
        </w:rPr>
      </w:pP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78"/>
        </w:trPr>
        <w:tc>
          <w:tcPr>
            <w:tcW w:w="10800" w:type="dxa"/>
            <w:vAlign w:val="bottom"/>
          </w:tcPr>
          <w:p>
            <w:pPr>
              <w:ind w:left="8980"/>
              <w:spacing w:after="0"/>
              <w:rPr>
                <w:sz w:val="20"/>
                <w:szCs w:val="20"/>
                <w:color w:val="auto"/>
              </w:rPr>
            </w:pPr>
            <w:r>
              <w:rPr>
                <w:rFonts w:ascii="Arial" w:cs="Arial" w:eastAsia="Arial" w:hAnsi="Arial"/>
                <w:sz w:val="16"/>
                <w:szCs w:val="16"/>
                <w:color w:val="0067B3"/>
              </w:rPr>
              <w:t>2026 Proxy Statement</w:t>
            </w:r>
          </w:p>
        </w:tc>
        <w:tc>
          <w:tcPr>
            <w:tcW w:w="440" w:type="dxa"/>
            <w:vAlign w:val="bottom"/>
          </w:tcPr>
          <w:p>
            <w:pPr>
              <w:jc w:val="right"/>
              <w:spacing w:after="0"/>
              <w:rPr>
                <w:sz w:val="20"/>
                <w:szCs w:val="20"/>
                <w:color w:val="auto"/>
              </w:rPr>
            </w:pPr>
            <w:r>
              <w:rPr>
                <w:rFonts w:ascii="Arial" w:cs="Arial" w:eastAsia="Arial" w:hAnsi="Arial"/>
                <w:sz w:val="20"/>
                <w:szCs w:val="20"/>
                <w:b w:val="1"/>
                <w:bCs w:val="1"/>
                <w:color w:val="auto"/>
              </w:rPr>
              <w:t>63</w:t>
            </w:r>
          </w:p>
        </w:tc>
      </w:tr>
      <w:tr>
        <w:trPr>
          <w:trHeight w:val="333"/>
        </w:trPr>
        <w:tc>
          <w:tcPr>
            <w:tcW w:w="1080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311" w:right="339" w:bottom="325" w:gutter="0" w:footer="0" w:header="0"/>
        </w:sectPr>
      </w:pPr>
    </w:p>
    <w:bookmarkStart w:id="71" w:name="page72"/>
    <w:bookmarkEnd w:id="71"/>
    <w:p>
      <w:pPr>
        <w:ind w:left="200" w:right="200" w:hanging="192"/>
        <w:spacing w:after="0" w:line="235" w:lineRule="auto"/>
        <w:tabs>
          <w:tab w:leader="none" w:pos="215" w:val="left"/>
        </w:tabs>
        <w:numPr>
          <w:ilvl w:val="0"/>
          <w:numId w:val="117"/>
        </w:numPr>
        <w:rPr>
          <w:rFonts w:ascii="Arial" w:cs="Arial" w:eastAsia="Arial" w:hAnsi="Arial"/>
          <w:sz w:val="21"/>
          <w:szCs w:val="21"/>
          <w:color w:val="auto"/>
          <w:vertAlign w:val="superscript"/>
        </w:rPr>
      </w:pPr>
      <w:r>
        <w:rPr>
          <w:rFonts w:ascii="Arial" w:cs="Arial" w:eastAsia="Arial" w:hAnsi="Arial"/>
          <w:sz w:val="16"/>
          <w:szCs w:val="16"/>
          <w:color w:val="auto"/>
        </w:rPr>
        <w:t>The market value was calculated based on $234.13, the closing price per share of our common stock on October 31, 2025, the last trading day of fiscal year 2025.</w:t>
      </w:r>
    </w:p>
    <w:p>
      <w:pPr>
        <w:spacing w:after="0" w:line="55" w:lineRule="exact"/>
        <w:rPr>
          <w:rFonts w:ascii="Arial" w:cs="Arial" w:eastAsia="Arial" w:hAnsi="Arial"/>
          <w:sz w:val="21"/>
          <w:szCs w:val="21"/>
          <w:color w:val="auto"/>
          <w:vertAlign w:val="superscript"/>
        </w:rPr>
      </w:pPr>
    </w:p>
    <w:p>
      <w:pPr>
        <w:ind w:left="200" w:right="100" w:hanging="192"/>
        <w:spacing w:after="0" w:line="242" w:lineRule="auto"/>
        <w:tabs>
          <w:tab w:leader="none" w:pos="215" w:val="left"/>
        </w:tabs>
        <w:numPr>
          <w:ilvl w:val="0"/>
          <w:numId w:val="117"/>
        </w:numPr>
        <w:rPr>
          <w:rFonts w:ascii="Arial" w:cs="Arial" w:eastAsia="Arial" w:hAnsi="Arial"/>
          <w:sz w:val="21"/>
          <w:szCs w:val="21"/>
          <w:color w:val="auto"/>
          <w:vertAlign w:val="superscript"/>
        </w:rPr>
      </w:pPr>
      <w:r>
        <w:rPr>
          <w:rFonts w:ascii="Arial" w:cs="Arial" w:eastAsia="Arial" w:hAnsi="Arial"/>
          <w:sz w:val="16"/>
          <w:szCs w:val="16"/>
          <w:color w:val="auto"/>
        </w:rPr>
        <w:t>The number of shares, if any, earned under Relative TSR PRSU awards granted in 2023, 2024, and 2025 is contingent upon the achievement of pre-established performance parameters over a three-year performance period. For awards granted in 2023, the performance period began on March 15, 2023 and ends on March 15, 2026 and any shares earned will vest on March 29, 2026. For awards granted in 2024, the performance period began on August 15, 2024 and ends on August 15, 2027 and any shares earned will vest on August 29, 2027. For awards granted in 2025, the performance period began on March 15, 2025 and ends on March 15, 2028 and any shares earned will vest on March 29, 2028.</w:t>
      </w:r>
    </w:p>
    <w:p>
      <w:pPr>
        <w:spacing w:after="0" w:line="53" w:lineRule="exact"/>
        <w:rPr>
          <w:rFonts w:ascii="Arial" w:cs="Arial" w:eastAsia="Arial" w:hAnsi="Arial"/>
          <w:sz w:val="21"/>
          <w:szCs w:val="21"/>
          <w:color w:val="auto"/>
          <w:vertAlign w:val="superscript"/>
        </w:rPr>
      </w:pPr>
    </w:p>
    <w:p>
      <w:pPr>
        <w:ind w:left="200" w:right="420" w:hanging="192"/>
        <w:spacing w:after="0" w:line="238" w:lineRule="auto"/>
        <w:tabs>
          <w:tab w:leader="none" w:pos="215" w:val="left"/>
        </w:tabs>
        <w:numPr>
          <w:ilvl w:val="0"/>
          <w:numId w:val="117"/>
        </w:numPr>
        <w:rPr>
          <w:rFonts w:ascii="Arial" w:cs="Arial" w:eastAsia="Arial" w:hAnsi="Arial"/>
          <w:sz w:val="21"/>
          <w:szCs w:val="21"/>
          <w:color w:val="auto"/>
          <w:vertAlign w:val="superscript"/>
        </w:rPr>
      </w:pPr>
      <w:r>
        <w:rPr>
          <w:rFonts w:ascii="Arial" w:cs="Arial" w:eastAsia="Arial" w:hAnsi="Arial"/>
          <w:sz w:val="16"/>
          <w:szCs w:val="16"/>
          <w:color w:val="auto"/>
        </w:rPr>
        <w:t>The number of shares, if any, earned under Financial Metric PRSU awards granted in 2023, 2024, and 2025 will vest on March 15, 2026, August 29, 2027, and March 15, 2028, respectively, subject to the level of attainment of the performance parameters achieved over the applicable three-year performance period.</w:t>
      </w:r>
    </w:p>
    <w:p>
      <w:pPr>
        <w:spacing w:after="0" w:line="217" w:lineRule="exact"/>
        <w:rPr>
          <w:sz w:val="20"/>
          <w:szCs w:val="20"/>
          <w:color w:val="auto"/>
        </w:rPr>
      </w:pPr>
    </w:p>
    <w:p>
      <w:pPr>
        <w:spacing w:after="0"/>
        <w:rPr>
          <w:sz w:val="20"/>
          <w:szCs w:val="20"/>
          <w:color w:val="auto"/>
        </w:rPr>
      </w:pPr>
      <w:r>
        <w:rPr>
          <w:rFonts w:ascii="Arial" w:cs="Arial" w:eastAsia="Arial" w:hAnsi="Arial"/>
          <w:sz w:val="32"/>
          <w:szCs w:val="32"/>
          <w:b w:val="1"/>
          <w:bCs w:val="1"/>
          <w:color w:val="auto"/>
        </w:rPr>
        <w:t>Option Exercises and Stock Vested During Fiscal Year 2025</w:t>
      </w:r>
    </w:p>
    <w:p>
      <w:pPr>
        <w:spacing w:after="0" w:line="156" w:lineRule="exact"/>
        <w:rPr>
          <w:sz w:val="20"/>
          <w:szCs w:val="20"/>
          <w:color w:val="auto"/>
        </w:rPr>
      </w:pPr>
    </w:p>
    <w:p>
      <w:pPr>
        <w:ind w:right="120"/>
        <w:spacing w:after="0" w:line="287" w:lineRule="auto"/>
        <w:rPr>
          <w:sz w:val="20"/>
          <w:szCs w:val="20"/>
          <w:color w:val="auto"/>
        </w:rPr>
      </w:pPr>
      <w:r>
        <w:rPr>
          <w:rFonts w:ascii="Arial" w:cs="Arial" w:eastAsia="Arial" w:hAnsi="Arial"/>
          <w:sz w:val="18"/>
          <w:szCs w:val="18"/>
          <w:color w:val="auto"/>
        </w:rPr>
        <w:t>The following table provides information on the aggregate value realized by each NEO upon the exercise of stock options and the vesting of restricted stock units/awards, time-based RSUs and PRSUs during fiscal year 2025:</w:t>
      </w:r>
    </w:p>
    <w:p>
      <w:pPr>
        <w:spacing w:after="0" w:line="91"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4080" w:type="dxa"/>
            <w:vAlign w:val="bottom"/>
            <w:shd w:val="clear" w:color="auto" w:fill="0067B3"/>
          </w:tcPr>
          <w:p>
            <w:pPr>
              <w:spacing w:after="0"/>
              <w:rPr>
                <w:sz w:val="21"/>
                <w:szCs w:val="21"/>
                <w:color w:val="auto"/>
              </w:rPr>
            </w:pPr>
          </w:p>
        </w:tc>
        <w:tc>
          <w:tcPr>
            <w:tcW w:w="3620" w:type="dxa"/>
            <w:vAlign w:val="bottom"/>
            <w:gridSpan w:val="2"/>
            <w:shd w:val="clear" w:color="auto" w:fill="0067B3"/>
          </w:tcPr>
          <w:p>
            <w:pPr>
              <w:jc w:val="right"/>
              <w:ind w:right="1213"/>
              <w:spacing w:after="0"/>
              <w:rPr>
                <w:sz w:val="20"/>
                <w:szCs w:val="20"/>
                <w:color w:val="auto"/>
              </w:rPr>
            </w:pPr>
            <w:r>
              <w:rPr>
                <w:rFonts w:ascii="Arial" w:cs="Arial" w:eastAsia="Arial" w:hAnsi="Arial"/>
                <w:sz w:val="16"/>
                <w:szCs w:val="16"/>
                <w:b w:val="1"/>
                <w:bCs w:val="1"/>
                <w:color w:val="FFFFFF"/>
              </w:rPr>
              <w:t>Option Awards</w:t>
            </w:r>
          </w:p>
        </w:tc>
        <w:tc>
          <w:tcPr>
            <w:tcW w:w="3540" w:type="dxa"/>
            <w:vAlign w:val="bottom"/>
            <w:gridSpan w:val="2"/>
            <w:shd w:val="clear" w:color="auto" w:fill="0067B3"/>
          </w:tcPr>
          <w:p>
            <w:pPr>
              <w:jc w:val="right"/>
              <w:ind w:right="1093"/>
              <w:spacing w:after="0"/>
              <w:rPr>
                <w:sz w:val="20"/>
                <w:szCs w:val="20"/>
                <w:color w:val="auto"/>
              </w:rPr>
            </w:pPr>
            <w:r>
              <w:rPr>
                <w:rFonts w:ascii="Arial" w:cs="Arial" w:eastAsia="Arial" w:hAnsi="Arial"/>
                <w:sz w:val="16"/>
                <w:szCs w:val="16"/>
                <w:b w:val="1"/>
                <w:bCs w:val="1"/>
                <w:color w:val="FFFFFF"/>
              </w:rPr>
              <w:t>Stock Awards</w:t>
            </w:r>
          </w:p>
        </w:tc>
      </w:tr>
      <w:tr>
        <w:trPr>
          <w:trHeight w:val="216"/>
        </w:trPr>
        <w:tc>
          <w:tcPr>
            <w:tcW w:w="4080" w:type="dxa"/>
            <w:vAlign w:val="bottom"/>
            <w:shd w:val="clear" w:color="auto" w:fill="0067B3"/>
          </w:tcPr>
          <w:p>
            <w:pPr>
              <w:spacing w:after="0"/>
              <w:rPr>
                <w:sz w:val="18"/>
                <w:szCs w:val="18"/>
                <w:color w:val="auto"/>
              </w:rPr>
            </w:pPr>
          </w:p>
        </w:tc>
        <w:tc>
          <w:tcPr>
            <w:tcW w:w="2120" w:type="dxa"/>
            <w:vAlign w:val="bottom"/>
            <w:shd w:val="clear" w:color="auto" w:fill="0067B3"/>
          </w:tcPr>
          <w:p>
            <w:pPr>
              <w:spacing w:after="0"/>
              <w:rPr>
                <w:sz w:val="18"/>
                <w:szCs w:val="18"/>
                <w:color w:val="auto"/>
              </w:rPr>
            </w:pPr>
          </w:p>
        </w:tc>
        <w:tc>
          <w:tcPr>
            <w:tcW w:w="1500" w:type="dxa"/>
            <w:vAlign w:val="bottom"/>
            <w:shd w:val="clear" w:color="auto" w:fill="0067B3"/>
          </w:tcPr>
          <w:p>
            <w:pPr>
              <w:jc w:val="right"/>
              <w:ind w:right="93"/>
              <w:spacing w:after="0"/>
              <w:rPr>
                <w:sz w:val="20"/>
                <w:szCs w:val="20"/>
                <w:color w:val="auto"/>
              </w:rPr>
            </w:pPr>
            <w:r>
              <w:rPr>
                <w:rFonts w:ascii="Arial" w:cs="Arial" w:eastAsia="Arial" w:hAnsi="Arial"/>
                <w:sz w:val="16"/>
                <w:szCs w:val="16"/>
                <w:b w:val="1"/>
                <w:bCs w:val="1"/>
                <w:color w:val="FFFFFF"/>
              </w:rPr>
              <w:t>Value Realized</w:t>
            </w:r>
          </w:p>
        </w:tc>
        <w:tc>
          <w:tcPr>
            <w:tcW w:w="2160" w:type="dxa"/>
            <w:vAlign w:val="bottom"/>
            <w:shd w:val="clear" w:color="auto" w:fill="0067B3"/>
          </w:tcPr>
          <w:p>
            <w:pPr>
              <w:spacing w:after="0"/>
              <w:rPr>
                <w:sz w:val="18"/>
                <w:szCs w:val="18"/>
                <w:color w:val="auto"/>
              </w:rPr>
            </w:pPr>
          </w:p>
        </w:tc>
        <w:tc>
          <w:tcPr>
            <w:tcW w:w="1380" w:type="dxa"/>
            <w:vAlign w:val="bottom"/>
            <w:shd w:val="clear" w:color="auto" w:fill="0067B3"/>
          </w:tcPr>
          <w:p>
            <w:pPr>
              <w:jc w:val="right"/>
              <w:spacing w:after="0"/>
              <w:rPr>
                <w:sz w:val="20"/>
                <w:szCs w:val="20"/>
                <w:color w:val="auto"/>
              </w:rPr>
            </w:pPr>
            <w:r>
              <w:rPr>
                <w:rFonts w:ascii="Arial" w:cs="Arial" w:eastAsia="Arial" w:hAnsi="Arial"/>
                <w:sz w:val="16"/>
                <w:szCs w:val="16"/>
                <w:b w:val="1"/>
                <w:bCs w:val="1"/>
                <w:color w:val="FFFFFF"/>
              </w:rPr>
              <w:t>Value Realized</w:t>
            </w:r>
          </w:p>
        </w:tc>
      </w:tr>
      <w:tr>
        <w:trPr>
          <w:trHeight w:val="189"/>
        </w:trPr>
        <w:tc>
          <w:tcPr>
            <w:tcW w:w="4080" w:type="dxa"/>
            <w:vAlign w:val="bottom"/>
            <w:shd w:val="clear" w:color="auto" w:fill="0067B3"/>
          </w:tcPr>
          <w:p>
            <w:pPr>
              <w:spacing w:after="0"/>
              <w:rPr>
                <w:sz w:val="16"/>
                <w:szCs w:val="16"/>
                <w:color w:val="auto"/>
              </w:rPr>
            </w:pPr>
          </w:p>
        </w:tc>
        <w:tc>
          <w:tcPr>
            <w:tcW w:w="2120" w:type="dxa"/>
            <w:vAlign w:val="bottom"/>
            <w:shd w:val="clear" w:color="auto" w:fill="0067B3"/>
          </w:tcPr>
          <w:p>
            <w:pPr>
              <w:jc w:val="right"/>
              <w:ind w:right="113"/>
              <w:spacing w:after="0"/>
              <w:rPr>
                <w:sz w:val="20"/>
                <w:szCs w:val="20"/>
                <w:color w:val="auto"/>
              </w:rPr>
            </w:pPr>
            <w:r>
              <w:rPr>
                <w:rFonts w:ascii="Arial" w:cs="Arial" w:eastAsia="Arial" w:hAnsi="Arial"/>
                <w:sz w:val="16"/>
                <w:szCs w:val="16"/>
                <w:b w:val="1"/>
                <w:bCs w:val="1"/>
                <w:color w:val="FFFFFF"/>
              </w:rPr>
              <w:t>Number of Shares</w:t>
            </w:r>
          </w:p>
        </w:tc>
        <w:tc>
          <w:tcPr>
            <w:tcW w:w="1500" w:type="dxa"/>
            <w:vAlign w:val="bottom"/>
            <w:shd w:val="clear" w:color="auto" w:fill="0067B3"/>
          </w:tcPr>
          <w:p>
            <w:pPr>
              <w:jc w:val="right"/>
              <w:ind w:right="53"/>
              <w:spacing w:after="0"/>
              <w:rPr>
                <w:sz w:val="20"/>
                <w:szCs w:val="20"/>
                <w:color w:val="auto"/>
              </w:rPr>
            </w:pPr>
            <w:r>
              <w:rPr>
                <w:rFonts w:ascii="Arial" w:cs="Arial" w:eastAsia="Arial" w:hAnsi="Arial"/>
                <w:sz w:val="16"/>
                <w:szCs w:val="16"/>
                <w:b w:val="1"/>
                <w:bCs w:val="1"/>
                <w:color w:val="FFFFFF"/>
              </w:rPr>
              <w:t>on Exercise</w:t>
            </w:r>
          </w:p>
        </w:tc>
        <w:tc>
          <w:tcPr>
            <w:tcW w:w="2160" w:type="dxa"/>
            <w:vAlign w:val="bottom"/>
            <w:shd w:val="clear" w:color="auto" w:fill="0067B3"/>
          </w:tcPr>
          <w:p>
            <w:pPr>
              <w:jc w:val="right"/>
              <w:ind w:right="113"/>
              <w:spacing w:after="0"/>
              <w:rPr>
                <w:sz w:val="20"/>
                <w:szCs w:val="20"/>
                <w:color w:val="auto"/>
              </w:rPr>
            </w:pPr>
            <w:r>
              <w:rPr>
                <w:rFonts w:ascii="Arial" w:cs="Arial" w:eastAsia="Arial" w:hAnsi="Arial"/>
                <w:sz w:val="16"/>
                <w:szCs w:val="16"/>
                <w:b w:val="1"/>
                <w:bCs w:val="1"/>
                <w:color w:val="FFFFFF"/>
              </w:rPr>
              <w:t>Number of Shares</w:t>
            </w:r>
          </w:p>
        </w:tc>
        <w:tc>
          <w:tcPr>
            <w:tcW w:w="1380" w:type="dxa"/>
            <w:vAlign w:val="bottom"/>
            <w:shd w:val="clear" w:color="auto" w:fill="0067B3"/>
          </w:tcPr>
          <w:p>
            <w:pPr>
              <w:jc w:val="right"/>
              <w:spacing w:after="0"/>
              <w:rPr>
                <w:sz w:val="20"/>
                <w:szCs w:val="20"/>
                <w:color w:val="auto"/>
              </w:rPr>
            </w:pPr>
            <w:r>
              <w:rPr>
                <w:rFonts w:ascii="Arial" w:cs="Arial" w:eastAsia="Arial" w:hAnsi="Arial"/>
                <w:sz w:val="16"/>
                <w:szCs w:val="16"/>
                <w:b w:val="1"/>
                <w:bCs w:val="1"/>
                <w:color w:val="FFFFFF"/>
              </w:rPr>
              <w:t>on Vesting</w:t>
            </w:r>
          </w:p>
        </w:tc>
      </w:tr>
      <w:tr>
        <w:trPr>
          <w:trHeight w:val="244"/>
        </w:trPr>
        <w:tc>
          <w:tcPr>
            <w:tcW w:w="4080" w:type="dxa"/>
            <w:vAlign w:val="bottom"/>
            <w:shd w:val="clear" w:color="auto" w:fill="0067B3"/>
          </w:tcPr>
          <w:p>
            <w:pPr>
              <w:ind w:left="20"/>
              <w:spacing w:after="0"/>
              <w:rPr>
                <w:sz w:val="20"/>
                <w:szCs w:val="20"/>
                <w:color w:val="auto"/>
              </w:rPr>
            </w:pPr>
            <w:r>
              <w:rPr>
                <w:rFonts w:ascii="Arial" w:cs="Arial" w:eastAsia="Arial" w:hAnsi="Arial"/>
                <w:sz w:val="16"/>
                <w:szCs w:val="16"/>
                <w:b w:val="1"/>
                <w:bCs w:val="1"/>
                <w:color w:val="FFFFFF"/>
              </w:rPr>
              <w:t>Grant Date</w:t>
            </w:r>
          </w:p>
        </w:tc>
        <w:tc>
          <w:tcPr>
            <w:tcW w:w="2120" w:type="dxa"/>
            <w:vAlign w:val="bottom"/>
            <w:shd w:val="clear" w:color="auto" w:fill="0067B3"/>
          </w:tcPr>
          <w:p>
            <w:pPr>
              <w:jc w:val="right"/>
              <w:ind w:right="113"/>
              <w:spacing w:after="0"/>
              <w:rPr>
                <w:sz w:val="20"/>
                <w:szCs w:val="20"/>
                <w:color w:val="auto"/>
              </w:rPr>
            </w:pPr>
            <w:r>
              <w:rPr>
                <w:rFonts w:ascii="Arial" w:cs="Arial" w:eastAsia="Arial" w:hAnsi="Arial"/>
                <w:sz w:val="16"/>
                <w:szCs w:val="16"/>
                <w:b w:val="1"/>
                <w:bCs w:val="1"/>
                <w:color w:val="FFFFFF"/>
              </w:rPr>
              <w:t>Acquired on Exercise (#)</w:t>
            </w:r>
          </w:p>
        </w:tc>
        <w:tc>
          <w:tcPr>
            <w:tcW w:w="1500" w:type="dxa"/>
            <w:vAlign w:val="bottom"/>
            <w:shd w:val="clear" w:color="auto" w:fill="0067B3"/>
          </w:tcPr>
          <w:p>
            <w:pPr>
              <w:jc w:val="right"/>
              <w:ind w:right="53"/>
              <w:spacing w:after="0"/>
              <w:rPr>
                <w:sz w:val="20"/>
                <w:szCs w:val="20"/>
                <w:color w:val="auto"/>
              </w:rPr>
            </w:pPr>
            <w:r>
              <w:rPr>
                <w:rFonts w:ascii="Arial" w:cs="Arial" w:eastAsia="Arial" w:hAnsi="Arial"/>
                <w:sz w:val="16"/>
                <w:szCs w:val="16"/>
                <w:b w:val="1"/>
                <w:bCs w:val="1"/>
                <w:color w:val="FFFFFF"/>
              </w:rPr>
              <w:t>($)</w:t>
            </w:r>
            <w:r>
              <w:rPr>
                <w:rFonts w:ascii="Arial" w:cs="Arial" w:eastAsia="Arial" w:hAnsi="Arial"/>
                <w:sz w:val="21"/>
                <w:szCs w:val="21"/>
                <w:b w:val="1"/>
                <w:bCs w:val="1"/>
                <w:color w:val="FFFFFF"/>
                <w:vertAlign w:val="superscript"/>
              </w:rPr>
              <w:t>(1)</w:t>
            </w:r>
          </w:p>
        </w:tc>
        <w:tc>
          <w:tcPr>
            <w:tcW w:w="2160" w:type="dxa"/>
            <w:vAlign w:val="bottom"/>
            <w:shd w:val="clear" w:color="auto" w:fill="0067B3"/>
          </w:tcPr>
          <w:p>
            <w:pPr>
              <w:jc w:val="right"/>
              <w:ind w:right="113"/>
              <w:spacing w:after="0"/>
              <w:rPr>
                <w:sz w:val="20"/>
                <w:szCs w:val="20"/>
                <w:color w:val="auto"/>
              </w:rPr>
            </w:pPr>
            <w:r>
              <w:rPr>
                <w:rFonts w:ascii="Arial" w:cs="Arial" w:eastAsia="Arial" w:hAnsi="Arial"/>
                <w:sz w:val="16"/>
                <w:szCs w:val="16"/>
                <w:b w:val="1"/>
                <w:bCs w:val="1"/>
                <w:color w:val="FFFFFF"/>
              </w:rPr>
              <w:t>Acquired on Vesting (#)</w:t>
            </w:r>
          </w:p>
        </w:tc>
        <w:tc>
          <w:tcPr>
            <w:tcW w:w="1380" w:type="dxa"/>
            <w:vAlign w:val="bottom"/>
            <w:shd w:val="clear" w:color="auto" w:fill="0067B3"/>
          </w:tcPr>
          <w:p>
            <w:pPr>
              <w:jc w:val="right"/>
              <w:spacing w:after="0"/>
              <w:rPr>
                <w:sz w:val="20"/>
                <w:szCs w:val="20"/>
                <w:color w:val="auto"/>
              </w:rPr>
            </w:pPr>
            <w:r>
              <w:rPr>
                <w:rFonts w:ascii="Arial" w:cs="Arial" w:eastAsia="Arial" w:hAnsi="Arial"/>
                <w:sz w:val="16"/>
                <w:szCs w:val="16"/>
                <w:b w:val="1"/>
                <w:bCs w:val="1"/>
                <w:color w:val="FFFFFF"/>
              </w:rPr>
              <w:t>($)</w:t>
            </w:r>
            <w:r>
              <w:rPr>
                <w:rFonts w:ascii="Arial" w:cs="Arial" w:eastAsia="Arial" w:hAnsi="Arial"/>
                <w:sz w:val="21"/>
                <w:szCs w:val="21"/>
                <w:b w:val="1"/>
                <w:bCs w:val="1"/>
                <w:color w:val="FFFFFF"/>
                <w:vertAlign w:val="superscript"/>
              </w:rPr>
              <w:t>(2)</w:t>
            </w:r>
          </w:p>
        </w:tc>
      </w:tr>
      <w:tr>
        <w:trPr>
          <w:trHeight w:val="270"/>
        </w:trPr>
        <w:tc>
          <w:tcPr>
            <w:tcW w:w="4080" w:type="dxa"/>
            <w:vAlign w:val="bottom"/>
            <w:shd w:val="clear" w:color="auto" w:fill="E2E6F4"/>
          </w:tcPr>
          <w:p>
            <w:pPr>
              <w:ind w:left="20"/>
              <w:spacing w:after="0"/>
              <w:rPr>
                <w:sz w:val="20"/>
                <w:szCs w:val="20"/>
                <w:color w:val="auto"/>
              </w:rPr>
            </w:pPr>
            <w:r>
              <w:rPr>
                <w:rFonts w:ascii="Arial" w:cs="Arial" w:eastAsia="Arial" w:hAnsi="Arial"/>
                <w:sz w:val="18"/>
                <w:szCs w:val="18"/>
                <w:b w:val="1"/>
                <w:bCs w:val="1"/>
                <w:color w:val="0067B3"/>
              </w:rPr>
              <w:t>Vincent Roche</w:t>
            </w:r>
          </w:p>
        </w:tc>
        <w:tc>
          <w:tcPr>
            <w:tcW w:w="2120" w:type="dxa"/>
            <w:vAlign w:val="bottom"/>
            <w:shd w:val="clear" w:color="auto" w:fill="E2E6F4"/>
          </w:tcPr>
          <w:p>
            <w:pPr>
              <w:jc w:val="right"/>
              <w:ind w:right="173"/>
              <w:spacing w:after="0"/>
              <w:rPr>
                <w:sz w:val="20"/>
                <w:szCs w:val="20"/>
                <w:color w:val="auto"/>
              </w:rPr>
            </w:pPr>
            <w:r>
              <w:rPr>
                <w:rFonts w:ascii="Arial" w:cs="Arial" w:eastAsia="Arial" w:hAnsi="Arial"/>
                <w:sz w:val="18"/>
                <w:szCs w:val="18"/>
                <w:color w:val="auto"/>
              </w:rPr>
              <w:t>80,000</w:t>
            </w:r>
          </w:p>
        </w:tc>
        <w:tc>
          <w:tcPr>
            <w:tcW w:w="1500" w:type="dxa"/>
            <w:vAlign w:val="bottom"/>
            <w:shd w:val="clear" w:color="auto" w:fill="E2E6F4"/>
          </w:tcPr>
          <w:p>
            <w:pPr>
              <w:jc w:val="right"/>
              <w:ind w:right="113"/>
              <w:spacing w:after="0"/>
              <w:rPr>
                <w:sz w:val="20"/>
                <w:szCs w:val="20"/>
                <w:color w:val="auto"/>
              </w:rPr>
            </w:pPr>
            <w:r>
              <w:rPr>
                <w:rFonts w:ascii="Arial" w:cs="Arial" w:eastAsia="Arial" w:hAnsi="Arial"/>
                <w:sz w:val="18"/>
                <w:szCs w:val="18"/>
                <w:color w:val="auto"/>
              </w:rPr>
              <w:t>10,406,356</w:t>
            </w:r>
          </w:p>
        </w:tc>
        <w:tc>
          <w:tcPr>
            <w:tcW w:w="2160" w:type="dxa"/>
            <w:vAlign w:val="bottom"/>
            <w:shd w:val="clear" w:color="auto" w:fill="E2E6F4"/>
          </w:tcPr>
          <w:p>
            <w:pPr>
              <w:jc w:val="right"/>
              <w:ind w:right="173"/>
              <w:spacing w:after="0"/>
              <w:rPr>
                <w:sz w:val="20"/>
                <w:szCs w:val="20"/>
                <w:color w:val="auto"/>
              </w:rPr>
            </w:pPr>
            <w:r>
              <w:rPr>
                <w:rFonts w:ascii="Arial" w:cs="Arial" w:eastAsia="Arial" w:hAnsi="Arial"/>
                <w:sz w:val="18"/>
                <w:szCs w:val="18"/>
                <w:color w:val="auto"/>
              </w:rPr>
              <w:t>123,060</w:t>
            </w:r>
          </w:p>
        </w:tc>
        <w:tc>
          <w:tcPr>
            <w:tcW w:w="1380" w:type="dxa"/>
            <w:vAlign w:val="bottom"/>
            <w:shd w:val="clear" w:color="auto" w:fill="E2E6F4"/>
          </w:tcPr>
          <w:p>
            <w:pPr>
              <w:jc w:val="right"/>
              <w:spacing w:after="0"/>
              <w:rPr>
                <w:sz w:val="20"/>
                <w:szCs w:val="20"/>
                <w:color w:val="auto"/>
              </w:rPr>
            </w:pPr>
            <w:r>
              <w:rPr>
                <w:rFonts w:ascii="Arial" w:cs="Arial" w:eastAsia="Arial" w:hAnsi="Arial"/>
                <w:sz w:val="18"/>
                <w:szCs w:val="18"/>
                <w:color w:val="auto"/>
              </w:rPr>
              <w:t>25,811,056</w:t>
            </w:r>
          </w:p>
        </w:tc>
      </w:tr>
      <w:tr>
        <w:trPr>
          <w:trHeight w:val="263"/>
        </w:trPr>
        <w:tc>
          <w:tcPr>
            <w:tcW w:w="4080" w:type="dxa"/>
            <w:vAlign w:val="bottom"/>
          </w:tcPr>
          <w:p>
            <w:pPr>
              <w:ind w:left="20"/>
              <w:spacing w:after="0"/>
              <w:rPr>
                <w:sz w:val="20"/>
                <w:szCs w:val="20"/>
                <w:color w:val="auto"/>
              </w:rPr>
            </w:pPr>
            <w:r>
              <w:rPr>
                <w:rFonts w:ascii="Arial" w:cs="Arial" w:eastAsia="Arial" w:hAnsi="Arial"/>
                <w:sz w:val="18"/>
                <w:szCs w:val="18"/>
                <w:b w:val="1"/>
                <w:bCs w:val="1"/>
                <w:color w:val="0067B3"/>
              </w:rPr>
              <w:t>Richard C. Puccio, Jr.</w:t>
            </w:r>
          </w:p>
        </w:tc>
        <w:tc>
          <w:tcPr>
            <w:tcW w:w="2120" w:type="dxa"/>
            <w:vAlign w:val="bottom"/>
          </w:tcPr>
          <w:p>
            <w:pPr>
              <w:jc w:val="right"/>
              <w:ind w:right="173"/>
              <w:spacing w:after="0"/>
              <w:rPr>
                <w:sz w:val="20"/>
                <w:szCs w:val="20"/>
                <w:color w:val="auto"/>
              </w:rPr>
            </w:pPr>
            <w:r>
              <w:rPr>
                <w:rFonts w:ascii="Arial" w:cs="Arial" w:eastAsia="Arial" w:hAnsi="Arial"/>
                <w:sz w:val="18"/>
                <w:szCs w:val="18"/>
                <w:color w:val="auto"/>
              </w:rPr>
              <w:t>—</w:t>
            </w:r>
          </w:p>
        </w:tc>
        <w:tc>
          <w:tcPr>
            <w:tcW w:w="1500" w:type="dxa"/>
            <w:vAlign w:val="bottom"/>
          </w:tcPr>
          <w:p>
            <w:pPr>
              <w:jc w:val="right"/>
              <w:ind w:right="113"/>
              <w:spacing w:after="0"/>
              <w:rPr>
                <w:sz w:val="20"/>
                <w:szCs w:val="20"/>
                <w:color w:val="auto"/>
              </w:rPr>
            </w:pPr>
            <w:r>
              <w:rPr>
                <w:rFonts w:ascii="Arial" w:cs="Arial" w:eastAsia="Arial" w:hAnsi="Arial"/>
                <w:sz w:val="18"/>
                <w:szCs w:val="18"/>
                <w:color w:val="auto"/>
              </w:rPr>
              <w:t>—</w:t>
            </w:r>
          </w:p>
        </w:tc>
        <w:tc>
          <w:tcPr>
            <w:tcW w:w="2160" w:type="dxa"/>
            <w:vAlign w:val="bottom"/>
          </w:tcPr>
          <w:p>
            <w:pPr>
              <w:jc w:val="right"/>
              <w:ind w:right="173"/>
              <w:spacing w:after="0"/>
              <w:rPr>
                <w:sz w:val="20"/>
                <w:szCs w:val="20"/>
                <w:color w:val="auto"/>
              </w:rPr>
            </w:pPr>
            <w:r>
              <w:rPr>
                <w:rFonts w:ascii="Arial" w:cs="Arial" w:eastAsia="Arial" w:hAnsi="Arial"/>
                <w:sz w:val="18"/>
                <w:szCs w:val="18"/>
                <w:color w:val="auto"/>
              </w:rPr>
              <w:t>19,998</w:t>
            </w:r>
          </w:p>
        </w:tc>
        <w:tc>
          <w:tcPr>
            <w:tcW w:w="1380" w:type="dxa"/>
            <w:vAlign w:val="bottom"/>
          </w:tcPr>
          <w:p>
            <w:pPr>
              <w:jc w:val="right"/>
              <w:spacing w:after="0"/>
              <w:rPr>
                <w:sz w:val="20"/>
                <w:szCs w:val="20"/>
                <w:color w:val="auto"/>
              </w:rPr>
            </w:pPr>
            <w:r>
              <w:rPr>
                <w:rFonts w:ascii="Arial" w:cs="Arial" w:eastAsia="Arial" w:hAnsi="Arial"/>
                <w:sz w:val="18"/>
                <w:szCs w:val="18"/>
                <w:color w:val="auto"/>
              </w:rPr>
              <w:t>4,278,882</w:t>
            </w:r>
          </w:p>
        </w:tc>
      </w:tr>
      <w:tr>
        <w:trPr>
          <w:trHeight w:val="278"/>
        </w:trPr>
        <w:tc>
          <w:tcPr>
            <w:tcW w:w="4080" w:type="dxa"/>
            <w:vAlign w:val="bottom"/>
            <w:shd w:val="clear" w:color="auto" w:fill="E2E6F4"/>
          </w:tcPr>
          <w:p>
            <w:pPr>
              <w:ind w:left="20"/>
              <w:spacing w:after="0"/>
              <w:rPr>
                <w:sz w:val="20"/>
                <w:szCs w:val="20"/>
                <w:color w:val="auto"/>
              </w:rPr>
            </w:pPr>
            <w:r>
              <w:rPr>
                <w:rFonts w:ascii="Arial" w:cs="Arial" w:eastAsia="Arial" w:hAnsi="Arial"/>
                <w:sz w:val="18"/>
                <w:szCs w:val="18"/>
                <w:b w:val="1"/>
                <w:bCs w:val="1"/>
                <w:color w:val="0067B3"/>
              </w:rPr>
              <w:t>Martin Cotter</w:t>
            </w:r>
          </w:p>
        </w:tc>
        <w:tc>
          <w:tcPr>
            <w:tcW w:w="2120" w:type="dxa"/>
            <w:vAlign w:val="bottom"/>
            <w:shd w:val="clear" w:color="auto" w:fill="E2E6F4"/>
          </w:tcPr>
          <w:p>
            <w:pPr>
              <w:jc w:val="right"/>
              <w:ind w:right="173"/>
              <w:spacing w:after="0"/>
              <w:rPr>
                <w:sz w:val="20"/>
                <w:szCs w:val="20"/>
                <w:color w:val="auto"/>
              </w:rPr>
            </w:pPr>
            <w:r>
              <w:rPr>
                <w:rFonts w:ascii="Arial" w:cs="Arial" w:eastAsia="Arial" w:hAnsi="Arial"/>
                <w:sz w:val="18"/>
                <w:szCs w:val="18"/>
                <w:color w:val="auto"/>
              </w:rPr>
              <w:t>—</w:t>
            </w:r>
          </w:p>
        </w:tc>
        <w:tc>
          <w:tcPr>
            <w:tcW w:w="1500" w:type="dxa"/>
            <w:vAlign w:val="bottom"/>
            <w:shd w:val="clear" w:color="auto" w:fill="E2E6F4"/>
          </w:tcPr>
          <w:p>
            <w:pPr>
              <w:jc w:val="right"/>
              <w:ind w:right="113"/>
              <w:spacing w:after="0"/>
              <w:rPr>
                <w:sz w:val="20"/>
                <w:szCs w:val="20"/>
                <w:color w:val="auto"/>
              </w:rPr>
            </w:pPr>
            <w:r>
              <w:rPr>
                <w:rFonts w:ascii="Arial" w:cs="Arial" w:eastAsia="Arial" w:hAnsi="Arial"/>
                <w:sz w:val="18"/>
                <w:szCs w:val="18"/>
                <w:color w:val="auto"/>
              </w:rPr>
              <w:t>—</w:t>
            </w:r>
          </w:p>
        </w:tc>
        <w:tc>
          <w:tcPr>
            <w:tcW w:w="2160" w:type="dxa"/>
            <w:vAlign w:val="bottom"/>
            <w:shd w:val="clear" w:color="auto" w:fill="E2E6F4"/>
          </w:tcPr>
          <w:p>
            <w:pPr>
              <w:jc w:val="right"/>
              <w:ind w:right="173"/>
              <w:spacing w:after="0"/>
              <w:rPr>
                <w:sz w:val="20"/>
                <w:szCs w:val="20"/>
                <w:color w:val="auto"/>
              </w:rPr>
            </w:pPr>
            <w:r>
              <w:rPr>
                <w:rFonts w:ascii="Arial" w:cs="Arial" w:eastAsia="Arial" w:hAnsi="Arial"/>
                <w:sz w:val="18"/>
                <w:szCs w:val="18"/>
                <w:color w:val="auto"/>
              </w:rPr>
              <w:t>25,110</w:t>
            </w:r>
          </w:p>
        </w:tc>
        <w:tc>
          <w:tcPr>
            <w:tcW w:w="1380" w:type="dxa"/>
            <w:vAlign w:val="bottom"/>
            <w:shd w:val="clear" w:color="auto" w:fill="E2E6F4"/>
          </w:tcPr>
          <w:p>
            <w:pPr>
              <w:jc w:val="right"/>
              <w:spacing w:after="0"/>
              <w:rPr>
                <w:sz w:val="20"/>
                <w:szCs w:val="20"/>
                <w:color w:val="auto"/>
              </w:rPr>
            </w:pPr>
            <w:r>
              <w:rPr>
                <w:rFonts w:ascii="Arial" w:cs="Arial" w:eastAsia="Arial" w:hAnsi="Arial"/>
                <w:sz w:val="18"/>
                <w:szCs w:val="18"/>
                <w:color w:val="auto"/>
              </w:rPr>
              <w:t>5,272,974</w:t>
            </w:r>
          </w:p>
        </w:tc>
      </w:tr>
      <w:tr>
        <w:trPr>
          <w:trHeight w:val="263"/>
        </w:trPr>
        <w:tc>
          <w:tcPr>
            <w:tcW w:w="4080" w:type="dxa"/>
            <w:vAlign w:val="bottom"/>
          </w:tcPr>
          <w:p>
            <w:pPr>
              <w:ind w:left="20"/>
              <w:spacing w:after="0"/>
              <w:rPr>
                <w:sz w:val="20"/>
                <w:szCs w:val="20"/>
                <w:color w:val="auto"/>
              </w:rPr>
            </w:pPr>
            <w:r>
              <w:rPr>
                <w:rFonts w:ascii="Arial" w:cs="Arial" w:eastAsia="Arial" w:hAnsi="Arial"/>
                <w:sz w:val="18"/>
                <w:szCs w:val="18"/>
                <w:b w:val="1"/>
                <w:bCs w:val="1"/>
                <w:color w:val="0067B3"/>
              </w:rPr>
              <w:t>Vivek Jain</w:t>
            </w:r>
          </w:p>
        </w:tc>
        <w:tc>
          <w:tcPr>
            <w:tcW w:w="2120" w:type="dxa"/>
            <w:vAlign w:val="bottom"/>
          </w:tcPr>
          <w:p>
            <w:pPr>
              <w:jc w:val="right"/>
              <w:ind w:right="173"/>
              <w:spacing w:after="0"/>
              <w:rPr>
                <w:sz w:val="20"/>
                <w:szCs w:val="20"/>
                <w:color w:val="auto"/>
              </w:rPr>
            </w:pPr>
            <w:r>
              <w:rPr>
                <w:rFonts w:ascii="Arial" w:cs="Arial" w:eastAsia="Arial" w:hAnsi="Arial"/>
                <w:sz w:val="18"/>
                <w:szCs w:val="18"/>
                <w:color w:val="auto"/>
              </w:rPr>
              <w:t>—</w:t>
            </w:r>
          </w:p>
        </w:tc>
        <w:tc>
          <w:tcPr>
            <w:tcW w:w="1500" w:type="dxa"/>
            <w:vAlign w:val="bottom"/>
          </w:tcPr>
          <w:p>
            <w:pPr>
              <w:jc w:val="right"/>
              <w:ind w:right="113"/>
              <w:spacing w:after="0"/>
              <w:rPr>
                <w:sz w:val="20"/>
                <w:szCs w:val="20"/>
                <w:color w:val="auto"/>
              </w:rPr>
            </w:pPr>
            <w:r>
              <w:rPr>
                <w:rFonts w:ascii="Arial" w:cs="Arial" w:eastAsia="Arial" w:hAnsi="Arial"/>
                <w:sz w:val="18"/>
                <w:szCs w:val="18"/>
                <w:color w:val="auto"/>
              </w:rPr>
              <w:t>—</w:t>
            </w:r>
          </w:p>
        </w:tc>
        <w:tc>
          <w:tcPr>
            <w:tcW w:w="2160" w:type="dxa"/>
            <w:vAlign w:val="bottom"/>
          </w:tcPr>
          <w:p>
            <w:pPr>
              <w:jc w:val="right"/>
              <w:ind w:right="173"/>
              <w:spacing w:after="0"/>
              <w:rPr>
                <w:sz w:val="20"/>
                <w:szCs w:val="20"/>
                <w:color w:val="auto"/>
              </w:rPr>
            </w:pPr>
            <w:r>
              <w:rPr>
                <w:rFonts w:ascii="Arial" w:cs="Arial" w:eastAsia="Arial" w:hAnsi="Arial"/>
                <w:sz w:val="18"/>
                <w:szCs w:val="18"/>
                <w:color w:val="auto"/>
              </w:rPr>
              <w:t>48,141</w:t>
            </w:r>
          </w:p>
        </w:tc>
        <w:tc>
          <w:tcPr>
            <w:tcW w:w="1380" w:type="dxa"/>
            <w:vAlign w:val="bottom"/>
          </w:tcPr>
          <w:p>
            <w:pPr>
              <w:jc w:val="right"/>
              <w:spacing w:after="0"/>
              <w:rPr>
                <w:sz w:val="20"/>
                <w:szCs w:val="20"/>
                <w:color w:val="auto"/>
              </w:rPr>
            </w:pPr>
            <w:r>
              <w:rPr>
                <w:rFonts w:ascii="Arial" w:cs="Arial" w:eastAsia="Arial" w:hAnsi="Arial"/>
                <w:sz w:val="18"/>
                <w:szCs w:val="18"/>
                <w:color w:val="auto"/>
              </w:rPr>
              <w:t>10,062,283</w:t>
            </w:r>
          </w:p>
        </w:tc>
      </w:tr>
      <w:tr>
        <w:trPr>
          <w:trHeight w:val="271"/>
        </w:trPr>
        <w:tc>
          <w:tcPr>
            <w:tcW w:w="4080" w:type="dxa"/>
            <w:vAlign w:val="bottom"/>
            <w:tcBorders>
              <w:bottom w:val="single" w:sz="8" w:color="0067B3"/>
            </w:tcBorders>
            <w:shd w:val="clear" w:color="auto" w:fill="E2E6F4"/>
          </w:tcPr>
          <w:p>
            <w:pPr>
              <w:ind w:left="20"/>
              <w:spacing w:after="0"/>
              <w:rPr>
                <w:sz w:val="20"/>
                <w:szCs w:val="20"/>
                <w:color w:val="auto"/>
              </w:rPr>
            </w:pPr>
            <w:r>
              <w:rPr>
                <w:rFonts w:ascii="Arial" w:cs="Arial" w:eastAsia="Arial" w:hAnsi="Arial"/>
                <w:sz w:val="18"/>
                <w:szCs w:val="18"/>
                <w:b w:val="1"/>
                <w:bCs w:val="1"/>
                <w:color w:val="0067B3"/>
              </w:rPr>
              <w:t>Katsu Nakamura</w:t>
            </w:r>
          </w:p>
        </w:tc>
        <w:tc>
          <w:tcPr>
            <w:tcW w:w="2120" w:type="dxa"/>
            <w:vAlign w:val="bottom"/>
            <w:tcBorders>
              <w:bottom w:val="single" w:sz="8" w:color="0067B3"/>
            </w:tcBorders>
            <w:shd w:val="clear" w:color="auto" w:fill="E2E6F4"/>
          </w:tcPr>
          <w:p>
            <w:pPr>
              <w:jc w:val="right"/>
              <w:ind w:right="173"/>
              <w:spacing w:after="0"/>
              <w:rPr>
                <w:sz w:val="20"/>
                <w:szCs w:val="20"/>
                <w:color w:val="auto"/>
              </w:rPr>
            </w:pPr>
            <w:r>
              <w:rPr>
                <w:rFonts w:ascii="Arial" w:cs="Arial" w:eastAsia="Arial" w:hAnsi="Arial"/>
                <w:sz w:val="18"/>
                <w:szCs w:val="18"/>
                <w:color w:val="auto"/>
              </w:rPr>
              <w:t>2,490</w:t>
            </w:r>
          </w:p>
        </w:tc>
        <w:tc>
          <w:tcPr>
            <w:tcW w:w="1500" w:type="dxa"/>
            <w:vAlign w:val="bottom"/>
            <w:tcBorders>
              <w:bottom w:val="single" w:sz="8" w:color="0067B3"/>
            </w:tcBorders>
            <w:shd w:val="clear" w:color="auto" w:fill="E2E6F4"/>
          </w:tcPr>
          <w:p>
            <w:pPr>
              <w:jc w:val="right"/>
              <w:ind w:right="113"/>
              <w:spacing w:after="0"/>
              <w:rPr>
                <w:sz w:val="20"/>
                <w:szCs w:val="20"/>
                <w:color w:val="auto"/>
              </w:rPr>
            </w:pPr>
            <w:r>
              <w:rPr>
                <w:rFonts w:ascii="Arial" w:cs="Arial" w:eastAsia="Arial" w:hAnsi="Arial"/>
                <w:sz w:val="18"/>
                <w:szCs w:val="18"/>
                <w:color w:val="auto"/>
              </w:rPr>
              <w:t>390,681</w:t>
            </w:r>
          </w:p>
        </w:tc>
        <w:tc>
          <w:tcPr>
            <w:tcW w:w="2160" w:type="dxa"/>
            <w:vAlign w:val="bottom"/>
            <w:tcBorders>
              <w:bottom w:val="single" w:sz="8" w:color="0067B3"/>
            </w:tcBorders>
            <w:shd w:val="clear" w:color="auto" w:fill="E2E6F4"/>
          </w:tcPr>
          <w:p>
            <w:pPr>
              <w:jc w:val="right"/>
              <w:ind w:right="173"/>
              <w:spacing w:after="0"/>
              <w:rPr>
                <w:sz w:val="20"/>
                <w:szCs w:val="20"/>
                <w:color w:val="auto"/>
              </w:rPr>
            </w:pPr>
            <w:r>
              <w:rPr>
                <w:rFonts w:ascii="Arial" w:cs="Arial" w:eastAsia="Arial" w:hAnsi="Arial"/>
                <w:sz w:val="18"/>
                <w:szCs w:val="18"/>
                <w:color w:val="auto"/>
              </w:rPr>
              <w:t>3,300</w:t>
            </w:r>
          </w:p>
        </w:tc>
        <w:tc>
          <w:tcPr>
            <w:tcW w:w="1380" w:type="dxa"/>
            <w:vAlign w:val="bottom"/>
            <w:tcBorders>
              <w:bottom w:val="single" w:sz="8" w:color="0067B3"/>
            </w:tcBorders>
            <w:shd w:val="clear" w:color="auto" w:fill="E2E6F4"/>
          </w:tcPr>
          <w:p>
            <w:pPr>
              <w:jc w:val="right"/>
              <w:spacing w:after="0"/>
              <w:rPr>
                <w:sz w:val="20"/>
                <w:szCs w:val="20"/>
                <w:color w:val="auto"/>
              </w:rPr>
            </w:pPr>
            <w:r>
              <w:rPr>
                <w:rFonts w:ascii="Arial" w:cs="Arial" w:eastAsia="Arial" w:hAnsi="Arial"/>
                <w:sz w:val="18"/>
                <w:szCs w:val="18"/>
                <w:color w:val="auto"/>
              </w:rPr>
              <w:t>704,044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2585085</wp:posOffset>
            </wp:positionH>
            <wp:positionV relativeFrom="paragraph">
              <wp:posOffset>-1276350</wp:posOffset>
            </wp:positionV>
            <wp:extent cx="4551680" cy="8255"/>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4551680" cy="8255"/>
                    </a:xfrm>
                    <a:prstGeom prst="rect">
                      <a:avLst/>
                    </a:prstGeom>
                    <a:noFill/>
                  </pic:spPr>
                </pic:pic>
              </a:graphicData>
            </a:graphic>
          </wp:anchor>
        </w:drawing>
      </w:r>
    </w:p>
    <w:p>
      <w:pPr>
        <w:spacing w:after="0" w:line="168" w:lineRule="exact"/>
        <w:rPr>
          <w:sz w:val="20"/>
          <w:szCs w:val="20"/>
          <w:color w:val="auto"/>
        </w:rPr>
      </w:pPr>
    </w:p>
    <w:p>
      <w:pPr>
        <w:ind w:left="200" w:right="440" w:hanging="192"/>
        <w:spacing w:after="0" w:line="227" w:lineRule="auto"/>
        <w:tabs>
          <w:tab w:leader="none" w:pos="215" w:val="left"/>
        </w:tabs>
        <w:numPr>
          <w:ilvl w:val="0"/>
          <w:numId w:val="118"/>
        </w:numPr>
        <w:rPr>
          <w:rFonts w:ascii="Arial" w:cs="Arial" w:eastAsia="Arial" w:hAnsi="Arial"/>
          <w:sz w:val="21"/>
          <w:szCs w:val="21"/>
          <w:color w:val="auto"/>
          <w:vertAlign w:val="superscript"/>
        </w:rPr>
      </w:pPr>
      <w:r>
        <w:rPr>
          <w:rFonts w:ascii="Arial" w:cs="Arial" w:eastAsia="Arial" w:hAnsi="Arial"/>
          <w:sz w:val="16"/>
          <w:szCs w:val="16"/>
          <w:color w:val="auto"/>
        </w:rPr>
        <w:t>Value realized represents the difference between the closing price per share of our common stock on the date of exercise and the exercise price per share, multiplied by the number of shares acquired on exercise.</w:t>
      </w:r>
    </w:p>
    <w:p>
      <w:pPr>
        <w:spacing w:after="0" w:line="29" w:lineRule="exact"/>
        <w:rPr>
          <w:rFonts w:ascii="Arial" w:cs="Arial" w:eastAsia="Arial" w:hAnsi="Arial"/>
          <w:sz w:val="21"/>
          <w:szCs w:val="21"/>
          <w:color w:val="auto"/>
          <w:vertAlign w:val="superscript"/>
        </w:rPr>
      </w:pPr>
    </w:p>
    <w:p>
      <w:pPr>
        <w:ind w:left="220" w:hanging="212"/>
        <w:spacing w:after="0"/>
        <w:tabs>
          <w:tab w:leader="none" w:pos="220" w:val="left"/>
        </w:tabs>
        <w:numPr>
          <w:ilvl w:val="0"/>
          <w:numId w:val="118"/>
        </w:numPr>
        <w:rPr>
          <w:rFonts w:ascii="Arial" w:cs="Arial" w:eastAsia="Arial" w:hAnsi="Arial"/>
          <w:sz w:val="21"/>
          <w:szCs w:val="21"/>
          <w:color w:val="auto"/>
          <w:vertAlign w:val="superscript"/>
        </w:rPr>
      </w:pPr>
      <w:r>
        <w:rPr>
          <w:rFonts w:ascii="Arial" w:cs="Arial" w:eastAsia="Arial" w:hAnsi="Arial"/>
          <w:sz w:val="16"/>
          <w:szCs w:val="16"/>
          <w:color w:val="auto"/>
        </w:rPr>
        <w:t>Value realized represents the closing price per share of our common stock on the vesting date, multiplied by the number of shares vested.</w:t>
      </w:r>
    </w:p>
    <w:p>
      <w:pPr>
        <w:spacing w:after="0" w:line="215" w:lineRule="exact"/>
        <w:rPr>
          <w:sz w:val="20"/>
          <w:szCs w:val="20"/>
          <w:color w:val="auto"/>
        </w:rPr>
      </w:pPr>
    </w:p>
    <w:p>
      <w:pPr>
        <w:spacing w:after="0"/>
        <w:rPr>
          <w:sz w:val="20"/>
          <w:szCs w:val="20"/>
          <w:color w:val="auto"/>
        </w:rPr>
      </w:pPr>
      <w:r>
        <w:rPr>
          <w:rFonts w:ascii="Arial" w:cs="Arial" w:eastAsia="Arial" w:hAnsi="Arial"/>
          <w:sz w:val="32"/>
          <w:szCs w:val="32"/>
          <w:b w:val="1"/>
          <w:bCs w:val="1"/>
          <w:color w:val="auto"/>
        </w:rPr>
        <w:t>Non-Qualified Deferred Compensation Plan</w:t>
      </w:r>
    </w:p>
    <w:p>
      <w:pPr>
        <w:spacing w:after="0" w:line="156" w:lineRule="exact"/>
        <w:rPr>
          <w:sz w:val="20"/>
          <w:szCs w:val="20"/>
          <w:color w:val="auto"/>
        </w:rPr>
      </w:pPr>
    </w:p>
    <w:p>
      <w:pPr>
        <w:ind w:right="40"/>
        <w:spacing w:after="0" w:line="262" w:lineRule="auto"/>
        <w:rPr>
          <w:sz w:val="20"/>
          <w:szCs w:val="20"/>
          <w:color w:val="auto"/>
        </w:rPr>
      </w:pPr>
      <w:r>
        <w:rPr>
          <w:rFonts w:ascii="Arial" w:cs="Arial" w:eastAsia="Arial" w:hAnsi="Arial"/>
          <w:sz w:val="18"/>
          <w:szCs w:val="18"/>
          <w:color w:val="auto"/>
        </w:rPr>
        <w:t>Since 1995, our executive officers and directors, along with certain members of management and engineering employees, have been eligible to participate in our DCP. We established the DCP to provide participants with the opportunity to defer receiving all or a portion of their compensation, which includes salary, bonus, commissions, and director fees. Under our DCP, we provide all participants (other than non-employee directors) with company contributions equal to 8% of eligible deferred contributions.</w:t>
      </w:r>
    </w:p>
    <w:p>
      <w:pPr>
        <w:spacing w:after="0" w:line="68" w:lineRule="exact"/>
        <w:rPr>
          <w:sz w:val="20"/>
          <w:szCs w:val="20"/>
          <w:color w:val="auto"/>
        </w:rPr>
      </w:pPr>
    </w:p>
    <w:p>
      <w:pPr>
        <w:ind w:right="200"/>
        <w:spacing w:after="0" w:line="256" w:lineRule="auto"/>
        <w:rPr>
          <w:sz w:val="20"/>
          <w:szCs w:val="20"/>
          <w:color w:val="auto"/>
        </w:rPr>
      </w:pPr>
      <w:r>
        <w:rPr>
          <w:rFonts w:ascii="Arial" w:cs="Arial" w:eastAsia="Arial" w:hAnsi="Arial"/>
          <w:sz w:val="18"/>
          <w:szCs w:val="18"/>
          <w:color w:val="auto"/>
        </w:rPr>
        <w:t>We credit each participant’s account with earnings on the deferred amounts. These earnings represent the amounts that the participant would have earned if the deferred amounts had been invested in one or more of the various investment options selected by the participant. Under the terms of the DCP, only the payment of the compensation earned is deferred; we do not defer the expense in our financial statements related to the participant’s deferred compensation and investment earnings. We charge the salary, bonuses, commissions, director fees and investment earnings on deferred balances to our income statement as an expense in the period in which the participant earned the compensation. Our balance sheet includes separate line items for Deferred Compensation Plan Investments and Deferred Compensation Plan Liabilities.</w:t>
      </w:r>
    </w:p>
    <w:p>
      <w:pPr>
        <w:spacing w:after="0" w:line="75"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We hold DCP assets in a separate Rabbi trust segregated from other assets. We invest in the same investment alternatives that the DCP participants select for their DCP balances. Each year, participants may elect the form of payment that they would receive with respect to any compensation deferred in that year if their employment with us terminates. Forms of payment include a single lump sum within 60 days of the termination or on the first or second anniversary of the termination, or annual installments over two to ten years. Alternatively, participants may elect to receive distributions on a specific payment date, either in a single lump sum or in annual installments over two to five years. Payments to our executive officers, including our NEOs, and key employees will be delayed six months or as otherwise required by relevant tax regulations.</w:t>
      </w:r>
    </w:p>
    <w:p>
      <w:pPr>
        <w:spacing w:after="0" w:line="200" w:lineRule="exact"/>
        <w:rPr>
          <w:sz w:val="20"/>
          <w:szCs w:val="20"/>
          <w:color w:val="auto"/>
        </w:rPr>
      </w:pPr>
    </w:p>
    <w:p>
      <w:pPr>
        <w:spacing w:after="0" w:line="296" w:lineRule="exact"/>
        <w:rPr>
          <w:sz w:val="20"/>
          <w:szCs w:val="20"/>
          <w:color w:val="auto"/>
        </w:rPr>
      </w:pPr>
    </w:p>
    <w:p>
      <w:pPr>
        <w:ind w:left="640" w:hanging="614"/>
        <w:spacing w:after="0"/>
        <w:tabs>
          <w:tab w:leader="none" w:pos="640" w:val="left"/>
        </w:tabs>
        <w:numPr>
          <w:ilvl w:val="0"/>
          <w:numId w:val="119"/>
        </w:numPr>
        <w:rPr>
          <w:rFonts w:ascii="Arial" w:cs="Arial" w:eastAsia="Arial" w:hAnsi="Arial"/>
          <w:sz w:val="20"/>
          <w:szCs w:val="20"/>
          <w:b w:val="1"/>
          <w:bCs w:val="1"/>
          <w:color w:val="auto"/>
        </w:rPr>
      </w:pPr>
      <w:r>
        <w:rPr>
          <w:rFonts w:ascii="Arial" w:cs="Arial" w:eastAsia="Arial" w:hAnsi="Arial"/>
          <w:sz w:val="16"/>
          <w:szCs w:val="16"/>
          <w:color w:val="6D6E71"/>
        </w:rPr>
        <w:t>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194310</wp:posOffset>
            </wp:positionV>
            <wp:extent cx="7157720" cy="42545"/>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8" w:right="339" w:bottom="1440" w:gutter="0" w:footer="0" w:header="0"/>
        </w:sectPr>
      </w:pPr>
    </w:p>
    <w:bookmarkStart w:id="72" w:name="page73"/>
    <w:bookmarkEnd w:id="72"/>
    <w:p>
      <w:pPr>
        <w:spacing w:after="0"/>
        <w:rPr>
          <w:sz w:val="20"/>
          <w:szCs w:val="20"/>
          <w:color w:val="auto"/>
        </w:rPr>
      </w:pPr>
      <w:r>
        <w:rPr>
          <w:rFonts w:ascii="Arial" w:cs="Arial" w:eastAsia="Arial" w:hAnsi="Arial"/>
          <w:sz w:val="18"/>
          <w:szCs w:val="18"/>
          <w:color w:val="auto"/>
        </w:rPr>
        <w:t>The following table shows the non-qualified deferred compensation activity for the NEOs during fiscal year 2025.</w:t>
      </w:r>
    </w:p>
    <w:p>
      <w:pPr>
        <w:spacing w:after="0" w:line="215" w:lineRule="exact"/>
        <w:rPr>
          <w:sz w:val="20"/>
          <w:szCs w:val="20"/>
          <w:color w:val="auto"/>
        </w:rPr>
      </w:pPr>
    </w:p>
    <w:p>
      <w:pPr>
        <w:spacing w:after="0"/>
        <w:rPr>
          <w:sz w:val="20"/>
          <w:szCs w:val="20"/>
          <w:color w:val="auto"/>
        </w:rPr>
      </w:pPr>
      <w:r>
        <w:rPr>
          <w:rFonts w:ascii="Arial" w:cs="Arial" w:eastAsia="Arial" w:hAnsi="Arial"/>
          <w:sz w:val="27"/>
          <w:szCs w:val="27"/>
          <w:b w:val="1"/>
          <w:bCs w:val="1"/>
          <w:color w:val="0067B3"/>
        </w:rPr>
        <w:t>Non-Qualified Deferred Compensation for Fiscal Year 2025</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3140" w:type="dxa"/>
            <w:vAlign w:val="bottom"/>
            <w:shd w:val="clear" w:color="auto" w:fill="0067B3"/>
          </w:tcPr>
          <w:p>
            <w:pPr>
              <w:spacing w:after="0"/>
              <w:rPr>
                <w:sz w:val="17"/>
                <w:szCs w:val="17"/>
                <w:color w:val="auto"/>
              </w:rPr>
            </w:pPr>
          </w:p>
        </w:tc>
        <w:tc>
          <w:tcPr>
            <w:tcW w:w="2660" w:type="dxa"/>
            <w:vAlign w:val="bottom"/>
            <w:shd w:val="clear" w:color="auto" w:fill="0067B3"/>
          </w:tcPr>
          <w:p>
            <w:pPr>
              <w:jc w:val="right"/>
              <w:ind w:right="35"/>
              <w:spacing w:after="0"/>
              <w:rPr>
                <w:sz w:val="20"/>
                <w:szCs w:val="20"/>
                <w:color w:val="auto"/>
              </w:rPr>
            </w:pPr>
            <w:r>
              <w:rPr>
                <w:rFonts w:ascii="Arial" w:cs="Arial" w:eastAsia="Arial" w:hAnsi="Arial"/>
                <w:sz w:val="16"/>
                <w:szCs w:val="16"/>
                <w:b w:val="1"/>
                <w:bCs w:val="1"/>
                <w:color w:val="FFFFFF"/>
              </w:rPr>
              <w:t>Executive</w:t>
            </w:r>
          </w:p>
        </w:tc>
        <w:tc>
          <w:tcPr>
            <w:tcW w:w="1580" w:type="dxa"/>
            <w:vAlign w:val="bottom"/>
            <w:shd w:val="clear" w:color="auto" w:fill="0067B3"/>
          </w:tcPr>
          <w:p>
            <w:pPr>
              <w:jc w:val="right"/>
              <w:ind w:right="115"/>
              <w:spacing w:after="0"/>
              <w:rPr>
                <w:sz w:val="20"/>
                <w:szCs w:val="20"/>
                <w:color w:val="auto"/>
              </w:rPr>
            </w:pPr>
            <w:r>
              <w:rPr>
                <w:rFonts w:ascii="Arial" w:cs="Arial" w:eastAsia="Arial" w:hAnsi="Arial"/>
                <w:sz w:val="16"/>
                <w:szCs w:val="16"/>
                <w:b w:val="1"/>
                <w:bCs w:val="1"/>
                <w:color w:val="FFFFFF"/>
              </w:rPr>
              <w:t>ADI</w:t>
            </w:r>
          </w:p>
        </w:tc>
        <w:tc>
          <w:tcPr>
            <w:tcW w:w="1320" w:type="dxa"/>
            <w:vAlign w:val="bottom"/>
            <w:shd w:val="clear" w:color="auto" w:fill="0067B3"/>
          </w:tcPr>
          <w:p>
            <w:pPr>
              <w:jc w:val="right"/>
              <w:ind w:right="155"/>
              <w:spacing w:after="0"/>
              <w:rPr>
                <w:sz w:val="20"/>
                <w:szCs w:val="20"/>
                <w:color w:val="auto"/>
              </w:rPr>
            </w:pPr>
            <w:r>
              <w:rPr>
                <w:rFonts w:ascii="Arial" w:cs="Arial" w:eastAsia="Arial" w:hAnsi="Arial"/>
                <w:sz w:val="16"/>
                <w:szCs w:val="16"/>
                <w:b w:val="1"/>
                <w:bCs w:val="1"/>
                <w:color w:val="FFFFFF"/>
              </w:rPr>
              <w:t>Aggregate</w:t>
            </w:r>
          </w:p>
        </w:tc>
        <w:tc>
          <w:tcPr>
            <w:tcW w:w="1400" w:type="dxa"/>
            <w:vAlign w:val="bottom"/>
            <w:shd w:val="clear" w:color="auto" w:fill="0067B3"/>
          </w:tcPr>
          <w:p>
            <w:pPr>
              <w:spacing w:after="0"/>
              <w:rPr>
                <w:sz w:val="17"/>
                <w:szCs w:val="17"/>
                <w:color w:val="auto"/>
              </w:rPr>
            </w:pPr>
          </w:p>
        </w:tc>
        <w:tc>
          <w:tcPr>
            <w:tcW w:w="1140" w:type="dxa"/>
            <w:vAlign w:val="bottom"/>
            <w:shd w:val="clear" w:color="auto" w:fill="0067B3"/>
          </w:tcPr>
          <w:p>
            <w:pPr>
              <w:jc w:val="right"/>
              <w:spacing w:after="0"/>
              <w:rPr>
                <w:sz w:val="20"/>
                <w:szCs w:val="20"/>
                <w:color w:val="auto"/>
              </w:rPr>
            </w:pPr>
            <w:r>
              <w:rPr>
                <w:rFonts w:ascii="Arial" w:cs="Arial" w:eastAsia="Arial" w:hAnsi="Arial"/>
                <w:sz w:val="16"/>
                <w:szCs w:val="16"/>
                <w:b w:val="1"/>
                <w:bCs w:val="1"/>
                <w:color w:val="FFFFFF"/>
              </w:rPr>
              <w:t>Aggregate</w:t>
            </w:r>
          </w:p>
        </w:tc>
      </w:tr>
      <w:tr>
        <w:trPr>
          <w:trHeight w:val="189"/>
        </w:trPr>
        <w:tc>
          <w:tcPr>
            <w:tcW w:w="3140" w:type="dxa"/>
            <w:vAlign w:val="bottom"/>
            <w:shd w:val="clear" w:color="auto" w:fill="0067B3"/>
          </w:tcPr>
          <w:p>
            <w:pPr>
              <w:spacing w:after="0"/>
              <w:rPr>
                <w:sz w:val="16"/>
                <w:szCs w:val="16"/>
                <w:color w:val="auto"/>
              </w:rPr>
            </w:pPr>
          </w:p>
        </w:tc>
        <w:tc>
          <w:tcPr>
            <w:tcW w:w="2660" w:type="dxa"/>
            <w:vAlign w:val="bottom"/>
            <w:shd w:val="clear" w:color="auto" w:fill="0067B3"/>
          </w:tcPr>
          <w:p>
            <w:pPr>
              <w:jc w:val="right"/>
              <w:ind w:right="35"/>
              <w:spacing w:after="0"/>
              <w:rPr>
                <w:sz w:val="20"/>
                <w:szCs w:val="20"/>
                <w:color w:val="auto"/>
              </w:rPr>
            </w:pPr>
            <w:r>
              <w:rPr>
                <w:rFonts w:ascii="Arial" w:cs="Arial" w:eastAsia="Arial" w:hAnsi="Arial"/>
                <w:sz w:val="16"/>
                <w:szCs w:val="16"/>
                <w:b w:val="1"/>
                <w:bCs w:val="1"/>
                <w:color w:val="FFFFFF"/>
              </w:rPr>
              <w:t>Contributions in</w:t>
            </w:r>
          </w:p>
        </w:tc>
        <w:tc>
          <w:tcPr>
            <w:tcW w:w="1580" w:type="dxa"/>
            <w:vAlign w:val="bottom"/>
            <w:shd w:val="clear" w:color="auto" w:fill="0067B3"/>
          </w:tcPr>
          <w:p>
            <w:pPr>
              <w:jc w:val="right"/>
              <w:ind w:right="115"/>
              <w:spacing w:after="0"/>
              <w:rPr>
                <w:sz w:val="20"/>
                <w:szCs w:val="20"/>
                <w:color w:val="auto"/>
              </w:rPr>
            </w:pPr>
            <w:r>
              <w:rPr>
                <w:rFonts w:ascii="Arial" w:cs="Arial" w:eastAsia="Arial" w:hAnsi="Arial"/>
                <w:sz w:val="16"/>
                <w:szCs w:val="16"/>
                <w:b w:val="1"/>
                <w:bCs w:val="1"/>
                <w:color w:val="FFFFFF"/>
              </w:rPr>
              <w:t>Contributions in</w:t>
            </w:r>
          </w:p>
        </w:tc>
        <w:tc>
          <w:tcPr>
            <w:tcW w:w="1320" w:type="dxa"/>
            <w:vAlign w:val="bottom"/>
            <w:shd w:val="clear" w:color="auto" w:fill="0067B3"/>
          </w:tcPr>
          <w:p>
            <w:pPr>
              <w:jc w:val="right"/>
              <w:ind w:right="155"/>
              <w:spacing w:after="0"/>
              <w:rPr>
                <w:sz w:val="20"/>
                <w:szCs w:val="20"/>
                <w:color w:val="auto"/>
              </w:rPr>
            </w:pPr>
            <w:r>
              <w:rPr>
                <w:rFonts w:ascii="Arial" w:cs="Arial" w:eastAsia="Arial" w:hAnsi="Arial"/>
                <w:sz w:val="16"/>
                <w:szCs w:val="16"/>
                <w:b w:val="1"/>
                <w:bCs w:val="1"/>
                <w:color w:val="FFFFFF"/>
              </w:rPr>
              <w:t>Earnings in</w:t>
            </w:r>
          </w:p>
        </w:tc>
        <w:tc>
          <w:tcPr>
            <w:tcW w:w="1400" w:type="dxa"/>
            <w:vAlign w:val="bottom"/>
            <w:shd w:val="clear" w:color="auto" w:fill="0067B3"/>
          </w:tcPr>
          <w:p>
            <w:pPr>
              <w:jc w:val="right"/>
              <w:ind w:right="94"/>
              <w:spacing w:after="0"/>
              <w:rPr>
                <w:sz w:val="20"/>
                <w:szCs w:val="20"/>
                <w:color w:val="auto"/>
              </w:rPr>
            </w:pPr>
            <w:r>
              <w:rPr>
                <w:rFonts w:ascii="Arial" w:cs="Arial" w:eastAsia="Arial" w:hAnsi="Arial"/>
                <w:sz w:val="16"/>
                <w:szCs w:val="16"/>
                <w:b w:val="1"/>
                <w:bCs w:val="1"/>
                <w:color w:val="FFFFFF"/>
              </w:rPr>
              <w:t>Aggregate</w:t>
            </w:r>
          </w:p>
        </w:tc>
        <w:tc>
          <w:tcPr>
            <w:tcW w:w="1140" w:type="dxa"/>
            <w:vAlign w:val="bottom"/>
            <w:shd w:val="clear" w:color="auto" w:fill="0067B3"/>
          </w:tcPr>
          <w:p>
            <w:pPr>
              <w:jc w:val="right"/>
              <w:spacing w:after="0"/>
              <w:rPr>
                <w:sz w:val="20"/>
                <w:szCs w:val="20"/>
                <w:color w:val="auto"/>
              </w:rPr>
            </w:pPr>
            <w:r>
              <w:rPr>
                <w:rFonts w:ascii="Arial" w:cs="Arial" w:eastAsia="Arial" w:hAnsi="Arial"/>
                <w:sz w:val="16"/>
                <w:szCs w:val="16"/>
                <w:b w:val="1"/>
                <w:bCs w:val="1"/>
                <w:color w:val="FFFFFF"/>
              </w:rPr>
              <w:t>Balance at</w:t>
            </w:r>
          </w:p>
        </w:tc>
      </w:tr>
      <w:tr>
        <w:trPr>
          <w:trHeight w:val="203"/>
        </w:trPr>
        <w:tc>
          <w:tcPr>
            <w:tcW w:w="3140" w:type="dxa"/>
            <w:vAlign w:val="bottom"/>
            <w:shd w:val="clear" w:color="auto" w:fill="0067B3"/>
          </w:tcPr>
          <w:p>
            <w:pPr>
              <w:spacing w:after="0"/>
              <w:rPr>
                <w:sz w:val="17"/>
                <w:szCs w:val="17"/>
                <w:color w:val="auto"/>
              </w:rPr>
            </w:pPr>
          </w:p>
        </w:tc>
        <w:tc>
          <w:tcPr>
            <w:tcW w:w="2660" w:type="dxa"/>
            <w:vAlign w:val="bottom"/>
            <w:shd w:val="clear" w:color="auto" w:fill="0067B3"/>
          </w:tcPr>
          <w:p>
            <w:pPr>
              <w:jc w:val="right"/>
              <w:ind w:right="35"/>
              <w:spacing w:after="0"/>
              <w:rPr>
                <w:sz w:val="20"/>
                <w:szCs w:val="20"/>
                <w:color w:val="auto"/>
              </w:rPr>
            </w:pPr>
            <w:r>
              <w:rPr>
                <w:rFonts w:ascii="Arial" w:cs="Arial" w:eastAsia="Arial" w:hAnsi="Arial"/>
                <w:sz w:val="16"/>
                <w:szCs w:val="16"/>
                <w:b w:val="1"/>
                <w:bCs w:val="1"/>
                <w:color w:val="FFFFFF"/>
              </w:rPr>
              <w:t>Last Fiscal</w:t>
            </w:r>
          </w:p>
        </w:tc>
        <w:tc>
          <w:tcPr>
            <w:tcW w:w="1580" w:type="dxa"/>
            <w:vAlign w:val="bottom"/>
            <w:shd w:val="clear" w:color="auto" w:fill="0067B3"/>
          </w:tcPr>
          <w:p>
            <w:pPr>
              <w:jc w:val="right"/>
              <w:ind w:right="115"/>
              <w:spacing w:after="0"/>
              <w:rPr>
                <w:sz w:val="20"/>
                <w:szCs w:val="20"/>
                <w:color w:val="auto"/>
              </w:rPr>
            </w:pPr>
            <w:r>
              <w:rPr>
                <w:rFonts w:ascii="Arial" w:cs="Arial" w:eastAsia="Arial" w:hAnsi="Arial"/>
                <w:sz w:val="16"/>
                <w:szCs w:val="16"/>
                <w:b w:val="1"/>
                <w:bCs w:val="1"/>
                <w:color w:val="FFFFFF"/>
              </w:rPr>
              <w:t>Last Fiscal</w:t>
            </w:r>
          </w:p>
        </w:tc>
        <w:tc>
          <w:tcPr>
            <w:tcW w:w="1320" w:type="dxa"/>
            <w:vAlign w:val="bottom"/>
            <w:shd w:val="clear" w:color="auto" w:fill="0067B3"/>
          </w:tcPr>
          <w:p>
            <w:pPr>
              <w:jc w:val="right"/>
              <w:ind w:right="155"/>
              <w:spacing w:after="0"/>
              <w:rPr>
                <w:sz w:val="20"/>
                <w:szCs w:val="20"/>
                <w:color w:val="auto"/>
              </w:rPr>
            </w:pPr>
            <w:r>
              <w:rPr>
                <w:rFonts w:ascii="Arial" w:cs="Arial" w:eastAsia="Arial" w:hAnsi="Arial"/>
                <w:sz w:val="16"/>
                <w:szCs w:val="16"/>
                <w:b w:val="1"/>
                <w:bCs w:val="1"/>
                <w:color w:val="FFFFFF"/>
              </w:rPr>
              <w:t>Last Fiscal</w:t>
            </w:r>
          </w:p>
        </w:tc>
        <w:tc>
          <w:tcPr>
            <w:tcW w:w="1400" w:type="dxa"/>
            <w:vAlign w:val="bottom"/>
            <w:shd w:val="clear" w:color="auto" w:fill="0067B3"/>
          </w:tcPr>
          <w:p>
            <w:pPr>
              <w:jc w:val="right"/>
              <w:ind w:right="94"/>
              <w:spacing w:after="0"/>
              <w:rPr>
                <w:sz w:val="20"/>
                <w:szCs w:val="20"/>
                <w:color w:val="auto"/>
              </w:rPr>
            </w:pPr>
            <w:r>
              <w:rPr>
                <w:rFonts w:ascii="Arial" w:cs="Arial" w:eastAsia="Arial" w:hAnsi="Arial"/>
                <w:sz w:val="16"/>
                <w:szCs w:val="16"/>
                <w:b w:val="1"/>
                <w:bCs w:val="1"/>
                <w:color w:val="FFFFFF"/>
              </w:rPr>
              <w:t>Withdrawals/</w:t>
            </w:r>
          </w:p>
        </w:tc>
        <w:tc>
          <w:tcPr>
            <w:tcW w:w="1140" w:type="dxa"/>
            <w:vAlign w:val="bottom"/>
            <w:shd w:val="clear" w:color="auto" w:fill="0067B3"/>
          </w:tcPr>
          <w:p>
            <w:pPr>
              <w:jc w:val="right"/>
              <w:spacing w:after="0"/>
              <w:rPr>
                <w:sz w:val="20"/>
                <w:szCs w:val="20"/>
                <w:color w:val="auto"/>
              </w:rPr>
            </w:pPr>
            <w:r>
              <w:rPr>
                <w:rFonts w:ascii="Arial" w:cs="Arial" w:eastAsia="Arial" w:hAnsi="Arial"/>
                <w:sz w:val="16"/>
                <w:szCs w:val="16"/>
                <w:b w:val="1"/>
                <w:bCs w:val="1"/>
                <w:color w:val="FFFFFF"/>
              </w:rPr>
              <w:t>Last Fiscal</w:t>
            </w:r>
          </w:p>
        </w:tc>
      </w:tr>
      <w:tr>
        <w:trPr>
          <w:trHeight w:val="189"/>
        </w:trPr>
        <w:tc>
          <w:tcPr>
            <w:tcW w:w="3140" w:type="dxa"/>
            <w:vAlign w:val="bottom"/>
            <w:shd w:val="clear" w:color="auto" w:fill="0067B3"/>
          </w:tcPr>
          <w:p>
            <w:pPr>
              <w:spacing w:after="0"/>
              <w:rPr>
                <w:sz w:val="16"/>
                <w:szCs w:val="16"/>
                <w:color w:val="auto"/>
              </w:rPr>
            </w:pPr>
          </w:p>
        </w:tc>
        <w:tc>
          <w:tcPr>
            <w:tcW w:w="2660" w:type="dxa"/>
            <w:vAlign w:val="bottom"/>
            <w:shd w:val="clear" w:color="auto" w:fill="0067B3"/>
          </w:tcPr>
          <w:p>
            <w:pPr>
              <w:jc w:val="right"/>
              <w:ind w:right="35"/>
              <w:spacing w:after="0"/>
              <w:rPr>
                <w:sz w:val="20"/>
                <w:szCs w:val="20"/>
                <w:color w:val="auto"/>
              </w:rPr>
            </w:pPr>
            <w:r>
              <w:rPr>
                <w:rFonts w:ascii="Arial" w:cs="Arial" w:eastAsia="Arial" w:hAnsi="Arial"/>
                <w:sz w:val="16"/>
                <w:szCs w:val="16"/>
                <w:b w:val="1"/>
                <w:bCs w:val="1"/>
                <w:color w:val="FFFFFF"/>
              </w:rPr>
              <w:t>Year</w:t>
            </w:r>
          </w:p>
        </w:tc>
        <w:tc>
          <w:tcPr>
            <w:tcW w:w="1580" w:type="dxa"/>
            <w:vAlign w:val="bottom"/>
            <w:shd w:val="clear" w:color="auto" w:fill="0067B3"/>
          </w:tcPr>
          <w:p>
            <w:pPr>
              <w:jc w:val="right"/>
              <w:ind w:right="115"/>
              <w:spacing w:after="0"/>
              <w:rPr>
                <w:sz w:val="20"/>
                <w:szCs w:val="20"/>
                <w:color w:val="auto"/>
              </w:rPr>
            </w:pPr>
            <w:r>
              <w:rPr>
                <w:rFonts w:ascii="Arial" w:cs="Arial" w:eastAsia="Arial" w:hAnsi="Arial"/>
                <w:sz w:val="16"/>
                <w:szCs w:val="16"/>
                <w:b w:val="1"/>
                <w:bCs w:val="1"/>
                <w:color w:val="FFFFFF"/>
              </w:rPr>
              <w:t>Year</w:t>
            </w:r>
          </w:p>
        </w:tc>
        <w:tc>
          <w:tcPr>
            <w:tcW w:w="1320" w:type="dxa"/>
            <w:vAlign w:val="bottom"/>
            <w:shd w:val="clear" w:color="auto" w:fill="0067B3"/>
          </w:tcPr>
          <w:p>
            <w:pPr>
              <w:jc w:val="right"/>
              <w:ind w:right="155"/>
              <w:spacing w:after="0"/>
              <w:rPr>
                <w:sz w:val="20"/>
                <w:szCs w:val="20"/>
                <w:color w:val="auto"/>
              </w:rPr>
            </w:pPr>
            <w:r>
              <w:rPr>
                <w:rFonts w:ascii="Arial" w:cs="Arial" w:eastAsia="Arial" w:hAnsi="Arial"/>
                <w:sz w:val="16"/>
                <w:szCs w:val="16"/>
                <w:b w:val="1"/>
                <w:bCs w:val="1"/>
                <w:color w:val="FFFFFF"/>
              </w:rPr>
              <w:t>Year</w:t>
            </w:r>
          </w:p>
        </w:tc>
        <w:tc>
          <w:tcPr>
            <w:tcW w:w="1400" w:type="dxa"/>
            <w:vAlign w:val="bottom"/>
            <w:shd w:val="clear" w:color="auto" w:fill="0067B3"/>
          </w:tcPr>
          <w:p>
            <w:pPr>
              <w:jc w:val="right"/>
              <w:ind w:right="94"/>
              <w:spacing w:after="0"/>
              <w:rPr>
                <w:sz w:val="20"/>
                <w:szCs w:val="20"/>
                <w:color w:val="auto"/>
              </w:rPr>
            </w:pPr>
            <w:r>
              <w:rPr>
                <w:rFonts w:ascii="Arial" w:cs="Arial" w:eastAsia="Arial" w:hAnsi="Arial"/>
                <w:sz w:val="16"/>
                <w:szCs w:val="16"/>
                <w:b w:val="1"/>
                <w:bCs w:val="1"/>
                <w:color w:val="FFFFFF"/>
              </w:rPr>
              <w:t>Distributions</w:t>
            </w:r>
          </w:p>
        </w:tc>
        <w:tc>
          <w:tcPr>
            <w:tcW w:w="1140" w:type="dxa"/>
            <w:vAlign w:val="bottom"/>
            <w:shd w:val="clear" w:color="auto" w:fill="0067B3"/>
          </w:tcPr>
          <w:p>
            <w:pPr>
              <w:jc w:val="right"/>
              <w:spacing w:after="0"/>
              <w:rPr>
                <w:sz w:val="20"/>
                <w:szCs w:val="20"/>
                <w:color w:val="auto"/>
              </w:rPr>
            </w:pPr>
            <w:r>
              <w:rPr>
                <w:rFonts w:ascii="Arial" w:cs="Arial" w:eastAsia="Arial" w:hAnsi="Arial"/>
                <w:sz w:val="16"/>
                <w:szCs w:val="16"/>
                <w:b w:val="1"/>
                <w:bCs w:val="1"/>
                <w:color w:val="FFFFFF"/>
              </w:rPr>
              <w:t>Year End</w:t>
            </w:r>
          </w:p>
        </w:tc>
      </w:tr>
      <w:tr>
        <w:trPr>
          <w:trHeight w:val="244"/>
        </w:trPr>
        <w:tc>
          <w:tcPr>
            <w:tcW w:w="3140" w:type="dxa"/>
            <w:vAlign w:val="bottom"/>
            <w:shd w:val="clear" w:color="auto" w:fill="0067B3"/>
          </w:tcPr>
          <w:p>
            <w:pPr>
              <w:ind w:left="20"/>
              <w:spacing w:after="0"/>
              <w:rPr>
                <w:sz w:val="20"/>
                <w:szCs w:val="20"/>
                <w:color w:val="auto"/>
              </w:rPr>
            </w:pPr>
            <w:r>
              <w:rPr>
                <w:rFonts w:ascii="Arial" w:cs="Arial" w:eastAsia="Arial" w:hAnsi="Arial"/>
                <w:sz w:val="16"/>
                <w:szCs w:val="16"/>
                <w:b w:val="1"/>
                <w:bCs w:val="1"/>
                <w:color w:val="FFFFFF"/>
              </w:rPr>
              <w:t>Name</w:t>
            </w:r>
          </w:p>
        </w:tc>
        <w:tc>
          <w:tcPr>
            <w:tcW w:w="2660" w:type="dxa"/>
            <w:vAlign w:val="bottom"/>
            <w:shd w:val="clear" w:color="auto" w:fill="0067B3"/>
          </w:tcPr>
          <w:p>
            <w:pPr>
              <w:jc w:val="right"/>
              <w:ind w:right="35"/>
              <w:spacing w:after="0"/>
              <w:rPr>
                <w:sz w:val="20"/>
                <w:szCs w:val="20"/>
                <w:color w:val="auto"/>
              </w:rPr>
            </w:pPr>
            <w:r>
              <w:rPr>
                <w:rFonts w:ascii="Arial" w:cs="Arial" w:eastAsia="Arial" w:hAnsi="Arial"/>
                <w:sz w:val="16"/>
                <w:szCs w:val="16"/>
                <w:b w:val="1"/>
                <w:bCs w:val="1"/>
                <w:color w:val="FFFFFF"/>
              </w:rPr>
              <w:t>($)</w:t>
            </w:r>
          </w:p>
        </w:tc>
        <w:tc>
          <w:tcPr>
            <w:tcW w:w="1580" w:type="dxa"/>
            <w:vAlign w:val="bottom"/>
            <w:shd w:val="clear" w:color="auto" w:fill="0067B3"/>
          </w:tcPr>
          <w:p>
            <w:pPr>
              <w:jc w:val="right"/>
              <w:ind w:right="115"/>
              <w:spacing w:after="0"/>
              <w:rPr>
                <w:sz w:val="20"/>
                <w:szCs w:val="20"/>
                <w:color w:val="auto"/>
              </w:rPr>
            </w:pPr>
            <w:r>
              <w:rPr>
                <w:rFonts w:ascii="Arial" w:cs="Arial" w:eastAsia="Arial" w:hAnsi="Arial"/>
                <w:sz w:val="16"/>
                <w:szCs w:val="16"/>
                <w:b w:val="1"/>
                <w:bCs w:val="1"/>
                <w:color w:val="FFFFFF"/>
              </w:rPr>
              <w:t>($)</w:t>
            </w:r>
            <w:r>
              <w:rPr>
                <w:rFonts w:ascii="Arial" w:cs="Arial" w:eastAsia="Arial" w:hAnsi="Arial"/>
                <w:sz w:val="21"/>
                <w:szCs w:val="21"/>
                <w:b w:val="1"/>
                <w:bCs w:val="1"/>
                <w:color w:val="FFFFFF"/>
                <w:vertAlign w:val="superscript"/>
              </w:rPr>
              <w:t>(1)</w:t>
            </w:r>
          </w:p>
        </w:tc>
        <w:tc>
          <w:tcPr>
            <w:tcW w:w="1320" w:type="dxa"/>
            <w:vAlign w:val="bottom"/>
            <w:shd w:val="clear" w:color="auto" w:fill="0067B3"/>
          </w:tcPr>
          <w:p>
            <w:pPr>
              <w:jc w:val="right"/>
              <w:ind w:right="155"/>
              <w:spacing w:after="0"/>
              <w:rPr>
                <w:sz w:val="20"/>
                <w:szCs w:val="20"/>
                <w:color w:val="auto"/>
              </w:rPr>
            </w:pPr>
            <w:r>
              <w:rPr>
                <w:rFonts w:ascii="Arial" w:cs="Arial" w:eastAsia="Arial" w:hAnsi="Arial"/>
                <w:sz w:val="16"/>
                <w:szCs w:val="16"/>
                <w:b w:val="1"/>
                <w:bCs w:val="1"/>
                <w:color w:val="FFFFFF"/>
              </w:rPr>
              <w:t>($)</w:t>
            </w:r>
            <w:r>
              <w:rPr>
                <w:rFonts w:ascii="Arial" w:cs="Arial" w:eastAsia="Arial" w:hAnsi="Arial"/>
                <w:sz w:val="21"/>
                <w:szCs w:val="21"/>
                <w:b w:val="1"/>
                <w:bCs w:val="1"/>
                <w:color w:val="FFFFFF"/>
                <w:vertAlign w:val="superscript"/>
              </w:rPr>
              <w:t>(2)</w:t>
            </w:r>
          </w:p>
        </w:tc>
        <w:tc>
          <w:tcPr>
            <w:tcW w:w="1400" w:type="dxa"/>
            <w:vAlign w:val="bottom"/>
            <w:shd w:val="clear" w:color="auto" w:fill="0067B3"/>
          </w:tcPr>
          <w:p>
            <w:pPr>
              <w:jc w:val="right"/>
              <w:ind w:right="94"/>
              <w:spacing w:after="0"/>
              <w:rPr>
                <w:sz w:val="20"/>
                <w:szCs w:val="20"/>
                <w:color w:val="auto"/>
              </w:rPr>
            </w:pPr>
            <w:r>
              <w:rPr>
                <w:rFonts w:ascii="Arial" w:cs="Arial" w:eastAsia="Arial" w:hAnsi="Arial"/>
                <w:sz w:val="16"/>
                <w:szCs w:val="16"/>
                <w:b w:val="1"/>
                <w:bCs w:val="1"/>
                <w:color w:val="FFFFFF"/>
              </w:rPr>
              <w:t>($)</w:t>
            </w:r>
          </w:p>
        </w:tc>
        <w:tc>
          <w:tcPr>
            <w:tcW w:w="1140" w:type="dxa"/>
            <w:vAlign w:val="bottom"/>
            <w:shd w:val="clear" w:color="auto" w:fill="0067B3"/>
          </w:tcPr>
          <w:p>
            <w:pPr>
              <w:jc w:val="right"/>
              <w:spacing w:after="0"/>
              <w:rPr>
                <w:sz w:val="20"/>
                <w:szCs w:val="20"/>
                <w:color w:val="auto"/>
              </w:rPr>
            </w:pPr>
            <w:r>
              <w:rPr>
                <w:rFonts w:ascii="Arial" w:cs="Arial" w:eastAsia="Arial" w:hAnsi="Arial"/>
                <w:sz w:val="16"/>
                <w:szCs w:val="16"/>
                <w:b w:val="1"/>
                <w:bCs w:val="1"/>
                <w:color w:val="FFFFFF"/>
              </w:rPr>
              <w:t>($)</w:t>
            </w:r>
            <w:r>
              <w:rPr>
                <w:rFonts w:ascii="Arial" w:cs="Arial" w:eastAsia="Arial" w:hAnsi="Arial"/>
                <w:sz w:val="21"/>
                <w:szCs w:val="21"/>
                <w:b w:val="1"/>
                <w:bCs w:val="1"/>
                <w:color w:val="FFFFFF"/>
                <w:vertAlign w:val="superscript"/>
              </w:rPr>
              <w:t>(3)</w:t>
            </w:r>
          </w:p>
        </w:tc>
      </w:tr>
      <w:tr>
        <w:trPr>
          <w:trHeight w:val="270"/>
        </w:trPr>
        <w:tc>
          <w:tcPr>
            <w:tcW w:w="3140" w:type="dxa"/>
            <w:vAlign w:val="bottom"/>
            <w:shd w:val="clear" w:color="auto" w:fill="E2E6F4"/>
          </w:tcPr>
          <w:p>
            <w:pPr>
              <w:ind w:left="20"/>
              <w:spacing w:after="0"/>
              <w:rPr>
                <w:sz w:val="20"/>
                <w:szCs w:val="20"/>
                <w:color w:val="auto"/>
              </w:rPr>
            </w:pPr>
            <w:r>
              <w:rPr>
                <w:rFonts w:ascii="Arial" w:cs="Arial" w:eastAsia="Arial" w:hAnsi="Arial"/>
                <w:sz w:val="18"/>
                <w:szCs w:val="18"/>
                <w:b w:val="1"/>
                <w:bCs w:val="1"/>
                <w:color w:val="0067B3"/>
              </w:rPr>
              <w:t>Vincent Roche</w:t>
            </w:r>
          </w:p>
        </w:tc>
        <w:tc>
          <w:tcPr>
            <w:tcW w:w="2660" w:type="dxa"/>
            <w:vAlign w:val="bottom"/>
            <w:shd w:val="clear" w:color="auto" w:fill="E2E6F4"/>
          </w:tcPr>
          <w:p>
            <w:pPr>
              <w:jc w:val="right"/>
              <w:ind w:right="95"/>
              <w:spacing w:after="0"/>
              <w:rPr>
                <w:sz w:val="20"/>
                <w:szCs w:val="20"/>
                <w:color w:val="auto"/>
              </w:rPr>
            </w:pPr>
            <w:r>
              <w:rPr>
                <w:rFonts w:ascii="Arial" w:cs="Arial" w:eastAsia="Arial" w:hAnsi="Arial"/>
                <w:sz w:val="18"/>
                <w:szCs w:val="18"/>
                <w:color w:val="auto"/>
              </w:rPr>
              <w:t>96,000</w:t>
            </w:r>
          </w:p>
        </w:tc>
        <w:tc>
          <w:tcPr>
            <w:tcW w:w="1580" w:type="dxa"/>
            <w:vAlign w:val="bottom"/>
            <w:shd w:val="clear" w:color="auto" w:fill="E2E6F4"/>
          </w:tcPr>
          <w:p>
            <w:pPr>
              <w:jc w:val="right"/>
              <w:ind w:right="175"/>
              <w:spacing w:after="0"/>
              <w:rPr>
                <w:sz w:val="20"/>
                <w:szCs w:val="20"/>
                <w:color w:val="auto"/>
              </w:rPr>
            </w:pPr>
            <w:r>
              <w:rPr>
                <w:rFonts w:ascii="Arial" w:cs="Arial" w:eastAsia="Arial" w:hAnsi="Arial"/>
                <w:sz w:val="18"/>
                <w:szCs w:val="18"/>
                <w:color w:val="auto"/>
              </w:rPr>
              <w:t>7,680</w:t>
            </w:r>
          </w:p>
        </w:tc>
        <w:tc>
          <w:tcPr>
            <w:tcW w:w="1320" w:type="dxa"/>
            <w:vAlign w:val="bottom"/>
            <w:shd w:val="clear" w:color="auto" w:fill="E2E6F4"/>
          </w:tcPr>
          <w:p>
            <w:pPr>
              <w:jc w:val="right"/>
              <w:ind w:right="215"/>
              <w:spacing w:after="0"/>
              <w:rPr>
                <w:sz w:val="20"/>
                <w:szCs w:val="20"/>
                <w:color w:val="auto"/>
              </w:rPr>
            </w:pPr>
            <w:r>
              <w:rPr>
                <w:rFonts w:ascii="Arial" w:cs="Arial" w:eastAsia="Arial" w:hAnsi="Arial"/>
                <w:sz w:val="18"/>
                <w:szCs w:val="18"/>
                <w:color w:val="auto"/>
              </w:rPr>
              <w:t>1,930,385</w:t>
            </w:r>
          </w:p>
        </w:tc>
        <w:tc>
          <w:tcPr>
            <w:tcW w:w="1400" w:type="dxa"/>
            <w:vAlign w:val="bottom"/>
            <w:shd w:val="clear" w:color="auto" w:fill="E2E6F4"/>
          </w:tcPr>
          <w:p>
            <w:pPr>
              <w:ind w:left="980"/>
              <w:spacing w:after="0"/>
              <w:rPr>
                <w:sz w:val="20"/>
                <w:szCs w:val="20"/>
                <w:color w:val="auto"/>
              </w:rPr>
            </w:pPr>
            <w:r>
              <w:rPr>
                <w:rFonts w:ascii="Arial" w:cs="Arial" w:eastAsia="Arial" w:hAnsi="Arial"/>
                <w:sz w:val="18"/>
                <w:szCs w:val="18"/>
                <w:color w:val="auto"/>
              </w:rPr>
              <w:t>—</w:t>
            </w:r>
          </w:p>
        </w:tc>
        <w:tc>
          <w:tcPr>
            <w:tcW w:w="1140" w:type="dxa"/>
            <w:vAlign w:val="bottom"/>
            <w:shd w:val="clear" w:color="auto" w:fill="E2E6F4"/>
          </w:tcPr>
          <w:p>
            <w:pPr>
              <w:jc w:val="right"/>
              <w:spacing w:after="0"/>
              <w:rPr>
                <w:sz w:val="20"/>
                <w:szCs w:val="20"/>
                <w:color w:val="auto"/>
              </w:rPr>
            </w:pPr>
            <w:r>
              <w:rPr>
                <w:rFonts w:ascii="Arial" w:cs="Arial" w:eastAsia="Arial" w:hAnsi="Arial"/>
                <w:sz w:val="18"/>
                <w:szCs w:val="18"/>
                <w:color w:val="auto"/>
              </w:rPr>
              <w:t>15,600,796</w:t>
            </w:r>
          </w:p>
        </w:tc>
      </w:tr>
      <w:tr>
        <w:trPr>
          <w:trHeight w:val="263"/>
        </w:trPr>
        <w:tc>
          <w:tcPr>
            <w:tcW w:w="3140" w:type="dxa"/>
            <w:vAlign w:val="bottom"/>
          </w:tcPr>
          <w:p>
            <w:pPr>
              <w:ind w:left="20"/>
              <w:spacing w:after="0"/>
              <w:rPr>
                <w:sz w:val="20"/>
                <w:szCs w:val="20"/>
                <w:color w:val="auto"/>
              </w:rPr>
            </w:pPr>
            <w:r>
              <w:rPr>
                <w:rFonts w:ascii="Arial" w:cs="Arial" w:eastAsia="Arial" w:hAnsi="Arial"/>
                <w:sz w:val="18"/>
                <w:szCs w:val="18"/>
                <w:b w:val="1"/>
                <w:bCs w:val="1"/>
                <w:color w:val="0067B3"/>
              </w:rPr>
              <w:t>Richard C. Puccio, Jr.</w:t>
            </w:r>
          </w:p>
        </w:tc>
        <w:tc>
          <w:tcPr>
            <w:tcW w:w="2660" w:type="dxa"/>
            <w:vAlign w:val="bottom"/>
          </w:tcPr>
          <w:p>
            <w:pPr>
              <w:jc w:val="right"/>
              <w:ind w:right="95"/>
              <w:spacing w:after="0"/>
              <w:rPr>
                <w:sz w:val="20"/>
                <w:szCs w:val="20"/>
                <w:color w:val="auto"/>
              </w:rPr>
            </w:pPr>
            <w:r>
              <w:rPr>
                <w:rFonts w:ascii="Arial" w:cs="Arial" w:eastAsia="Arial" w:hAnsi="Arial"/>
                <w:sz w:val="18"/>
                <w:szCs w:val="18"/>
                <w:color w:val="auto"/>
              </w:rPr>
              <w:t>80,335</w:t>
            </w:r>
          </w:p>
        </w:tc>
        <w:tc>
          <w:tcPr>
            <w:tcW w:w="1580" w:type="dxa"/>
            <w:vAlign w:val="bottom"/>
          </w:tcPr>
          <w:p>
            <w:pPr>
              <w:jc w:val="right"/>
              <w:ind w:right="175"/>
              <w:spacing w:after="0"/>
              <w:rPr>
                <w:sz w:val="20"/>
                <w:szCs w:val="20"/>
                <w:color w:val="auto"/>
              </w:rPr>
            </w:pPr>
            <w:r>
              <w:rPr>
                <w:rFonts w:ascii="Arial" w:cs="Arial" w:eastAsia="Arial" w:hAnsi="Arial"/>
                <w:sz w:val="18"/>
                <w:szCs w:val="18"/>
                <w:color w:val="auto"/>
              </w:rPr>
              <w:t>5,471</w:t>
            </w:r>
          </w:p>
        </w:tc>
        <w:tc>
          <w:tcPr>
            <w:tcW w:w="1320" w:type="dxa"/>
            <w:vAlign w:val="bottom"/>
          </w:tcPr>
          <w:p>
            <w:pPr>
              <w:jc w:val="right"/>
              <w:ind w:right="215"/>
              <w:spacing w:after="0"/>
              <w:rPr>
                <w:sz w:val="20"/>
                <w:szCs w:val="20"/>
                <w:color w:val="auto"/>
              </w:rPr>
            </w:pPr>
            <w:r>
              <w:rPr>
                <w:rFonts w:ascii="Arial" w:cs="Arial" w:eastAsia="Arial" w:hAnsi="Arial"/>
                <w:sz w:val="18"/>
                <w:szCs w:val="18"/>
                <w:color w:val="auto"/>
              </w:rPr>
              <w:t>4,092</w:t>
            </w:r>
          </w:p>
        </w:tc>
        <w:tc>
          <w:tcPr>
            <w:tcW w:w="1400" w:type="dxa"/>
            <w:vAlign w:val="bottom"/>
          </w:tcPr>
          <w:p>
            <w:pPr>
              <w:ind w:left="980"/>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137,918</w:t>
            </w:r>
          </w:p>
        </w:tc>
      </w:tr>
      <w:tr>
        <w:trPr>
          <w:trHeight w:val="278"/>
        </w:trPr>
        <w:tc>
          <w:tcPr>
            <w:tcW w:w="3140" w:type="dxa"/>
            <w:vAlign w:val="bottom"/>
            <w:shd w:val="clear" w:color="auto" w:fill="E2E6F4"/>
          </w:tcPr>
          <w:p>
            <w:pPr>
              <w:ind w:left="20"/>
              <w:spacing w:after="0"/>
              <w:rPr>
                <w:sz w:val="20"/>
                <w:szCs w:val="20"/>
                <w:color w:val="auto"/>
              </w:rPr>
            </w:pPr>
            <w:r>
              <w:rPr>
                <w:rFonts w:ascii="Arial" w:cs="Arial" w:eastAsia="Arial" w:hAnsi="Arial"/>
                <w:sz w:val="18"/>
                <w:szCs w:val="18"/>
                <w:b w:val="1"/>
                <w:bCs w:val="1"/>
                <w:color w:val="0067B3"/>
              </w:rPr>
              <w:t>Martin Cotter</w:t>
            </w:r>
          </w:p>
        </w:tc>
        <w:tc>
          <w:tcPr>
            <w:tcW w:w="2660" w:type="dxa"/>
            <w:vAlign w:val="bottom"/>
            <w:shd w:val="clear" w:color="auto" w:fill="E2E6F4"/>
          </w:tcPr>
          <w:p>
            <w:pPr>
              <w:jc w:val="right"/>
              <w:ind w:right="95"/>
              <w:spacing w:after="0"/>
              <w:rPr>
                <w:sz w:val="20"/>
                <w:szCs w:val="20"/>
                <w:color w:val="auto"/>
              </w:rPr>
            </w:pPr>
            <w:r>
              <w:rPr>
                <w:rFonts w:ascii="Arial" w:cs="Arial" w:eastAsia="Arial" w:hAnsi="Arial"/>
                <w:sz w:val="18"/>
                <w:szCs w:val="18"/>
                <w:color w:val="auto"/>
              </w:rPr>
              <w:t>421,196</w:t>
            </w:r>
          </w:p>
        </w:tc>
        <w:tc>
          <w:tcPr>
            <w:tcW w:w="1580" w:type="dxa"/>
            <w:vAlign w:val="bottom"/>
            <w:shd w:val="clear" w:color="auto" w:fill="E2E6F4"/>
          </w:tcPr>
          <w:p>
            <w:pPr>
              <w:jc w:val="right"/>
              <w:ind w:right="175"/>
              <w:spacing w:after="0"/>
              <w:rPr>
                <w:sz w:val="20"/>
                <w:szCs w:val="20"/>
                <w:color w:val="auto"/>
              </w:rPr>
            </w:pPr>
            <w:r>
              <w:rPr>
                <w:rFonts w:ascii="Arial" w:cs="Arial" w:eastAsia="Arial" w:hAnsi="Arial"/>
                <w:sz w:val="18"/>
                <w:szCs w:val="18"/>
                <w:color w:val="auto"/>
              </w:rPr>
              <w:t>33,817</w:t>
            </w:r>
          </w:p>
        </w:tc>
        <w:tc>
          <w:tcPr>
            <w:tcW w:w="1320" w:type="dxa"/>
            <w:vAlign w:val="bottom"/>
            <w:shd w:val="clear" w:color="auto" w:fill="E2E6F4"/>
          </w:tcPr>
          <w:p>
            <w:pPr>
              <w:jc w:val="right"/>
              <w:ind w:right="215"/>
              <w:spacing w:after="0"/>
              <w:rPr>
                <w:sz w:val="20"/>
                <w:szCs w:val="20"/>
                <w:color w:val="auto"/>
              </w:rPr>
            </w:pPr>
            <w:r>
              <w:rPr>
                <w:rFonts w:ascii="Arial" w:cs="Arial" w:eastAsia="Arial" w:hAnsi="Arial"/>
                <w:sz w:val="18"/>
                <w:szCs w:val="18"/>
                <w:color w:val="auto"/>
              </w:rPr>
              <w:t>499,086</w:t>
            </w:r>
          </w:p>
        </w:tc>
        <w:tc>
          <w:tcPr>
            <w:tcW w:w="1400" w:type="dxa"/>
            <w:vAlign w:val="bottom"/>
            <w:shd w:val="clear" w:color="auto" w:fill="E2E6F4"/>
          </w:tcPr>
          <w:p>
            <w:pPr>
              <w:ind w:left="980"/>
              <w:spacing w:after="0"/>
              <w:rPr>
                <w:sz w:val="20"/>
                <w:szCs w:val="20"/>
                <w:color w:val="auto"/>
              </w:rPr>
            </w:pPr>
            <w:r>
              <w:rPr>
                <w:rFonts w:ascii="Arial" w:cs="Arial" w:eastAsia="Arial" w:hAnsi="Arial"/>
                <w:sz w:val="18"/>
                <w:szCs w:val="18"/>
                <w:color w:val="auto"/>
              </w:rPr>
              <w:t>—</w:t>
            </w:r>
          </w:p>
        </w:tc>
        <w:tc>
          <w:tcPr>
            <w:tcW w:w="1140" w:type="dxa"/>
            <w:vAlign w:val="bottom"/>
            <w:shd w:val="clear" w:color="auto" w:fill="E2E6F4"/>
          </w:tcPr>
          <w:p>
            <w:pPr>
              <w:jc w:val="right"/>
              <w:spacing w:after="0"/>
              <w:rPr>
                <w:sz w:val="20"/>
                <w:szCs w:val="20"/>
                <w:color w:val="auto"/>
              </w:rPr>
            </w:pPr>
            <w:r>
              <w:rPr>
                <w:rFonts w:ascii="Arial" w:cs="Arial" w:eastAsia="Arial" w:hAnsi="Arial"/>
                <w:sz w:val="18"/>
                <w:szCs w:val="18"/>
                <w:color w:val="auto"/>
              </w:rPr>
              <w:t>2,947,114</w:t>
            </w:r>
          </w:p>
        </w:tc>
      </w:tr>
      <w:tr>
        <w:trPr>
          <w:trHeight w:val="263"/>
        </w:trPr>
        <w:tc>
          <w:tcPr>
            <w:tcW w:w="3140" w:type="dxa"/>
            <w:vAlign w:val="bottom"/>
          </w:tcPr>
          <w:p>
            <w:pPr>
              <w:ind w:left="20"/>
              <w:spacing w:after="0"/>
              <w:rPr>
                <w:sz w:val="20"/>
                <w:szCs w:val="20"/>
                <w:color w:val="auto"/>
              </w:rPr>
            </w:pPr>
            <w:r>
              <w:rPr>
                <w:rFonts w:ascii="Arial" w:cs="Arial" w:eastAsia="Arial" w:hAnsi="Arial"/>
                <w:sz w:val="18"/>
                <w:szCs w:val="18"/>
                <w:b w:val="1"/>
                <w:bCs w:val="1"/>
                <w:color w:val="0067B3"/>
              </w:rPr>
              <w:t>Vivek Jain</w:t>
            </w:r>
          </w:p>
        </w:tc>
        <w:tc>
          <w:tcPr>
            <w:tcW w:w="2660" w:type="dxa"/>
            <w:vAlign w:val="bottom"/>
          </w:tcPr>
          <w:p>
            <w:pPr>
              <w:jc w:val="right"/>
              <w:ind w:right="95"/>
              <w:spacing w:after="0"/>
              <w:rPr>
                <w:sz w:val="20"/>
                <w:szCs w:val="20"/>
                <w:color w:val="auto"/>
              </w:rPr>
            </w:pPr>
            <w:r>
              <w:rPr>
                <w:rFonts w:ascii="Arial" w:cs="Arial" w:eastAsia="Arial" w:hAnsi="Arial"/>
                <w:sz w:val="18"/>
                <w:szCs w:val="18"/>
                <w:color w:val="auto"/>
              </w:rPr>
              <w:t>—</w:t>
            </w:r>
          </w:p>
        </w:tc>
        <w:tc>
          <w:tcPr>
            <w:tcW w:w="1580" w:type="dxa"/>
            <w:vAlign w:val="bottom"/>
          </w:tcPr>
          <w:p>
            <w:pPr>
              <w:jc w:val="right"/>
              <w:ind w:right="175"/>
              <w:spacing w:after="0"/>
              <w:rPr>
                <w:sz w:val="20"/>
                <w:szCs w:val="20"/>
                <w:color w:val="auto"/>
              </w:rPr>
            </w:pPr>
            <w:r>
              <w:rPr>
                <w:rFonts w:ascii="Arial" w:cs="Arial" w:eastAsia="Arial" w:hAnsi="Arial"/>
                <w:sz w:val="18"/>
                <w:szCs w:val="18"/>
                <w:color w:val="auto"/>
              </w:rPr>
              <w:t>—</w:t>
            </w:r>
          </w:p>
        </w:tc>
        <w:tc>
          <w:tcPr>
            <w:tcW w:w="1320" w:type="dxa"/>
            <w:vAlign w:val="bottom"/>
          </w:tcPr>
          <w:p>
            <w:pPr>
              <w:jc w:val="right"/>
              <w:ind w:right="215"/>
              <w:spacing w:after="0"/>
              <w:rPr>
                <w:sz w:val="20"/>
                <w:szCs w:val="20"/>
                <w:color w:val="auto"/>
              </w:rPr>
            </w:pPr>
            <w:r>
              <w:rPr>
                <w:rFonts w:ascii="Arial" w:cs="Arial" w:eastAsia="Arial" w:hAnsi="Arial"/>
                <w:sz w:val="18"/>
                <w:szCs w:val="18"/>
                <w:color w:val="auto"/>
              </w:rPr>
              <w:t>—</w:t>
            </w:r>
          </w:p>
        </w:tc>
        <w:tc>
          <w:tcPr>
            <w:tcW w:w="1400" w:type="dxa"/>
            <w:vAlign w:val="bottom"/>
          </w:tcPr>
          <w:p>
            <w:pPr>
              <w:ind w:left="980"/>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71"/>
        </w:trPr>
        <w:tc>
          <w:tcPr>
            <w:tcW w:w="3140" w:type="dxa"/>
            <w:vAlign w:val="bottom"/>
            <w:tcBorders>
              <w:bottom w:val="single" w:sz="8" w:color="0067B3"/>
            </w:tcBorders>
            <w:shd w:val="clear" w:color="auto" w:fill="E2E6F4"/>
          </w:tcPr>
          <w:p>
            <w:pPr>
              <w:ind w:left="20"/>
              <w:spacing w:after="0"/>
              <w:rPr>
                <w:sz w:val="20"/>
                <w:szCs w:val="20"/>
                <w:color w:val="auto"/>
              </w:rPr>
            </w:pPr>
            <w:r>
              <w:rPr>
                <w:rFonts w:ascii="Arial" w:cs="Arial" w:eastAsia="Arial" w:hAnsi="Arial"/>
                <w:sz w:val="18"/>
                <w:szCs w:val="18"/>
                <w:b w:val="1"/>
                <w:bCs w:val="1"/>
                <w:color w:val="0067B3"/>
              </w:rPr>
              <w:t>Katsu Nakamura</w:t>
            </w:r>
          </w:p>
        </w:tc>
        <w:tc>
          <w:tcPr>
            <w:tcW w:w="2660" w:type="dxa"/>
            <w:vAlign w:val="bottom"/>
            <w:tcBorders>
              <w:bottom w:val="single" w:sz="8" w:color="0067B3"/>
            </w:tcBorders>
            <w:shd w:val="clear" w:color="auto" w:fill="E2E6F4"/>
          </w:tcPr>
          <w:p>
            <w:pPr>
              <w:jc w:val="right"/>
              <w:ind w:right="95"/>
              <w:spacing w:after="0"/>
              <w:rPr>
                <w:sz w:val="20"/>
                <w:szCs w:val="20"/>
                <w:color w:val="auto"/>
              </w:rPr>
            </w:pPr>
            <w:r>
              <w:rPr>
                <w:rFonts w:ascii="Arial" w:cs="Arial" w:eastAsia="Arial" w:hAnsi="Arial"/>
                <w:sz w:val="18"/>
                <w:szCs w:val="18"/>
                <w:color w:val="auto"/>
              </w:rPr>
              <w:t>90,026</w:t>
            </w:r>
          </w:p>
        </w:tc>
        <w:tc>
          <w:tcPr>
            <w:tcW w:w="1580" w:type="dxa"/>
            <w:vAlign w:val="bottom"/>
            <w:tcBorders>
              <w:bottom w:val="single" w:sz="8" w:color="0067B3"/>
            </w:tcBorders>
            <w:shd w:val="clear" w:color="auto" w:fill="E2E6F4"/>
          </w:tcPr>
          <w:p>
            <w:pPr>
              <w:jc w:val="right"/>
              <w:ind w:right="175"/>
              <w:spacing w:after="0"/>
              <w:rPr>
                <w:sz w:val="20"/>
                <w:szCs w:val="20"/>
                <w:color w:val="auto"/>
              </w:rPr>
            </w:pPr>
            <w:r>
              <w:rPr>
                <w:rFonts w:ascii="Arial" w:cs="Arial" w:eastAsia="Arial" w:hAnsi="Arial"/>
                <w:sz w:val="18"/>
                <w:szCs w:val="18"/>
                <w:color w:val="auto"/>
              </w:rPr>
              <w:t>7,202</w:t>
            </w:r>
          </w:p>
        </w:tc>
        <w:tc>
          <w:tcPr>
            <w:tcW w:w="1320" w:type="dxa"/>
            <w:vAlign w:val="bottom"/>
            <w:tcBorders>
              <w:bottom w:val="single" w:sz="8" w:color="0067B3"/>
            </w:tcBorders>
            <w:shd w:val="clear" w:color="auto" w:fill="E2E6F4"/>
          </w:tcPr>
          <w:p>
            <w:pPr>
              <w:jc w:val="right"/>
              <w:ind w:right="215"/>
              <w:spacing w:after="0"/>
              <w:rPr>
                <w:sz w:val="20"/>
                <w:szCs w:val="20"/>
                <w:color w:val="auto"/>
              </w:rPr>
            </w:pPr>
            <w:r>
              <w:rPr>
                <w:rFonts w:ascii="Arial" w:cs="Arial" w:eastAsia="Arial" w:hAnsi="Arial"/>
                <w:sz w:val="18"/>
                <w:szCs w:val="18"/>
                <w:color w:val="auto"/>
              </w:rPr>
              <w:t>517,668</w:t>
            </w:r>
          </w:p>
        </w:tc>
        <w:tc>
          <w:tcPr>
            <w:tcW w:w="1400" w:type="dxa"/>
            <w:vAlign w:val="bottom"/>
            <w:tcBorders>
              <w:bottom w:val="single" w:sz="8" w:color="0067B3"/>
            </w:tcBorders>
            <w:shd w:val="clear" w:color="auto" w:fill="E2E6F4"/>
          </w:tcPr>
          <w:p>
            <w:pPr>
              <w:ind w:left="98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0067B3"/>
            </w:tcBorders>
            <w:shd w:val="clear" w:color="auto" w:fill="E2E6F4"/>
          </w:tcPr>
          <w:p>
            <w:pPr>
              <w:jc w:val="right"/>
              <w:spacing w:after="0"/>
              <w:rPr>
                <w:sz w:val="20"/>
                <w:szCs w:val="20"/>
                <w:color w:val="auto"/>
              </w:rPr>
            </w:pPr>
            <w:r>
              <w:rPr>
                <w:rFonts w:ascii="Arial" w:cs="Arial" w:eastAsia="Arial" w:hAnsi="Arial"/>
                <w:sz w:val="18"/>
                <w:szCs w:val="18"/>
                <w:color w:val="auto"/>
              </w:rPr>
              <w:t>4,394,031</w:t>
            </w:r>
          </w:p>
        </w:tc>
      </w:tr>
    </w:tbl>
    <w:p>
      <w:pPr>
        <w:spacing w:after="0" w:line="148" w:lineRule="exact"/>
        <w:rPr>
          <w:sz w:val="20"/>
          <w:szCs w:val="20"/>
          <w:color w:val="auto"/>
        </w:rPr>
      </w:pPr>
    </w:p>
    <w:p>
      <w:pPr>
        <w:ind w:left="220" w:hanging="212"/>
        <w:spacing w:after="0"/>
        <w:tabs>
          <w:tab w:leader="none" w:pos="220" w:val="left"/>
        </w:tabs>
        <w:numPr>
          <w:ilvl w:val="0"/>
          <w:numId w:val="120"/>
        </w:numPr>
        <w:rPr>
          <w:rFonts w:ascii="Arial" w:cs="Arial" w:eastAsia="Arial" w:hAnsi="Arial"/>
          <w:sz w:val="21"/>
          <w:szCs w:val="21"/>
          <w:color w:val="auto"/>
          <w:vertAlign w:val="superscript"/>
        </w:rPr>
      </w:pPr>
      <w:r>
        <w:rPr>
          <w:rFonts w:ascii="Arial" w:cs="Arial" w:eastAsia="Arial" w:hAnsi="Arial"/>
          <w:sz w:val="16"/>
          <w:szCs w:val="16"/>
          <w:color w:val="auto"/>
        </w:rPr>
        <w:t>These amounts are included in the Summary Compensation Table above in the “All Other Compensation” column.</w:t>
      </w:r>
    </w:p>
    <w:p>
      <w:pPr>
        <w:spacing w:after="0" w:line="57" w:lineRule="exact"/>
        <w:rPr>
          <w:rFonts w:ascii="Arial" w:cs="Arial" w:eastAsia="Arial" w:hAnsi="Arial"/>
          <w:sz w:val="21"/>
          <w:szCs w:val="21"/>
          <w:color w:val="auto"/>
          <w:vertAlign w:val="superscript"/>
        </w:rPr>
      </w:pPr>
    </w:p>
    <w:p>
      <w:pPr>
        <w:ind w:left="200" w:right="560" w:hanging="192"/>
        <w:spacing w:after="0" w:line="218" w:lineRule="auto"/>
        <w:tabs>
          <w:tab w:leader="none" w:pos="215" w:val="left"/>
        </w:tabs>
        <w:numPr>
          <w:ilvl w:val="0"/>
          <w:numId w:val="120"/>
        </w:numPr>
        <w:rPr>
          <w:rFonts w:ascii="Arial" w:cs="Arial" w:eastAsia="Arial" w:hAnsi="Arial"/>
          <w:sz w:val="21"/>
          <w:szCs w:val="21"/>
          <w:color w:val="auto"/>
          <w:vertAlign w:val="superscript"/>
        </w:rPr>
      </w:pPr>
      <w:r>
        <w:rPr>
          <w:rFonts w:ascii="Arial" w:cs="Arial" w:eastAsia="Arial" w:hAnsi="Arial"/>
          <w:sz w:val="16"/>
          <w:szCs w:val="16"/>
          <w:color w:val="auto"/>
        </w:rPr>
        <w:t>These amounts are excluded from the Summary Compensation Table above in accordance with SEC regulations, as we did not pay above-market earnings on deferred compensation in fiscal year 2025.</w:t>
      </w:r>
    </w:p>
    <w:p>
      <w:pPr>
        <w:spacing w:after="0" w:line="43" w:lineRule="exact"/>
        <w:rPr>
          <w:rFonts w:ascii="Arial" w:cs="Arial" w:eastAsia="Arial" w:hAnsi="Arial"/>
          <w:sz w:val="21"/>
          <w:szCs w:val="21"/>
          <w:color w:val="auto"/>
          <w:vertAlign w:val="superscript"/>
        </w:rPr>
      </w:pPr>
    </w:p>
    <w:p>
      <w:pPr>
        <w:ind w:left="200" w:right="420" w:hanging="192"/>
        <w:spacing w:after="0" w:line="227" w:lineRule="auto"/>
        <w:tabs>
          <w:tab w:leader="none" w:pos="215" w:val="left"/>
        </w:tabs>
        <w:numPr>
          <w:ilvl w:val="0"/>
          <w:numId w:val="120"/>
        </w:numPr>
        <w:rPr>
          <w:rFonts w:ascii="Arial" w:cs="Arial" w:eastAsia="Arial" w:hAnsi="Arial"/>
          <w:sz w:val="21"/>
          <w:szCs w:val="21"/>
          <w:color w:val="auto"/>
          <w:vertAlign w:val="superscript"/>
        </w:rPr>
      </w:pPr>
      <w:r>
        <w:rPr>
          <w:rFonts w:ascii="Arial" w:cs="Arial" w:eastAsia="Arial" w:hAnsi="Arial"/>
          <w:sz w:val="16"/>
          <w:szCs w:val="16"/>
          <w:color w:val="auto"/>
        </w:rPr>
        <w:t>Of the amounts in this column, the following amounts have also been reported in the Summary Compensation Table in the “All Other Compensation” column for fiscal years 2024 and 2023, representing the company’s contributions in those fiscal years:</w:t>
      </w:r>
    </w:p>
    <w:p>
      <w:pPr>
        <w:spacing w:after="0" w:line="125" w:lineRule="exact"/>
        <w:rPr>
          <w:sz w:val="20"/>
          <w:szCs w:val="20"/>
          <w:color w:val="auto"/>
        </w:rPr>
      </w:pPr>
    </w:p>
    <w:tbl>
      <w:tblPr>
        <w:tblLayout w:type="fixed"/>
        <w:tblInd w:w="200" w:type="dxa"/>
        <w:tblCellMar>
          <w:top w:w="0" w:type="dxa"/>
          <w:left w:w="0" w:type="dxa"/>
          <w:bottom w:w="0" w:type="dxa"/>
          <w:right w:w="0" w:type="dxa"/>
        </w:tblCellMar>
      </w:tblPr>
      <w:tr>
        <w:trPr>
          <w:trHeight w:val="301"/>
        </w:trPr>
        <w:tc>
          <w:tcPr>
            <w:tcW w:w="4480" w:type="dxa"/>
            <w:vAlign w:val="bottom"/>
            <w:shd w:val="clear" w:color="auto" w:fill="0067B3"/>
          </w:tcPr>
          <w:p>
            <w:pPr>
              <w:spacing w:after="0"/>
              <w:rPr>
                <w:sz w:val="24"/>
                <w:szCs w:val="24"/>
                <w:color w:val="auto"/>
              </w:rPr>
            </w:pPr>
          </w:p>
        </w:tc>
        <w:tc>
          <w:tcPr>
            <w:tcW w:w="4600" w:type="dxa"/>
            <w:vAlign w:val="bottom"/>
            <w:shd w:val="clear" w:color="auto" w:fill="0067B3"/>
          </w:tcPr>
          <w:p>
            <w:pPr>
              <w:jc w:val="right"/>
              <w:spacing w:after="0"/>
              <w:rPr>
                <w:sz w:val="20"/>
                <w:szCs w:val="20"/>
                <w:color w:val="auto"/>
              </w:rPr>
            </w:pPr>
            <w:r>
              <w:rPr>
                <w:rFonts w:ascii="Arial" w:cs="Arial" w:eastAsia="Arial" w:hAnsi="Arial"/>
                <w:sz w:val="14"/>
                <w:szCs w:val="14"/>
                <w:b w:val="1"/>
                <w:bCs w:val="1"/>
                <w:color w:val="FFFFFF"/>
              </w:rPr>
              <w:t>Previously Reported for</w:t>
            </w:r>
          </w:p>
        </w:tc>
        <w:tc>
          <w:tcPr>
            <w:tcW w:w="1720" w:type="dxa"/>
            <w:vAlign w:val="bottom"/>
            <w:shd w:val="clear" w:color="auto" w:fill="0067B3"/>
          </w:tcPr>
          <w:p>
            <w:pPr>
              <w:jc w:val="right"/>
              <w:spacing w:after="0"/>
              <w:rPr>
                <w:sz w:val="20"/>
                <w:szCs w:val="20"/>
                <w:color w:val="auto"/>
              </w:rPr>
            </w:pPr>
            <w:r>
              <w:rPr>
                <w:rFonts w:ascii="Arial" w:cs="Arial" w:eastAsia="Arial" w:hAnsi="Arial"/>
                <w:sz w:val="14"/>
                <w:szCs w:val="14"/>
                <w:b w:val="1"/>
                <w:bCs w:val="1"/>
                <w:color w:val="FFFFFF"/>
              </w:rPr>
              <w:t>Previously Reported for</w:t>
            </w:r>
          </w:p>
        </w:tc>
        <w:tc>
          <w:tcPr>
            <w:tcW w:w="0" w:type="dxa"/>
            <w:vAlign w:val="bottom"/>
          </w:tcPr>
          <w:p>
            <w:pPr>
              <w:spacing w:after="0"/>
              <w:rPr>
                <w:sz w:val="1"/>
                <w:szCs w:val="1"/>
                <w:color w:val="auto"/>
              </w:rPr>
            </w:pPr>
          </w:p>
        </w:tc>
      </w:tr>
      <w:tr>
        <w:trPr>
          <w:trHeight w:val="173"/>
        </w:trPr>
        <w:tc>
          <w:tcPr>
            <w:tcW w:w="4480" w:type="dxa"/>
            <w:vAlign w:val="bottom"/>
            <w:shd w:val="clear" w:color="auto" w:fill="0067B3"/>
          </w:tcPr>
          <w:p>
            <w:pPr>
              <w:spacing w:after="0"/>
              <w:rPr>
                <w:sz w:val="15"/>
                <w:szCs w:val="15"/>
                <w:color w:val="auto"/>
              </w:rPr>
            </w:pPr>
          </w:p>
        </w:tc>
        <w:tc>
          <w:tcPr>
            <w:tcW w:w="4600" w:type="dxa"/>
            <w:vAlign w:val="bottom"/>
            <w:shd w:val="clear" w:color="auto" w:fill="0067B3"/>
          </w:tcPr>
          <w:p>
            <w:pPr>
              <w:jc w:val="right"/>
              <w:spacing w:after="0"/>
              <w:rPr>
                <w:sz w:val="20"/>
                <w:szCs w:val="20"/>
                <w:color w:val="auto"/>
              </w:rPr>
            </w:pPr>
            <w:r>
              <w:rPr>
                <w:rFonts w:ascii="Arial" w:cs="Arial" w:eastAsia="Arial" w:hAnsi="Arial"/>
                <w:sz w:val="14"/>
                <w:szCs w:val="14"/>
                <w:b w:val="1"/>
                <w:bCs w:val="1"/>
                <w:color w:val="FFFFFF"/>
              </w:rPr>
              <w:t>Fiscal Year 2024</w:t>
            </w:r>
          </w:p>
        </w:tc>
        <w:tc>
          <w:tcPr>
            <w:tcW w:w="1720" w:type="dxa"/>
            <w:vAlign w:val="bottom"/>
            <w:shd w:val="clear" w:color="auto" w:fill="0067B3"/>
          </w:tcPr>
          <w:p>
            <w:pPr>
              <w:jc w:val="right"/>
              <w:spacing w:after="0"/>
              <w:rPr>
                <w:sz w:val="20"/>
                <w:szCs w:val="20"/>
                <w:color w:val="auto"/>
              </w:rPr>
            </w:pPr>
            <w:r>
              <w:rPr>
                <w:rFonts w:ascii="Arial" w:cs="Arial" w:eastAsia="Arial" w:hAnsi="Arial"/>
                <w:sz w:val="14"/>
                <w:szCs w:val="14"/>
                <w:b w:val="1"/>
                <w:bCs w:val="1"/>
                <w:color w:val="FFFFFF"/>
              </w:rPr>
              <w:t>Fiscal Year 2023</w:t>
            </w:r>
          </w:p>
        </w:tc>
        <w:tc>
          <w:tcPr>
            <w:tcW w:w="0" w:type="dxa"/>
            <w:vAlign w:val="bottom"/>
          </w:tcPr>
          <w:p>
            <w:pPr>
              <w:spacing w:after="0"/>
              <w:rPr>
                <w:sz w:val="1"/>
                <w:szCs w:val="1"/>
                <w:color w:val="auto"/>
              </w:rPr>
            </w:pPr>
          </w:p>
        </w:tc>
      </w:tr>
      <w:tr>
        <w:trPr>
          <w:trHeight w:val="241"/>
        </w:trPr>
        <w:tc>
          <w:tcPr>
            <w:tcW w:w="4480" w:type="dxa"/>
            <w:vAlign w:val="bottom"/>
            <w:vMerge w:val="restart"/>
            <w:shd w:val="clear" w:color="auto" w:fill="0067B3"/>
          </w:tcPr>
          <w:p>
            <w:pPr>
              <w:ind w:left="20"/>
              <w:spacing w:after="0"/>
              <w:rPr>
                <w:sz w:val="20"/>
                <w:szCs w:val="20"/>
                <w:color w:val="auto"/>
              </w:rPr>
            </w:pPr>
            <w:r>
              <w:rPr>
                <w:rFonts w:ascii="Arial" w:cs="Arial" w:eastAsia="Arial" w:hAnsi="Arial"/>
                <w:sz w:val="14"/>
                <w:szCs w:val="14"/>
                <w:b w:val="1"/>
                <w:bCs w:val="1"/>
                <w:color w:val="FFFFFF"/>
              </w:rPr>
              <w:t>Name</w:t>
            </w:r>
          </w:p>
        </w:tc>
        <w:tc>
          <w:tcPr>
            <w:tcW w:w="4600" w:type="dxa"/>
            <w:vAlign w:val="bottom"/>
            <w:shd w:val="clear" w:color="auto" w:fill="0067B3"/>
          </w:tcPr>
          <w:p>
            <w:pPr>
              <w:jc w:val="right"/>
              <w:spacing w:after="0" w:line="241" w:lineRule="exact"/>
              <w:rPr>
                <w:sz w:val="20"/>
                <w:szCs w:val="20"/>
                <w:color w:val="auto"/>
              </w:rPr>
            </w:pPr>
            <w:r>
              <w:rPr>
                <w:rFonts w:ascii="Arial" w:cs="Arial" w:eastAsia="Arial" w:hAnsi="Arial"/>
                <w:sz w:val="27"/>
                <w:szCs w:val="27"/>
                <w:b w:val="1"/>
                <w:bCs w:val="1"/>
                <w:color w:val="FFFFFF"/>
                <w:vertAlign w:val="subscript"/>
              </w:rPr>
              <w:t>($)</w:t>
            </w:r>
            <w:r>
              <w:rPr>
                <w:rFonts w:ascii="Arial" w:cs="Arial" w:eastAsia="Arial" w:hAnsi="Arial"/>
                <w:sz w:val="9"/>
                <w:szCs w:val="9"/>
                <w:b w:val="1"/>
                <w:bCs w:val="1"/>
                <w:color w:val="FFFFFF"/>
              </w:rPr>
              <w:t>(1)</w:t>
            </w:r>
          </w:p>
        </w:tc>
        <w:tc>
          <w:tcPr>
            <w:tcW w:w="1720" w:type="dxa"/>
            <w:vAlign w:val="bottom"/>
            <w:shd w:val="clear" w:color="auto" w:fill="0067B3"/>
          </w:tcPr>
          <w:p>
            <w:pPr>
              <w:jc w:val="right"/>
              <w:spacing w:after="0" w:line="241" w:lineRule="exact"/>
              <w:rPr>
                <w:sz w:val="20"/>
                <w:szCs w:val="20"/>
                <w:color w:val="auto"/>
              </w:rPr>
            </w:pPr>
            <w:r>
              <w:rPr>
                <w:rFonts w:ascii="Arial" w:cs="Arial" w:eastAsia="Arial" w:hAnsi="Arial"/>
                <w:sz w:val="27"/>
                <w:szCs w:val="27"/>
                <w:b w:val="1"/>
                <w:bCs w:val="1"/>
                <w:color w:val="FFFFFF"/>
                <w:vertAlign w:val="subscript"/>
              </w:rPr>
              <w:t>($)</w:t>
            </w:r>
            <w:r>
              <w:rPr>
                <w:rFonts w:ascii="Arial" w:cs="Arial" w:eastAsia="Arial" w:hAnsi="Arial"/>
                <w:sz w:val="9"/>
                <w:szCs w:val="9"/>
                <w:b w:val="1"/>
                <w:bCs w:val="1"/>
                <w:color w:val="FFFFFF"/>
              </w:rPr>
              <w:t>(1)</w:t>
            </w:r>
          </w:p>
        </w:tc>
        <w:tc>
          <w:tcPr>
            <w:tcW w:w="0" w:type="dxa"/>
            <w:vAlign w:val="bottom"/>
          </w:tcPr>
          <w:p>
            <w:pPr>
              <w:spacing w:after="0"/>
              <w:rPr>
                <w:sz w:val="1"/>
                <w:szCs w:val="1"/>
                <w:color w:val="auto"/>
              </w:rPr>
            </w:pPr>
          </w:p>
        </w:tc>
      </w:tr>
      <w:tr>
        <w:trPr>
          <w:trHeight w:val="68"/>
        </w:trPr>
        <w:tc>
          <w:tcPr>
            <w:tcW w:w="4480" w:type="dxa"/>
            <w:vAlign w:val="bottom"/>
            <w:vMerge w:val="continue"/>
            <w:shd w:val="clear" w:color="auto" w:fill="0067B3"/>
          </w:tcPr>
          <w:p>
            <w:pPr>
              <w:spacing w:after="0"/>
              <w:rPr>
                <w:sz w:val="5"/>
                <w:szCs w:val="5"/>
                <w:color w:val="auto"/>
              </w:rPr>
            </w:pPr>
          </w:p>
        </w:tc>
        <w:tc>
          <w:tcPr>
            <w:tcW w:w="4600" w:type="dxa"/>
            <w:vAlign w:val="bottom"/>
            <w:shd w:val="clear" w:color="auto" w:fill="0067B3"/>
          </w:tcPr>
          <w:p>
            <w:pPr>
              <w:spacing w:after="0"/>
              <w:rPr>
                <w:sz w:val="5"/>
                <w:szCs w:val="5"/>
                <w:color w:val="auto"/>
              </w:rPr>
            </w:pPr>
          </w:p>
        </w:tc>
        <w:tc>
          <w:tcPr>
            <w:tcW w:w="1720" w:type="dxa"/>
            <w:vAlign w:val="bottom"/>
            <w:shd w:val="clear" w:color="auto" w:fill="0067B3"/>
          </w:tcPr>
          <w:p>
            <w:pPr>
              <w:spacing w:after="0"/>
              <w:rPr>
                <w:sz w:val="5"/>
                <w:szCs w:val="5"/>
                <w:color w:val="auto"/>
              </w:rPr>
            </w:pPr>
          </w:p>
        </w:tc>
        <w:tc>
          <w:tcPr>
            <w:tcW w:w="0" w:type="dxa"/>
            <w:vAlign w:val="bottom"/>
          </w:tcPr>
          <w:p>
            <w:pPr>
              <w:spacing w:after="0"/>
              <w:rPr>
                <w:sz w:val="1"/>
                <w:szCs w:val="1"/>
                <w:color w:val="auto"/>
              </w:rPr>
            </w:pPr>
          </w:p>
        </w:tc>
      </w:tr>
      <w:tr>
        <w:trPr>
          <w:trHeight w:val="223"/>
        </w:trPr>
        <w:tc>
          <w:tcPr>
            <w:tcW w:w="4480" w:type="dxa"/>
            <w:vAlign w:val="bottom"/>
            <w:tcBorders>
              <w:bottom w:val="single" w:sz="8" w:color="E2E6F4"/>
            </w:tcBorders>
            <w:shd w:val="clear" w:color="auto" w:fill="E2E6F4"/>
          </w:tcPr>
          <w:p>
            <w:pPr>
              <w:ind w:left="20"/>
              <w:spacing w:after="0"/>
              <w:rPr>
                <w:sz w:val="20"/>
                <w:szCs w:val="20"/>
                <w:color w:val="auto"/>
              </w:rPr>
            </w:pPr>
            <w:r>
              <w:rPr>
                <w:rFonts w:ascii="Arial" w:cs="Arial" w:eastAsia="Arial" w:hAnsi="Arial"/>
                <w:sz w:val="15"/>
                <w:szCs w:val="15"/>
                <w:b w:val="1"/>
                <w:bCs w:val="1"/>
                <w:color w:val="0067B3"/>
              </w:rPr>
              <w:t>Vincent Roche</w:t>
            </w:r>
          </w:p>
        </w:tc>
        <w:tc>
          <w:tcPr>
            <w:tcW w:w="4600" w:type="dxa"/>
            <w:vAlign w:val="bottom"/>
            <w:tcBorders>
              <w:bottom w:val="single" w:sz="8" w:color="E2E6F4"/>
            </w:tcBorders>
            <w:shd w:val="clear" w:color="auto" w:fill="E2E6F4"/>
          </w:tcPr>
          <w:p>
            <w:pPr>
              <w:jc w:val="right"/>
              <w:ind w:right="48"/>
              <w:spacing w:after="0"/>
              <w:rPr>
                <w:sz w:val="20"/>
                <w:szCs w:val="20"/>
                <w:color w:val="auto"/>
              </w:rPr>
            </w:pPr>
            <w:r>
              <w:rPr>
                <w:rFonts w:ascii="Arial" w:cs="Arial" w:eastAsia="Arial" w:hAnsi="Arial"/>
                <w:sz w:val="15"/>
                <w:szCs w:val="15"/>
                <w:color w:val="auto"/>
              </w:rPr>
              <w:t>7,650</w:t>
            </w:r>
          </w:p>
        </w:tc>
        <w:tc>
          <w:tcPr>
            <w:tcW w:w="1720" w:type="dxa"/>
            <w:vAlign w:val="bottom"/>
            <w:tcBorders>
              <w:bottom w:val="single" w:sz="8" w:color="E2E6F4"/>
            </w:tcBorders>
            <w:shd w:val="clear" w:color="auto" w:fill="E2E6F4"/>
          </w:tcPr>
          <w:p>
            <w:pPr>
              <w:jc w:val="right"/>
              <w:spacing w:after="0"/>
              <w:rPr>
                <w:sz w:val="20"/>
                <w:szCs w:val="20"/>
                <w:color w:val="auto"/>
              </w:rPr>
            </w:pPr>
            <w:r>
              <w:rPr>
                <w:rFonts w:ascii="Arial" w:cs="Arial" w:eastAsia="Arial" w:hAnsi="Arial"/>
                <w:sz w:val="15"/>
                <w:szCs w:val="15"/>
                <w:color w:val="auto"/>
              </w:rPr>
              <w:t>7,508</w:t>
            </w:r>
          </w:p>
        </w:tc>
        <w:tc>
          <w:tcPr>
            <w:tcW w:w="0" w:type="dxa"/>
            <w:vAlign w:val="bottom"/>
          </w:tcPr>
          <w:p>
            <w:pPr>
              <w:spacing w:after="0"/>
              <w:rPr>
                <w:sz w:val="1"/>
                <w:szCs w:val="1"/>
                <w:color w:val="auto"/>
              </w:rPr>
            </w:pPr>
          </w:p>
        </w:tc>
      </w:tr>
      <w:tr>
        <w:trPr>
          <w:trHeight w:val="218"/>
        </w:trPr>
        <w:tc>
          <w:tcPr>
            <w:tcW w:w="4480" w:type="dxa"/>
            <w:vAlign w:val="bottom"/>
          </w:tcPr>
          <w:p>
            <w:pPr>
              <w:ind w:left="20"/>
              <w:spacing w:after="0"/>
              <w:rPr>
                <w:sz w:val="20"/>
                <w:szCs w:val="20"/>
                <w:color w:val="auto"/>
              </w:rPr>
            </w:pPr>
            <w:r>
              <w:rPr>
                <w:rFonts w:ascii="Arial" w:cs="Arial" w:eastAsia="Arial" w:hAnsi="Arial"/>
                <w:sz w:val="15"/>
                <w:szCs w:val="15"/>
                <w:b w:val="1"/>
                <w:bCs w:val="1"/>
                <w:color w:val="0067B3"/>
              </w:rPr>
              <w:t>Richard C. Puccio, Jr.</w:t>
            </w:r>
          </w:p>
        </w:tc>
        <w:tc>
          <w:tcPr>
            <w:tcW w:w="4600" w:type="dxa"/>
            <w:vAlign w:val="bottom"/>
          </w:tcPr>
          <w:p>
            <w:pPr>
              <w:jc w:val="right"/>
              <w:ind w:right="48"/>
              <w:spacing w:after="0"/>
              <w:rPr>
                <w:sz w:val="20"/>
                <w:szCs w:val="20"/>
                <w:color w:val="auto"/>
              </w:rPr>
            </w:pPr>
            <w:r>
              <w:rPr>
                <w:rFonts w:ascii="Arial" w:cs="Arial" w:eastAsia="Arial" w:hAnsi="Arial"/>
                <w:sz w:val="15"/>
                <w:szCs w:val="15"/>
                <w:color w:val="auto"/>
              </w:rPr>
              <w:t>3,505</w:t>
            </w:r>
          </w:p>
        </w:tc>
        <w:tc>
          <w:tcPr>
            <w:tcW w:w="1720" w:type="dxa"/>
            <w:vAlign w:val="bottom"/>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5"/>
        </w:trPr>
        <w:tc>
          <w:tcPr>
            <w:tcW w:w="4480" w:type="dxa"/>
            <w:vAlign w:val="bottom"/>
          </w:tcPr>
          <w:p>
            <w:pPr>
              <w:spacing w:after="0"/>
              <w:rPr>
                <w:sz w:val="2"/>
                <w:szCs w:val="2"/>
                <w:color w:val="auto"/>
              </w:rPr>
            </w:pPr>
          </w:p>
        </w:tc>
        <w:tc>
          <w:tcPr>
            <w:tcW w:w="4600" w:type="dxa"/>
            <w:vAlign w:val="bottom"/>
          </w:tcPr>
          <w:p>
            <w:pPr>
              <w:spacing w:after="0"/>
              <w:rPr>
                <w:sz w:val="2"/>
                <w:szCs w:val="2"/>
                <w:color w:val="auto"/>
              </w:rPr>
            </w:pPr>
          </w:p>
        </w:tc>
        <w:tc>
          <w:tcPr>
            <w:tcW w:w="1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4480" w:type="dxa"/>
            <w:vAlign w:val="bottom"/>
            <w:tcBorders>
              <w:bottom w:val="single" w:sz="8" w:color="E2E6F4"/>
            </w:tcBorders>
            <w:shd w:val="clear" w:color="auto" w:fill="E2E6F4"/>
          </w:tcPr>
          <w:p>
            <w:pPr>
              <w:ind w:left="20"/>
              <w:spacing w:after="0"/>
              <w:rPr>
                <w:sz w:val="20"/>
                <w:szCs w:val="20"/>
                <w:color w:val="auto"/>
              </w:rPr>
            </w:pPr>
            <w:r>
              <w:rPr>
                <w:rFonts w:ascii="Arial" w:cs="Arial" w:eastAsia="Arial" w:hAnsi="Arial"/>
                <w:sz w:val="15"/>
                <w:szCs w:val="15"/>
                <w:b w:val="1"/>
                <w:bCs w:val="1"/>
                <w:color w:val="0067B3"/>
              </w:rPr>
              <w:t>Martin Cotter</w:t>
            </w:r>
          </w:p>
        </w:tc>
        <w:tc>
          <w:tcPr>
            <w:tcW w:w="4600" w:type="dxa"/>
            <w:vAlign w:val="bottom"/>
            <w:tcBorders>
              <w:bottom w:val="single" w:sz="8" w:color="E2E6F4"/>
            </w:tcBorders>
            <w:shd w:val="clear" w:color="auto" w:fill="E2E6F4"/>
          </w:tcPr>
          <w:p>
            <w:pPr>
              <w:jc w:val="right"/>
              <w:ind w:right="48"/>
              <w:spacing w:after="0"/>
              <w:rPr>
                <w:sz w:val="20"/>
                <w:szCs w:val="20"/>
                <w:color w:val="auto"/>
              </w:rPr>
            </w:pPr>
            <w:r>
              <w:rPr>
                <w:rFonts w:ascii="Arial" w:cs="Arial" w:eastAsia="Arial" w:hAnsi="Arial"/>
                <w:sz w:val="15"/>
                <w:szCs w:val="15"/>
                <w:color w:val="auto"/>
              </w:rPr>
              <w:t>—</w:t>
            </w:r>
          </w:p>
        </w:tc>
        <w:tc>
          <w:tcPr>
            <w:tcW w:w="1720" w:type="dxa"/>
            <w:vAlign w:val="bottom"/>
            <w:tcBorders>
              <w:bottom w:val="single" w:sz="8" w:color="E2E6F4"/>
            </w:tcBorders>
            <w:shd w:val="clear" w:color="auto" w:fill="E2E6F4"/>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18"/>
        </w:trPr>
        <w:tc>
          <w:tcPr>
            <w:tcW w:w="4480" w:type="dxa"/>
            <w:vAlign w:val="bottom"/>
          </w:tcPr>
          <w:p>
            <w:pPr>
              <w:ind w:left="20"/>
              <w:spacing w:after="0"/>
              <w:rPr>
                <w:sz w:val="20"/>
                <w:szCs w:val="20"/>
                <w:color w:val="auto"/>
              </w:rPr>
            </w:pPr>
            <w:r>
              <w:rPr>
                <w:rFonts w:ascii="Arial" w:cs="Arial" w:eastAsia="Arial" w:hAnsi="Arial"/>
                <w:sz w:val="15"/>
                <w:szCs w:val="15"/>
                <w:b w:val="1"/>
                <w:bCs w:val="1"/>
                <w:color w:val="0067B3"/>
              </w:rPr>
              <w:t>Vivek Jain</w:t>
            </w:r>
          </w:p>
        </w:tc>
        <w:tc>
          <w:tcPr>
            <w:tcW w:w="4600" w:type="dxa"/>
            <w:vAlign w:val="bottom"/>
          </w:tcPr>
          <w:p>
            <w:pPr>
              <w:jc w:val="right"/>
              <w:ind w:right="48"/>
              <w:spacing w:after="0"/>
              <w:rPr>
                <w:sz w:val="20"/>
                <w:szCs w:val="20"/>
                <w:color w:val="auto"/>
              </w:rPr>
            </w:pPr>
            <w:r>
              <w:rPr>
                <w:rFonts w:ascii="Arial" w:cs="Arial" w:eastAsia="Arial" w:hAnsi="Arial"/>
                <w:sz w:val="15"/>
                <w:szCs w:val="15"/>
                <w:color w:val="auto"/>
              </w:rPr>
              <w:t>—</w:t>
            </w:r>
          </w:p>
        </w:tc>
        <w:tc>
          <w:tcPr>
            <w:tcW w:w="1720" w:type="dxa"/>
            <w:vAlign w:val="bottom"/>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5"/>
        </w:trPr>
        <w:tc>
          <w:tcPr>
            <w:tcW w:w="4480" w:type="dxa"/>
            <w:vAlign w:val="bottom"/>
          </w:tcPr>
          <w:p>
            <w:pPr>
              <w:spacing w:after="0"/>
              <w:rPr>
                <w:sz w:val="2"/>
                <w:szCs w:val="2"/>
                <w:color w:val="auto"/>
              </w:rPr>
            </w:pPr>
          </w:p>
        </w:tc>
        <w:tc>
          <w:tcPr>
            <w:tcW w:w="4600" w:type="dxa"/>
            <w:vAlign w:val="bottom"/>
          </w:tcPr>
          <w:p>
            <w:pPr>
              <w:spacing w:after="0"/>
              <w:rPr>
                <w:sz w:val="2"/>
                <w:szCs w:val="2"/>
                <w:color w:val="auto"/>
              </w:rPr>
            </w:pPr>
          </w:p>
        </w:tc>
        <w:tc>
          <w:tcPr>
            <w:tcW w:w="1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4480" w:type="dxa"/>
            <w:vAlign w:val="bottom"/>
            <w:tcBorders>
              <w:bottom w:val="single" w:sz="8" w:color="E2E6F4"/>
            </w:tcBorders>
            <w:shd w:val="clear" w:color="auto" w:fill="E2E6F4"/>
          </w:tcPr>
          <w:p>
            <w:pPr>
              <w:ind w:left="20"/>
              <w:spacing w:after="0"/>
              <w:rPr>
                <w:sz w:val="20"/>
                <w:szCs w:val="20"/>
                <w:color w:val="auto"/>
              </w:rPr>
            </w:pPr>
            <w:r>
              <w:rPr>
                <w:rFonts w:ascii="Arial" w:cs="Arial" w:eastAsia="Arial" w:hAnsi="Arial"/>
                <w:sz w:val="15"/>
                <w:szCs w:val="15"/>
                <w:b w:val="1"/>
                <w:bCs w:val="1"/>
                <w:color w:val="0067B3"/>
              </w:rPr>
              <w:t>Katsu Nakamura</w:t>
            </w:r>
          </w:p>
        </w:tc>
        <w:tc>
          <w:tcPr>
            <w:tcW w:w="4600" w:type="dxa"/>
            <w:vAlign w:val="bottom"/>
            <w:tcBorders>
              <w:bottom w:val="single" w:sz="8" w:color="E2E6F4"/>
            </w:tcBorders>
            <w:shd w:val="clear" w:color="auto" w:fill="E2E6F4"/>
          </w:tcPr>
          <w:p>
            <w:pPr>
              <w:jc w:val="right"/>
              <w:ind w:right="48"/>
              <w:spacing w:after="0"/>
              <w:rPr>
                <w:sz w:val="20"/>
                <w:szCs w:val="20"/>
                <w:color w:val="auto"/>
              </w:rPr>
            </w:pPr>
            <w:r>
              <w:rPr>
                <w:rFonts w:ascii="Arial" w:cs="Arial" w:eastAsia="Arial" w:hAnsi="Arial"/>
                <w:sz w:val="15"/>
                <w:szCs w:val="15"/>
                <w:color w:val="auto"/>
              </w:rPr>
              <w:t>—</w:t>
            </w:r>
          </w:p>
        </w:tc>
        <w:tc>
          <w:tcPr>
            <w:tcW w:w="1720" w:type="dxa"/>
            <w:vAlign w:val="bottom"/>
            <w:tcBorders>
              <w:bottom w:val="single" w:sz="8" w:color="E2E6F4"/>
            </w:tcBorders>
            <w:shd w:val="clear" w:color="auto" w:fill="E2E6F4"/>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0"/>
        </w:trPr>
        <w:tc>
          <w:tcPr>
            <w:tcW w:w="4480" w:type="dxa"/>
            <w:vAlign w:val="bottom"/>
            <w:shd w:val="clear" w:color="auto" w:fill="0067B3"/>
          </w:tcPr>
          <w:p>
            <w:pPr>
              <w:spacing w:after="0" w:line="20" w:lineRule="exact"/>
              <w:rPr>
                <w:sz w:val="1"/>
                <w:szCs w:val="1"/>
                <w:color w:val="auto"/>
              </w:rPr>
            </w:pPr>
          </w:p>
        </w:tc>
        <w:tc>
          <w:tcPr>
            <w:tcW w:w="4600" w:type="dxa"/>
            <w:vAlign w:val="bottom"/>
            <w:shd w:val="clear" w:color="auto" w:fill="0067B3"/>
          </w:tcPr>
          <w:p>
            <w:pPr>
              <w:spacing w:after="0" w:line="20" w:lineRule="exact"/>
              <w:rPr>
                <w:sz w:val="1"/>
                <w:szCs w:val="1"/>
                <w:color w:val="auto"/>
              </w:rPr>
            </w:pPr>
          </w:p>
        </w:tc>
        <w:tc>
          <w:tcPr>
            <w:tcW w:w="1720" w:type="dxa"/>
            <w:vAlign w:val="bottom"/>
            <w:shd w:val="clear" w:color="auto" w:fill="0067B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8" w:lineRule="exact"/>
        <w:rPr>
          <w:sz w:val="20"/>
          <w:szCs w:val="20"/>
          <w:color w:val="auto"/>
        </w:rPr>
      </w:pPr>
    </w:p>
    <w:p>
      <w:pPr>
        <w:ind w:left="400" w:right="100" w:hanging="198"/>
        <w:spacing w:after="0" w:line="227" w:lineRule="auto"/>
        <w:tabs>
          <w:tab w:leader="none" w:pos="415" w:val="left"/>
        </w:tabs>
        <w:numPr>
          <w:ilvl w:val="0"/>
          <w:numId w:val="121"/>
        </w:numPr>
        <w:rPr>
          <w:rFonts w:ascii="Arial" w:cs="Arial" w:eastAsia="Arial" w:hAnsi="Arial"/>
          <w:sz w:val="21"/>
          <w:szCs w:val="21"/>
          <w:color w:val="auto"/>
          <w:vertAlign w:val="superscript"/>
        </w:rPr>
      </w:pPr>
      <w:r>
        <w:rPr>
          <w:rFonts w:ascii="Arial" w:cs="Arial" w:eastAsia="Arial" w:hAnsi="Arial"/>
          <w:sz w:val="16"/>
          <w:szCs w:val="16"/>
          <w:color w:val="auto"/>
        </w:rPr>
        <w:t>Messrs. Puccio and Cotter and Dr. Nakamura were not NEOs in fiscal year 2023. Mr. Cotter and Dr. Nakamura were not NEOs in fiscal year 2024. Mr. Jain did not defer any of his compensation in fiscal year 2023 or 2024.</w:t>
      </w:r>
    </w:p>
    <w:p>
      <w:pPr>
        <w:spacing w:after="0" w:line="229" w:lineRule="exact"/>
        <w:rPr>
          <w:sz w:val="20"/>
          <w:szCs w:val="20"/>
          <w:color w:val="auto"/>
        </w:rPr>
      </w:pPr>
    </w:p>
    <w:p>
      <w:pPr>
        <w:spacing w:after="0"/>
        <w:rPr>
          <w:sz w:val="20"/>
          <w:szCs w:val="20"/>
          <w:color w:val="auto"/>
        </w:rPr>
      </w:pPr>
      <w:r>
        <w:rPr>
          <w:rFonts w:ascii="Arial" w:cs="Arial" w:eastAsia="Arial" w:hAnsi="Arial"/>
          <w:sz w:val="32"/>
          <w:szCs w:val="32"/>
          <w:b w:val="1"/>
          <w:bCs w:val="1"/>
          <w:color w:val="auto"/>
        </w:rPr>
        <w:t>Termination and Change in Control Benefits</w:t>
      </w:r>
    </w:p>
    <w:p>
      <w:pPr>
        <w:spacing w:after="0" w:line="213" w:lineRule="exact"/>
        <w:rPr>
          <w:sz w:val="20"/>
          <w:szCs w:val="20"/>
          <w:color w:val="auto"/>
        </w:rPr>
      </w:pPr>
    </w:p>
    <w:p>
      <w:pPr>
        <w:spacing w:after="0"/>
        <w:rPr>
          <w:sz w:val="20"/>
          <w:szCs w:val="20"/>
          <w:color w:val="auto"/>
        </w:rPr>
      </w:pPr>
      <w:r>
        <w:rPr>
          <w:rFonts w:ascii="Arial" w:cs="Arial" w:eastAsia="Arial" w:hAnsi="Arial"/>
          <w:sz w:val="27"/>
          <w:szCs w:val="27"/>
          <w:b w:val="1"/>
          <w:bCs w:val="1"/>
          <w:color w:val="0067B3"/>
        </w:rPr>
        <w:t>Change in Control</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ADI Retention Agreements</w:t>
      </w:r>
    </w:p>
    <w:p>
      <w:pPr>
        <w:spacing w:after="0" w:line="117" w:lineRule="exact"/>
        <w:rPr>
          <w:sz w:val="20"/>
          <w:szCs w:val="20"/>
          <w:color w:val="auto"/>
        </w:rPr>
      </w:pPr>
    </w:p>
    <w:p>
      <w:pPr>
        <w:ind w:right="300"/>
        <w:spacing w:after="0" w:line="287" w:lineRule="auto"/>
        <w:rPr>
          <w:sz w:val="20"/>
          <w:szCs w:val="20"/>
          <w:color w:val="auto"/>
        </w:rPr>
      </w:pPr>
      <w:r>
        <w:rPr>
          <w:rFonts w:ascii="Arial" w:cs="Arial" w:eastAsia="Arial" w:hAnsi="Arial"/>
          <w:sz w:val="18"/>
          <w:szCs w:val="18"/>
          <w:color w:val="auto"/>
        </w:rPr>
        <w:t>We have entered into ADI Retention Agreements with each of our executive officers. The ADI Retention Agreements entered into with our executive officers provide for severance benefits if any of the following occurs:</w:t>
      </w:r>
    </w:p>
    <w:p>
      <w:pPr>
        <w:spacing w:after="0" w:line="45" w:lineRule="exact"/>
        <w:rPr>
          <w:sz w:val="20"/>
          <w:szCs w:val="20"/>
          <w:color w:val="auto"/>
        </w:rPr>
      </w:pPr>
    </w:p>
    <w:p>
      <w:pPr>
        <w:ind w:left="200" w:right="160" w:hanging="192"/>
        <w:spacing w:after="0" w:line="287" w:lineRule="auto"/>
        <w:tabs>
          <w:tab w:leader="none" w:pos="157" w:val="left"/>
        </w:tabs>
        <w:numPr>
          <w:ilvl w:val="0"/>
          <w:numId w:val="122"/>
        </w:numPr>
        <w:rPr>
          <w:rFonts w:ascii="Arial" w:cs="Arial" w:eastAsia="Arial" w:hAnsi="Arial"/>
          <w:sz w:val="13"/>
          <w:szCs w:val="13"/>
          <w:color w:val="0067B3"/>
        </w:rPr>
      </w:pPr>
      <w:r>
        <w:rPr>
          <w:rFonts w:ascii="Arial" w:cs="Arial" w:eastAsia="Arial" w:hAnsi="Arial"/>
          <w:sz w:val="18"/>
          <w:szCs w:val="18"/>
          <w:color w:val="auto"/>
        </w:rPr>
        <w:t>Within 24 months after a change in control (as defined in each agreement) that was approved by our Board of Directors, we terminate the employee’s employment with us for a reason other than “cause” (as defined in the agreement) or the employee’s death or disability;</w:t>
      </w:r>
    </w:p>
    <w:p>
      <w:pPr>
        <w:spacing w:after="0" w:line="4" w:lineRule="exact"/>
        <w:rPr>
          <w:rFonts w:ascii="Arial" w:cs="Arial" w:eastAsia="Arial" w:hAnsi="Arial"/>
          <w:sz w:val="13"/>
          <w:szCs w:val="13"/>
          <w:color w:val="0067B3"/>
        </w:rPr>
      </w:pPr>
    </w:p>
    <w:p>
      <w:pPr>
        <w:ind w:left="200" w:right="240" w:hanging="192"/>
        <w:spacing w:after="0" w:line="287" w:lineRule="auto"/>
        <w:tabs>
          <w:tab w:leader="none" w:pos="157" w:val="left"/>
        </w:tabs>
        <w:numPr>
          <w:ilvl w:val="0"/>
          <w:numId w:val="122"/>
        </w:numPr>
        <w:rPr>
          <w:rFonts w:ascii="Arial" w:cs="Arial" w:eastAsia="Arial" w:hAnsi="Arial"/>
          <w:sz w:val="13"/>
          <w:szCs w:val="13"/>
          <w:color w:val="0067B3"/>
        </w:rPr>
      </w:pPr>
      <w:r>
        <w:rPr>
          <w:rFonts w:ascii="Arial" w:cs="Arial" w:eastAsia="Arial" w:hAnsi="Arial"/>
          <w:sz w:val="18"/>
          <w:szCs w:val="18"/>
          <w:color w:val="auto"/>
        </w:rPr>
        <w:t>Within 24 months after a change in control that was approved by our Board of Directors, the employee terminates his or her employment for “good reason” (as defined in the agreement); or</w:t>
      </w:r>
    </w:p>
    <w:p>
      <w:pPr>
        <w:spacing w:after="0" w:line="4" w:lineRule="exact"/>
        <w:rPr>
          <w:rFonts w:ascii="Arial" w:cs="Arial" w:eastAsia="Arial" w:hAnsi="Arial"/>
          <w:sz w:val="13"/>
          <w:szCs w:val="13"/>
          <w:color w:val="0067B3"/>
        </w:rPr>
      </w:pPr>
    </w:p>
    <w:p>
      <w:pPr>
        <w:ind w:left="200" w:right="20" w:hanging="192"/>
        <w:spacing w:after="0" w:line="287" w:lineRule="auto"/>
        <w:tabs>
          <w:tab w:leader="none" w:pos="157" w:val="left"/>
        </w:tabs>
        <w:numPr>
          <w:ilvl w:val="0"/>
          <w:numId w:val="122"/>
        </w:numPr>
        <w:rPr>
          <w:rFonts w:ascii="Arial" w:cs="Arial" w:eastAsia="Arial" w:hAnsi="Arial"/>
          <w:sz w:val="13"/>
          <w:szCs w:val="13"/>
          <w:color w:val="0067B3"/>
        </w:rPr>
      </w:pPr>
      <w:r>
        <w:rPr>
          <w:rFonts w:ascii="Arial" w:cs="Arial" w:eastAsia="Arial" w:hAnsi="Arial"/>
          <w:sz w:val="18"/>
          <w:szCs w:val="18"/>
          <w:color w:val="auto"/>
        </w:rPr>
        <w:t>Within 12 months after a change in control that was not approved by our Board of Directors, we or the employee terminates the employee’s employment with us for a reason other than “cause” (as defined in the agreement) or the employee’s death or disability.</w:t>
      </w:r>
    </w:p>
    <w:p>
      <w:pPr>
        <w:spacing w:after="0" w:line="45" w:lineRule="exact"/>
        <w:rPr>
          <w:sz w:val="20"/>
          <w:szCs w:val="20"/>
          <w:color w:val="auto"/>
        </w:rPr>
      </w:pPr>
    </w:p>
    <w:p>
      <w:pPr>
        <w:spacing w:after="0"/>
        <w:rPr>
          <w:sz w:val="20"/>
          <w:szCs w:val="20"/>
          <w:color w:val="auto"/>
        </w:rPr>
      </w:pPr>
      <w:r>
        <w:rPr>
          <w:rFonts w:ascii="Arial" w:cs="Arial" w:eastAsia="Arial" w:hAnsi="Arial"/>
          <w:sz w:val="18"/>
          <w:szCs w:val="18"/>
          <w:color w:val="auto"/>
        </w:rPr>
        <w:t>For purposes of our ADI Retention Agreements, a “change in control” occurs when:</w:t>
      </w:r>
    </w:p>
    <w:p>
      <w:pPr>
        <w:spacing w:after="0" w:line="117" w:lineRule="exact"/>
        <w:rPr>
          <w:sz w:val="20"/>
          <w:szCs w:val="20"/>
          <w:color w:val="auto"/>
        </w:rPr>
      </w:pPr>
    </w:p>
    <w:p>
      <w:pPr>
        <w:ind w:left="160" w:hanging="152"/>
        <w:spacing w:after="0"/>
        <w:tabs>
          <w:tab w:leader="none" w:pos="160" w:val="left"/>
        </w:tabs>
        <w:numPr>
          <w:ilvl w:val="0"/>
          <w:numId w:val="123"/>
        </w:numPr>
        <w:rPr>
          <w:rFonts w:ascii="Arial" w:cs="Arial" w:eastAsia="Arial" w:hAnsi="Arial"/>
          <w:sz w:val="13"/>
          <w:szCs w:val="13"/>
          <w:color w:val="0067B3"/>
        </w:rPr>
      </w:pPr>
      <w:r>
        <w:rPr>
          <w:rFonts w:ascii="Arial" w:cs="Arial" w:eastAsia="Arial" w:hAnsi="Arial"/>
          <w:sz w:val="18"/>
          <w:szCs w:val="18"/>
          <w:color w:val="auto"/>
        </w:rPr>
        <w:t>Any person or entity becomes the beneficial owner of 30% or more of the combined voting power of our outstanding securities;</w:t>
      </w:r>
    </w:p>
    <w:p>
      <w:pPr>
        <w:spacing w:after="0" w:line="90" w:lineRule="exact"/>
        <w:rPr>
          <w:rFonts w:ascii="Arial" w:cs="Arial" w:eastAsia="Arial" w:hAnsi="Arial"/>
          <w:sz w:val="13"/>
          <w:szCs w:val="13"/>
          <w:color w:val="0067B3"/>
        </w:rPr>
      </w:pPr>
    </w:p>
    <w:p>
      <w:pPr>
        <w:ind w:left="160" w:hanging="152"/>
        <w:spacing w:after="0"/>
        <w:tabs>
          <w:tab w:leader="none" w:pos="160" w:val="left"/>
        </w:tabs>
        <w:numPr>
          <w:ilvl w:val="0"/>
          <w:numId w:val="123"/>
        </w:numPr>
        <w:rPr>
          <w:rFonts w:ascii="Arial" w:cs="Arial" w:eastAsia="Arial" w:hAnsi="Arial"/>
          <w:sz w:val="13"/>
          <w:szCs w:val="13"/>
          <w:color w:val="0067B3"/>
        </w:rPr>
      </w:pPr>
      <w:r>
        <w:rPr>
          <w:rFonts w:ascii="Arial" w:cs="Arial" w:eastAsia="Arial" w:hAnsi="Arial"/>
          <w:sz w:val="18"/>
          <w:szCs w:val="18"/>
          <w:color w:val="auto"/>
        </w:rPr>
        <w:t>Our shareholders approve specified mergers of ADI with another entity; or</w:t>
      </w:r>
    </w:p>
    <w:p>
      <w:pPr>
        <w:spacing w:after="0" w:line="76" w:lineRule="exact"/>
        <w:rPr>
          <w:rFonts w:ascii="Arial" w:cs="Arial" w:eastAsia="Arial" w:hAnsi="Arial"/>
          <w:sz w:val="13"/>
          <w:szCs w:val="13"/>
          <w:color w:val="0067B3"/>
        </w:rPr>
      </w:pPr>
    </w:p>
    <w:p>
      <w:pPr>
        <w:ind w:left="160" w:hanging="152"/>
        <w:spacing w:after="0"/>
        <w:tabs>
          <w:tab w:leader="none" w:pos="160" w:val="left"/>
        </w:tabs>
        <w:numPr>
          <w:ilvl w:val="0"/>
          <w:numId w:val="123"/>
        </w:numPr>
        <w:rPr>
          <w:rFonts w:ascii="Arial" w:cs="Arial" w:eastAsia="Arial" w:hAnsi="Arial"/>
          <w:sz w:val="13"/>
          <w:szCs w:val="13"/>
          <w:color w:val="0067B3"/>
        </w:rPr>
      </w:pPr>
      <w:r>
        <w:rPr>
          <w:rFonts w:ascii="Arial" w:cs="Arial" w:eastAsia="Arial" w:hAnsi="Arial"/>
          <w:sz w:val="18"/>
          <w:szCs w:val="18"/>
          <w:color w:val="auto"/>
        </w:rPr>
        <w:t>Our shareholders approve a plan of liquidation or sale of all, or substantially all, of ADI’s assets.</w:t>
      </w:r>
    </w:p>
    <w:p>
      <w:pPr>
        <w:sectPr>
          <w:pgSz w:w="11900" w:h="16838" w:orient="portrait"/>
          <w:cols w:equalWidth="0" w:num="1">
            <w:col w:w="11240"/>
          </w:cols>
          <w:pgMar w:left="320" w:top="1174" w:right="339" w:bottom="1440" w:gutter="0" w:footer="0" w:header="0"/>
        </w:sectPr>
      </w:pPr>
    </w:p>
    <w:p>
      <w:pPr>
        <w:spacing w:after="0" w:line="200" w:lineRule="exact"/>
        <w:rPr>
          <w:sz w:val="20"/>
          <w:szCs w:val="20"/>
          <w:color w:val="auto"/>
        </w:rPr>
      </w:pPr>
    </w:p>
    <w:p>
      <w:pPr>
        <w:spacing w:after="0" w:line="250" w:lineRule="exact"/>
        <w:rPr>
          <w:sz w:val="20"/>
          <w:szCs w:val="20"/>
          <w:color w:val="auto"/>
        </w:rPr>
      </w:pPr>
    </w:p>
    <w:p>
      <w:pPr>
        <w:ind w:left="8980"/>
        <w:spacing w:after="0"/>
        <w:tabs>
          <w:tab w:leader="none" w:pos="10980" w:val="left"/>
        </w:tabs>
        <w:rPr>
          <w:sz w:val="20"/>
          <w:szCs w:val="20"/>
          <w:color w:val="auto"/>
        </w:rPr>
      </w:pPr>
      <w:r>
        <w:rPr>
          <w:rFonts w:ascii="Arial" w:cs="Arial" w:eastAsia="Arial" w:hAnsi="Arial"/>
          <w:sz w:val="16"/>
          <w:szCs w:val="16"/>
          <w:color w:val="0067B3"/>
        </w:rPr>
        <w:t>2026 Proxy Statement</w:t>
      </w:r>
      <w:r>
        <w:rPr>
          <w:sz w:val="20"/>
          <w:szCs w:val="20"/>
          <w:color w:val="auto"/>
        </w:rPr>
        <w:tab/>
      </w:r>
      <w:r>
        <w:rPr>
          <w:rFonts w:ascii="Arial" w:cs="Arial" w:eastAsia="Arial" w:hAnsi="Arial"/>
          <w:sz w:val="19"/>
          <w:szCs w:val="19"/>
          <w:b w:val="1"/>
          <w:bCs w:val="1"/>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232410</wp:posOffset>
            </wp:positionV>
            <wp:extent cx="7157720" cy="42545"/>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4" w:right="339" w:bottom="1440" w:gutter="0" w:footer="0" w:header="0"/>
          <w:type w:val="continuous"/>
        </w:sectPr>
      </w:pPr>
    </w:p>
    <w:bookmarkStart w:id="73" w:name="page74"/>
    <w:bookmarkEnd w:id="73"/>
    <w:p>
      <w:pPr>
        <w:spacing w:after="0"/>
        <w:rPr>
          <w:sz w:val="20"/>
          <w:szCs w:val="20"/>
          <w:color w:val="auto"/>
        </w:rPr>
      </w:pPr>
      <w:r>
        <w:rPr>
          <w:rFonts w:ascii="Arial" w:cs="Arial" w:eastAsia="Arial" w:hAnsi="Arial"/>
          <w:sz w:val="18"/>
          <w:szCs w:val="18"/>
          <w:color w:val="auto"/>
        </w:rPr>
        <w:t>These agreements provide for the following severance benefits in the event of termination following a change in control approved by the</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Board of Directors:</w:t>
      </w:r>
    </w:p>
    <w:p>
      <w:pPr>
        <w:spacing w:after="0" w:line="99" w:lineRule="exact"/>
        <w:rPr>
          <w:sz w:val="20"/>
          <w:szCs w:val="20"/>
          <w:color w:val="auto"/>
        </w:rPr>
      </w:pPr>
    </w:p>
    <w:p>
      <w:pPr>
        <w:ind w:left="200" w:right="40" w:hanging="192"/>
        <w:spacing w:after="0" w:line="262" w:lineRule="auto"/>
        <w:tabs>
          <w:tab w:leader="none" w:pos="157" w:val="left"/>
        </w:tabs>
        <w:numPr>
          <w:ilvl w:val="0"/>
          <w:numId w:val="124"/>
        </w:numPr>
        <w:rPr>
          <w:rFonts w:ascii="Arial" w:cs="Arial" w:eastAsia="Arial" w:hAnsi="Arial"/>
          <w:sz w:val="13"/>
          <w:szCs w:val="13"/>
          <w:color w:val="0067B3"/>
        </w:rPr>
      </w:pPr>
      <w:r>
        <w:rPr>
          <w:rFonts w:ascii="Arial" w:cs="Arial" w:eastAsia="Arial" w:hAnsi="Arial"/>
          <w:sz w:val="18"/>
          <w:szCs w:val="18"/>
          <w:color w:val="auto"/>
        </w:rPr>
        <w:t>A lump-sum payment equal to 200% (299% in the case of Messrs. Roche, Puccio, Cotter, and Jain and Dr. Nakamura) of the sum of the employee’s annual base salary (as of the date of termination or the date of the change in control, whichever is higher) plus 200% (299% in the case of Messrs. Roche, Puccio, Cotter, and Jain and Dr. Nakamura) of the total variable cash incentive paid or awarded to him or her in the four fiscal quarters preceding his or her termination;</w:t>
      </w:r>
    </w:p>
    <w:p>
      <w:pPr>
        <w:spacing w:after="0" w:line="41" w:lineRule="exact"/>
        <w:rPr>
          <w:rFonts w:ascii="Arial" w:cs="Arial" w:eastAsia="Arial" w:hAnsi="Arial"/>
          <w:sz w:val="13"/>
          <w:szCs w:val="13"/>
          <w:color w:val="0067B3"/>
        </w:rPr>
      </w:pPr>
    </w:p>
    <w:p>
      <w:pPr>
        <w:ind w:left="200" w:right="200" w:hanging="192"/>
        <w:spacing w:after="0" w:line="262" w:lineRule="auto"/>
        <w:tabs>
          <w:tab w:leader="none" w:pos="157" w:val="left"/>
        </w:tabs>
        <w:numPr>
          <w:ilvl w:val="0"/>
          <w:numId w:val="124"/>
        </w:numPr>
        <w:rPr>
          <w:rFonts w:ascii="Arial" w:cs="Arial" w:eastAsia="Arial" w:hAnsi="Arial"/>
          <w:sz w:val="13"/>
          <w:szCs w:val="13"/>
          <w:color w:val="0067B3"/>
        </w:rPr>
      </w:pPr>
      <w:r>
        <w:rPr>
          <w:rFonts w:ascii="Arial" w:cs="Arial" w:eastAsia="Arial" w:hAnsi="Arial"/>
          <w:sz w:val="18"/>
          <w:szCs w:val="18"/>
          <w:color w:val="auto"/>
        </w:rPr>
        <w:t>Payment of all legal fees and expenses incurred by the employee as a result of such termination (including all such fees and expenses, if any, incurred in disputing such termination or in seeking to obtain or enforce any right or benefit provided by the agreement or in connection with tax audit or proceeding to the extent attributable to the application of Section 4999 of the Internal Revenue Code to any payment or benefit provided under the agreement); and</w:t>
      </w:r>
    </w:p>
    <w:p>
      <w:pPr>
        <w:spacing w:after="0" w:line="27" w:lineRule="exact"/>
        <w:rPr>
          <w:rFonts w:ascii="Arial" w:cs="Arial" w:eastAsia="Arial" w:hAnsi="Arial"/>
          <w:sz w:val="13"/>
          <w:szCs w:val="13"/>
          <w:color w:val="0067B3"/>
        </w:rPr>
      </w:pPr>
    </w:p>
    <w:p>
      <w:pPr>
        <w:ind w:left="160" w:hanging="152"/>
        <w:spacing w:after="0"/>
        <w:tabs>
          <w:tab w:leader="none" w:pos="160" w:val="left"/>
        </w:tabs>
        <w:numPr>
          <w:ilvl w:val="0"/>
          <w:numId w:val="124"/>
        </w:numPr>
        <w:rPr>
          <w:rFonts w:ascii="Arial" w:cs="Arial" w:eastAsia="Arial" w:hAnsi="Arial"/>
          <w:sz w:val="13"/>
          <w:szCs w:val="13"/>
          <w:color w:val="0067B3"/>
        </w:rPr>
      </w:pPr>
      <w:r>
        <w:rPr>
          <w:rFonts w:ascii="Arial" w:cs="Arial" w:eastAsia="Arial" w:hAnsi="Arial"/>
          <w:sz w:val="18"/>
          <w:szCs w:val="18"/>
          <w:color w:val="auto"/>
        </w:rPr>
        <w:t>The continuation of life, disability, dental, accident and group health insurance benefits for a period of 24 months.</w:t>
      </w:r>
    </w:p>
    <w:p>
      <w:pPr>
        <w:spacing w:after="0" w:line="117"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If payments to the employee under his or her agreement (together with any other payments or benefits, including the accelerated vesting of stock options or restricted stock awards that the employee receives in connection with a change in control) would trigger the provisions of Sections 280G and 4999 of the Internal Revenue Code, the change in control employee retention agreements provide for the payment of an additional amount so that the employee receives, net of excise taxes, the amount he or she would have been entitled to receive in the absence of the excise tax imposed by Section 4999 of the Internal Revenue Code. In September 2009, our Compensation and Talent Committee eliminated this provision from any new employee retention agreements.</w:t>
      </w:r>
    </w:p>
    <w:p>
      <w:pPr>
        <w:spacing w:after="0" w:line="74" w:lineRule="exact"/>
        <w:rPr>
          <w:sz w:val="20"/>
          <w:szCs w:val="20"/>
          <w:color w:val="auto"/>
        </w:rPr>
      </w:pPr>
    </w:p>
    <w:p>
      <w:pPr>
        <w:jc w:val="both"/>
        <w:ind w:right="180"/>
        <w:spacing w:after="0" w:line="262" w:lineRule="auto"/>
        <w:rPr>
          <w:sz w:val="20"/>
          <w:szCs w:val="20"/>
          <w:color w:val="auto"/>
        </w:rPr>
      </w:pPr>
      <w:r>
        <w:rPr>
          <w:rFonts w:ascii="Arial" w:cs="Arial" w:eastAsia="Arial" w:hAnsi="Arial"/>
          <w:sz w:val="18"/>
          <w:szCs w:val="18"/>
          <w:color w:val="auto"/>
        </w:rPr>
        <w:t>The ADI Retention Agreement provides that, in the event of a potential change in control (as defined in the ADI Retention Agreement), the employee will not voluntarily resign as an employee, subject to certain conditions, for at least six months after the change in control occurs. The Compensation and Talent Committee reviews these agreements each year, and the agreements automatically renew each year unless we give the employee three months’ notice that his or her agreement will not be extended.</w:t>
      </w:r>
    </w:p>
    <w:p>
      <w:pPr>
        <w:spacing w:after="0" w:line="166" w:lineRule="exact"/>
        <w:rPr>
          <w:sz w:val="20"/>
          <w:szCs w:val="20"/>
          <w:color w:val="auto"/>
        </w:rPr>
      </w:pPr>
    </w:p>
    <w:p>
      <w:pPr>
        <w:spacing w:after="0"/>
        <w:rPr>
          <w:sz w:val="20"/>
          <w:szCs w:val="20"/>
          <w:color w:val="auto"/>
        </w:rPr>
      </w:pPr>
      <w:r>
        <w:rPr>
          <w:rFonts w:ascii="Arial" w:cs="Arial" w:eastAsia="Arial" w:hAnsi="Arial"/>
          <w:sz w:val="27"/>
          <w:szCs w:val="27"/>
          <w:b w:val="1"/>
          <w:bCs w:val="1"/>
          <w:color w:val="0067B3"/>
        </w:rPr>
        <w:t>Potential Payments Upon Change in Control</w:t>
      </w:r>
    </w:p>
    <w:p>
      <w:pPr>
        <w:spacing w:after="0" w:line="146"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 xml:space="preserve">Payments upon a change in control for our executive officers, including our NEOs, are calculated based upon the ADI Retention Agreements described above under </w:t>
      </w:r>
      <w:r>
        <w:rPr>
          <w:rFonts w:ascii="Arial" w:cs="Arial" w:eastAsia="Arial" w:hAnsi="Arial"/>
          <w:sz w:val="18"/>
          <w:szCs w:val="18"/>
          <w:i w:val="1"/>
          <w:iCs w:val="1"/>
          <w:color w:val="auto"/>
        </w:rPr>
        <w:t>Change in Control Benefits—Change in Control</w:t>
      </w:r>
      <w:r>
        <w:rPr>
          <w:rFonts w:ascii="Arial" w:cs="Arial" w:eastAsia="Arial" w:hAnsi="Arial"/>
          <w:sz w:val="18"/>
          <w:szCs w:val="18"/>
          <w:color w:val="auto"/>
        </w:rPr>
        <w:t>. Under our 2020 Plan, 2006 Plan, and 1996 Plan, in the event of a change in control, employees who have outstanding and unvested awards under either plan and who are employed on the closing of a change in control, including our NEOs, would have the vesting of one-half of the shares of common stock subject to their then-outstanding unvested equity awards accelerate and become immediately exercisable and free from forfeiture. The remaining one-half of the unvested equity awards would continue to vest in accordance with the original vesting schedules, and if, on or prior to the first anniversary of the change in control, his or her employment is terminated without cause or for good reason (as defined in the applicable plan) any remaining unvested equity awards would vest.</w:t>
      </w:r>
    </w:p>
    <w:p>
      <w:pPr>
        <w:spacing w:after="0" w:line="77"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Upon a change in control approved by our Board of Directors, if we terminate an executive officer’s employment for cause or if the executive officer terminates his or her employment other than for good reason, then the executive officer will receive his or her full base salary and all other compensation through the date of termination at the rate in effect at the time that the termination notice is given and we will have no further obligations to the executive officer. When the employment of an executive officer terminates in a situation that does not involve a change in control, the officer is entitled to receive the same benefits as any other terminating employee. This applies regardless of the reason for termination.</w:t>
      </w:r>
    </w:p>
    <w:p>
      <w:pPr>
        <w:spacing w:after="0" w:line="200" w:lineRule="exact"/>
        <w:rPr>
          <w:sz w:val="20"/>
          <w:szCs w:val="20"/>
          <w:color w:val="auto"/>
        </w:rPr>
      </w:pPr>
    </w:p>
    <w:p>
      <w:pPr>
        <w:spacing w:after="0" w:line="282" w:lineRule="exact"/>
        <w:rPr>
          <w:sz w:val="20"/>
          <w:szCs w:val="20"/>
          <w:color w:val="auto"/>
        </w:rPr>
      </w:pPr>
    </w:p>
    <w:p>
      <w:pPr>
        <w:ind w:left="640" w:hanging="614"/>
        <w:spacing w:after="0"/>
        <w:tabs>
          <w:tab w:leader="none" w:pos="640" w:val="left"/>
        </w:tabs>
        <w:numPr>
          <w:ilvl w:val="0"/>
          <w:numId w:val="125"/>
        </w:numPr>
        <w:rPr>
          <w:rFonts w:ascii="Arial" w:cs="Arial" w:eastAsia="Arial" w:hAnsi="Arial"/>
          <w:sz w:val="20"/>
          <w:szCs w:val="20"/>
          <w:b w:val="1"/>
          <w:bCs w:val="1"/>
          <w:color w:val="auto"/>
        </w:rPr>
      </w:pPr>
      <w:r>
        <w:rPr>
          <w:rFonts w:ascii="Arial" w:cs="Arial" w:eastAsia="Arial" w:hAnsi="Arial"/>
          <w:sz w:val="16"/>
          <w:szCs w:val="16"/>
          <w:color w:val="6D6E71"/>
        </w:rPr>
        <w:t>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194310</wp:posOffset>
            </wp:positionV>
            <wp:extent cx="7157720" cy="42545"/>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4" w:right="339" w:bottom="1440" w:gutter="0" w:footer="0" w:header="0"/>
        </w:sectPr>
      </w:pPr>
    </w:p>
    <w:bookmarkStart w:id="74" w:name="page75"/>
    <w:bookmarkEnd w:id="74"/>
    <w:p>
      <w:pPr>
        <w:spacing w:after="0"/>
        <w:rPr>
          <w:sz w:val="20"/>
          <w:szCs w:val="20"/>
          <w:color w:val="auto"/>
        </w:rPr>
      </w:pPr>
      <w:r>
        <w:rPr>
          <w:rFonts w:ascii="Arial" w:cs="Arial" w:eastAsia="Arial" w:hAnsi="Arial"/>
          <w:sz w:val="27"/>
          <w:szCs w:val="27"/>
          <w:b w:val="1"/>
          <w:bCs w:val="1"/>
          <w:color w:val="0067B3"/>
        </w:rPr>
        <w:t>Potential Payments Upon Termination, Death, or Disability</w:t>
      </w:r>
    </w:p>
    <w:p>
      <w:pPr>
        <w:spacing w:after="0" w:line="146"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Our equity award agreements provide that if an executive is terminated as a result of death or permanent disability, he or she would be entitled to acceleration of vesting of outstanding stock options, RSUs, and PRSUs. With respect to PRSUs, executives are entitled to the target number of shares subject to the PRSUs, unless the death or disability occurs after a performance measurement period with respect to such PRSU. In such instance, the executive would be entitled to the number of shares based on the level of achievement actually certified by the Compensation and Talent Committee for such PRSUs.</w:t>
      </w:r>
    </w:p>
    <w:p>
      <w:pPr>
        <w:spacing w:after="0" w:line="71" w:lineRule="exact"/>
        <w:rPr>
          <w:sz w:val="20"/>
          <w:szCs w:val="20"/>
          <w:color w:val="auto"/>
        </w:rPr>
      </w:pPr>
    </w:p>
    <w:p>
      <w:pPr>
        <w:ind w:right="140"/>
        <w:spacing w:after="0" w:line="256" w:lineRule="auto"/>
        <w:rPr>
          <w:sz w:val="20"/>
          <w:szCs w:val="20"/>
          <w:color w:val="auto"/>
        </w:rPr>
      </w:pPr>
      <w:r>
        <w:rPr>
          <w:rFonts w:ascii="Arial" w:cs="Arial" w:eastAsia="Arial" w:hAnsi="Arial"/>
          <w:sz w:val="18"/>
          <w:szCs w:val="18"/>
          <w:color w:val="auto"/>
        </w:rPr>
        <w:t xml:space="preserve">The following table quantifies the amounts that would be payable to the NEOs upon termination of their employment. The amounts shown assume that the terminations were effective on the last day of our fiscal year, or November 1, 2025. The tables do not include the accumulated benefit under our DCP that would be paid to our NEOs described above under </w:t>
      </w:r>
      <w:r>
        <w:rPr>
          <w:rFonts w:ascii="Arial" w:cs="Arial" w:eastAsia="Arial" w:hAnsi="Arial"/>
          <w:sz w:val="18"/>
          <w:szCs w:val="18"/>
          <w:i w:val="1"/>
          <w:iCs w:val="1"/>
          <w:color w:val="auto"/>
        </w:rPr>
        <w:t>Non-Qualified Deferred Compensation Plan</w:t>
      </w:r>
      <w:r>
        <w:rPr>
          <w:rFonts w:ascii="Arial" w:cs="Arial" w:eastAsia="Arial" w:hAnsi="Arial"/>
          <w:sz w:val="18"/>
          <w:szCs w:val="18"/>
          <w:color w:val="auto"/>
        </w:rPr>
        <w:t>, or any other employee benefits, except to the extent that the officer is entitled to an additional benefit as a result of the termination. In addition, the tables do not include the value of vested but unexercised stock options held by each executive as of November 1, 2025. The actual amounts that would be paid out would depend on which options were exercised and, therefore, can only be determined at the time of the executive officer’s termination of employment.</w:t>
      </w:r>
    </w:p>
    <w:p>
      <w:pPr>
        <w:spacing w:after="0" w:line="11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520" w:type="dxa"/>
            <w:vAlign w:val="bottom"/>
            <w:shd w:val="clear" w:color="auto" w:fill="0067B3"/>
          </w:tcPr>
          <w:p>
            <w:pPr>
              <w:spacing w:after="0"/>
              <w:rPr>
                <w:sz w:val="16"/>
                <w:szCs w:val="16"/>
                <w:color w:val="auto"/>
              </w:rPr>
            </w:pPr>
          </w:p>
        </w:tc>
        <w:tc>
          <w:tcPr>
            <w:tcW w:w="3020" w:type="dxa"/>
            <w:vAlign w:val="bottom"/>
            <w:gridSpan w:val="2"/>
            <w:shd w:val="clear" w:color="auto" w:fill="0067B3"/>
          </w:tcPr>
          <w:p>
            <w:pPr>
              <w:jc w:val="right"/>
              <w:spacing w:after="0"/>
              <w:rPr>
                <w:sz w:val="20"/>
                <w:szCs w:val="20"/>
                <w:color w:val="auto"/>
              </w:rPr>
            </w:pPr>
            <w:r>
              <w:rPr>
                <w:rFonts w:ascii="Arial" w:cs="Arial" w:eastAsia="Arial" w:hAnsi="Arial"/>
                <w:sz w:val="16"/>
                <w:szCs w:val="16"/>
                <w:b w:val="1"/>
                <w:bCs w:val="1"/>
                <w:color w:val="FFFFFF"/>
              </w:rPr>
              <w:t>Involuntary not for cause</w:t>
            </w:r>
          </w:p>
        </w:tc>
        <w:tc>
          <w:tcPr>
            <w:tcW w:w="360" w:type="dxa"/>
            <w:vAlign w:val="bottom"/>
            <w:shd w:val="clear" w:color="auto" w:fill="0067B3"/>
          </w:tcPr>
          <w:p>
            <w:pPr>
              <w:spacing w:after="0"/>
              <w:rPr>
                <w:sz w:val="16"/>
                <w:szCs w:val="16"/>
                <w:color w:val="auto"/>
              </w:rPr>
            </w:pPr>
          </w:p>
        </w:tc>
        <w:tc>
          <w:tcPr>
            <w:tcW w:w="1100" w:type="dxa"/>
            <w:vAlign w:val="bottom"/>
            <w:shd w:val="clear" w:color="auto" w:fill="0067B3"/>
          </w:tcPr>
          <w:p>
            <w:pPr>
              <w:spacing w:after="0"/>
              <w:rPr>
                <w:sz w:val="16"/>
                <w:szCs w:val="16"/>
                <w:color w:val="auto"/>
              </w:rPr>
            </w:pPr>
          </w:p>
        </w:tc>
        <w:tc>
          <w:tcPr>
            <w:tcW w:w="260" w:type="dxa"/>
            <w:vAlign w:val="bottom"/>
            <w:shd w:val="clear" w:color="auto" w:fill="0067B3"/>
          </w:tcPr>
          <w:p>
            <w:pPr>
              <w:spacing w:after="0"/>
              <w:rPr>
                <w:sz w:val="16"/>
                <w:szCs w:val="16"/>
                <w:color w:val="auto"/>
              </w:rPr>
            </w:pPr>
          </w:p>
        </w:tc>
        <w:tc>
          <w:tcPr>
            <w:tcW w:w="980" w:type="dxa"/>
            <w:vAlign w:val="bottom"/>
            <w:shd w:val="clear" w:color="auto" w:fill="0067B3"/>
          </w:tcPr>
          <w:p>
            <w:pPr>
              <w:spacing w:after="0"/>
              <w:rPr>
                <w:sz w:val="16"/>
                <w:szCs w:val="16"/>
                <w:color w:val="auto"/>
              </w:rPr>
            </w:pPr>
          </w:p>
        </w:tc>
      </w:tr>
      <w:tr>
        <w:trPr>
          <w:trHeight w:val="175"/>
        </w:trPr>
        <w:tc>
          <w:tcPr>
            <w:tcW w:w="5520" w:type="dxa"/>
            <w:vAlign w:val="bottom"/>
            <w:shd w:val="clear" w:color="auto" w:fill="0067B3"/>
          </w:tcPr>
          <w:p>
            <w:pPr>
              <w:spacing w:after="0"/>
              <w:rPr>
                <w:sz w:val="15"/>
                <w:szCs w:val="15"/>
                <w:color w:val="auto"/>
              </w:rPr>
            </w:pPr>
          </w:p>
        </w:tc>
        <w:tc>
          <w:tcPr>
            <w:tcW w:w="3020" w:type="dxa"/>
            <w:vAlign w:val="bottom"/>
            <w:gridSpan w:val="2"/>
            <w:shd w:val="clear" w:color="auto" w:fill="0067B3"/>
          </w:tcPr>
          <w:p>
            <w:pPr>
              <w:jc w:val="center"/>
              <w:ind w:left="711"/>
              <w:spacing w:after="0" w:line="175" w:lineRule="exact"/>
              <w:rPr>
                <w:sz w:val="20"/>
                <w:szCs w:val="20"/>
                <w:color w:val="auto"/>
              </w:rPr>
            </w:pPr>
            <w:r>
              <w:rPr>
                <w:rFonts w:ascii="Arial" w:cs="Arial" w:eastAsia="Arial" w:hAnsi="Arial"/>
                <w:sz w:val="16"/>
                <w:szCs w:val="16"/>
                <w:b w:val="1"/>
                <w:bCs w:val="1"/>
                <w:color w:val="FFFFFF"/>
              </w:rPr>
              <w:t>termination or good reason</w:t>
            </w:r>
          </w:p>
        </w:tc>
        <w:tc>
          <w:tcPr>
            <w:tcW w:w="360" w:type="dxa"/>
            <w:vAlign w:val="bottom"/>
            <w:shd w:val="clear" w:color="auto" w:fill="0067B3"/>
          </w:tcPr>
          <w:p>
            <w:pPr>
              <w:spacing w:after="0"/>
              <w:rPr>
                <w:sz w:val="15"/>
                <w:szCs w:val="15"/>
                <w:color w:val="auto"/>
              </w:rPr>
            </w:pPr>
          </w:p>
        </w:tc>
        <w:tc>
          <w:tcPr>
            <w:tcW w:w="1100" w:type="dxa"/>
            <w:vAlign w:val="bottom"/>
            <w:shd w:val="clear" w:color="auto" w:fill="0067B3"/>
          </w:tcPr>
          <w:p>
            <w:pPr>
              <w:spacing w:after="0"/>
              <w:rPr>
                <w:sz w:val="15"/>
                <w:szCs w:val="15"/>
                <w:color w:val="auto"/>
              </w:rPr>
            </w:pPr>
          </w:p>
        </w:tc>
        <w:tc>
          <w:tcPr>
            <w:tcW w:w="260" w:type="dxa"/>
            <w:vAlign w:val="bottom"/>
            <w:shd w:val="clear" w:color="auto" w:fill="0067B3"/>
          </w:tcPr>
          <w:p>
            <w:pPr>
              <w:spacing w:after="0"/>
              <w:rPr>
                <w:sz w:val="15"/>
                <w:szCs w:val="15"/>
                <w:color w:val="auto"/>
              </w:rPr>
            </w:pPr>
          </w:p>
        </w:tc>
        <w:tc>
          <w:tcPr>
            <w:tcW w:w="980" w:type="dxa"/>
            <w:vAlign w:val="bottom"/>
            <w:shd w:val="clear" w:color="auto" w:fill="0067B3"/>
          </w:tcPr>
          <w:p>
            <w:pPr>
              <w:spacing w:after="0"/>
              <w:rPr>
                <w:sz w:val="15"/>
                <w:szCs w:val="15"/>
                <w:color w:val="auto"/>
              </w:rPr>
            </w:pPr>
          </w:p>
        </w:tc>
      </w:tr>
      <w:tr>
        <w:trPr>
          <w:trHeight w:val="189"/>
        </w:trPr>
        <w:tc>
          <w:tcPr>
            <w:tcW w:w="5520" w:type="dxa"/>
            <w:vAlign w:val="bottom"/>
            <w:shd w:val="clear" w:color="auto" w:fill="0067B3"/>
          </w:tcPr>
          <w:p>
            <w:pPr>
              <w:spacing w:after="0"/>
              <w:rPr>
                <w:sz w:val="16"/>
                <w:szCs w:val="16"/>
                <w:color w:val="auto"/>
              </w:rPr>
            </w:pPr>
          </w:p>
        </w:tc>
        <w:tc>
          <w:tcPr>
            <w:tcW w:w="3020" w:type="dxa"/>
            <w:vAlign w:val="bottom"/>
            <w:gridSpan w:val="2"/>
            <w:shd w:val="clear" w:color="auto" w:fill="0067B3"/>
          </w:tcPr>
          <w:p>
            <w:pPr>
              <w:jc w:val="center"/>
              <w:ind w:left="711"/>
              <w:spacing w:after="0"/>
              <w:rPr>
                <w:sz w:val="20"/>
                <w:szCs w:val="20"/>
                <w:color w:val="auto"/>
              </w:rPr>
            </w:pPr>
            <w:r>
              <w:rPr>
                <w:rFonts w:ascii="Arial" w:cs="Arial" w:eastAsia="Arial" w:hAnsi="Arial"/>
                <w:sz w:val="16"/>
                <w:szCs w:val="16"/>
                <w:b w:val="1"/>
                <w:bCs w:val="1"/>
                <w:color w:val="FFFFFF"/>
              </w:rPr>
              <w:t>following change in control</w:t>
            </w:r>
          </w:p>
        </w:tc>
        <w:tc>
          <w:tcPr>
            <w:tcW w:w="360" w:type="dxa"/>
            <w:vAlign w:val="bottom"/>
            <w:shd w:val="clear" w:color="auto" w:fill="0067B3"/>
          </w:tcPr>
          <w:p>
            <w:pPr>
              <w:spacing w:after="0"/>
              <w:rPr>
                <w:sz w:val="16"/>
                <w:szCs w:val="16"/>
                <w:color w:val="auto"/>
              </w:rPr>
            </w:pPr>
          </w:p>
        </w:tc>
        <w:tc>
          <w:tcPr>
            <w:tcW w:w="1100" w:type="dxa"/>
            <w:vAlign w:val="bottom"/>
            <w:shd w:val="clear" w:color="auto" w:fill="0067B3"/>
          </w:tcPr>
          <w:p>
            <w:pPr>
              <w:jc w:val="right"/>
              <w:ind w:right="91"/>
              <w:spacing w:after="0"/>
              <w:rPr>
                <w:sz w:val="20"/>
                <w:szCs w:val="20"/>
                <w:color w:val="auto"/>
              </w:rPr>
            </w:pPr>
            <w:r>
              <w:rPr>
                <w:rFonts w:ascii="Arial" w:cs="Arial" w:eastAsia="Arial" w:hAnsi="Arial"/>
                <w:sz w:val="16"/>
                <w:szCs w:val="16"/>
                <w:b w:val="1"/>
                <w:bCs w:val="1"/>
                <w:color w:val="FFFFFF"/>
              </w:rPr>
              <w:t>Death</w:t>
            </w:r>
          </w:p>
        </w:tc>
        <w:tc>
          <w:tcPr>
            <w:tcW w:w="260" w:type="dxa"/>
            <w:vAlign w:val="bottom"/>
            <w:shd w:val="clear" w:color="auto" w:fill="0067B3"/>
          </w:tcPr>
          <w:p>
            <w:pPr>
              <w:spacing w:after="0"/>
              <w:rPr>
                <w:sz w:val="16"/>
                <w:szCs w:val="16"/>
                <w:color w:val="auto"/>
              </w:rPr>
            </w:pPr>
          </w:p>
        </w:tc>
        <w:tc>
          <w:tcPr>
            <w:tcW w:w="980" w:type="dxa"/>
            <w:vAlign w:val="bottom"/>
            <w:shd w:val="clear" w:color="auto" w:fill="0067B3"/>
          </w:tcPr>
          <w:p>
            <w:pPr>
              <w:jc w:val="right"/>
              <w:spacing w:after="0"/>
              <w:rPr>
                <w:sz w:val="20"/>
                <w:szCs w:val="20"/>
                <w:color w:val="auto"/>
              </w:rPr>
            </w:pPr>
            <w:r>
              <w:rPr>
                <w:rFonts w:ascii="Arial" w:cs="Arial" w:eastAsia="Arial" w:hAnsi="Arial"/>
                <w:sz w:val="16"/>
                <w:szCs w:val="16"/>
                <w:b w:val="1"/>
                <w:bCs w:val="1"/>
                <w:color w:val="FFFFFF"/>
              </w:rPr>
              <w:t>Disability</w:t>
            </w:r>
          </w:p>
        </w:tc>
      </w:tr>
      <w:tr>
        <w:trPr>
          <w:trHeight w:val="230"/>
        </w:trPr>
        <w:tc>
          <w:tcPr>
            <w:tcW w:w="5520" w:type="dxa"/>
            <w:vAlign w:val="bottom"/>
            <w:shd w:val="clear" w:color="auto" w:fill="0067B3"/>
          </w:tcPr>
          <w:p>
            <w:pPr>
              <w:spacing w:after="0"/>
              <w:rPr>
                <w:sz w:val="20"/>
                <w:szCs w:val="20"/>
                <w:color w:val="auto"/>
              </w:rPr>
            </w:pPr>
          </w:p>
        </w:tc>
        <w:tc>
          <w:tcPr>
            <w:tcW w:w="1940" w:type="dxa"/>
            <w:vAlign w:val="bottom"/>
            <w:shd w:val="clear" w:color="auto" w:fill="0067B3"/>
          </w:tcPr>
          <w:p>
            <w:pPr>
              <w:spacing w:after="0"/>
              <w:rPr>
                <w:sz w:val="20"/>
                <w:szCs w:val="20"/>
                <w:color w:val="auto"/>
              </w:rPr>
            </w:pPr>
          </w:p>
        </w:tc>
        <w:tc>
          <w:tcPr>
            <w:tcW w:w="1080" w:type="dxa"/>
            <w:vAlign w:val="bottom"/>
            <w:shd w:val="clear" w:color="auto" w:fill="0067B3"/>
          </w:tcPr>
          <w:p>
            <w:pPr>
              <w:jc w:val="right"/>
              <w:spacing w:after="0"/>
              <w:rPr>
                <w:sz w:val="20"/>
                <w:szCs w:val="20"/>
                <w:color w:val="auto"/>
              </w:rPr>
            </w:pPr>
            <w:r>
              <w:rPr>
                <w:rFonts w:ascii="Arial" w:cs="Arial" w:eastAsia="Arial" w:hAnsi="Arial"/>
                <w:sz w:val="16"/>
                <w:szCs w:val="16"/>
                <w:b w:val="1"/>
                <w:bCs w:val="1"/>
                <w:color w:val="FFFFFF"/>
              </w:rPr>
              <w:t>($)</w:t>
            </w:r>
          </w:p>
        </w:tc>
        <w:tc>
          <w:tcPr>
            <w:tcW w:w="360" w:type="dxa"/>
            <w:vAlign w:val="bottom"/>
            <w:shd w:val="clear" w:color="auto" w:fill="0067B3"/>
          </w:tcPr>
          <w:p>
            <w:pPr>
              <w:spacing w:after="0"/>
              <w:rPr>
                <w:sz w:val="20"/>
                <w:szCs w:val="20"/>
                <w:color w:val="auto"/>
              </w:rPr>
            </w:pPr>
          </w:p>
        </w:tc>
        <w:tc>
          <w:tcPr>
            <w:tcW w:w="1100" w:type="dxa"/>
            <w:vAlign w:val="bottom"/>
            <w:shd w:val="clear" w:color="auto" w:fill="0067B3"/>
          </w:tcPr>
          <w:p>
            <w:pPr>
              <w:jc w:val="right"/>
              <w:ind w:right="31"/>
              <w:spacing w:after="0"/>
              <w:rPr>
                <w:sz w:val="20"/>
                <w:szCs w:val="20"/>
                <w:color w:val="auto"/>
              </w:rPr>
            </w:pPr>
            <w:r>
              <w:rPr>
                <w:rFonts w:ascii="Arial" w:cs="Arial" w:eastAsia="Arial" w:hAnsi="Arial"/>
                <w:sz w:val="16"/>
                <w:szCs w:val="16"/>
                <w:b w:val="1"/>
                <w:bCs w:val="1"/>
                <w:color w:val="FFFFFF"/>
              </w:rPr>
              <w:t>($)</w:t>
            </w:r>
          </w:p>
        </w:tc>
        <w:tc>
          <w:tcPr>
            <w:tcW w:w="260" w:type="dxa"/>
            <w:vAlign w:val="bottom"/>
            <w:shd w:val="clear" w:color="auto" w:fill="0067B3"/>
          </w:tcPr>
          <w:p>
            <w:pPr>
              <w:spacing w:after="0"/>
              <w:rPr>
                <w:sz w:val="20"/>
                <w:szCs w:val="20"/>
                <w:color w:val="auto"/>
              </w:rPr>
            </w:pPr>
          </w:p>
        </w:tc>
        <w:tc>
          <w:tcPr>
            <w:tcW w:w="980" w:type="dxa"/>
            <w:vAlign w:val="bottom"/>
            <w:shd w:val="clear" w:color="auto" w:fill="0067B3"/>
          </w:tcPr>
          <w:p>
            <w:pPr>
              <w:jc w:val="right"/>
              <w:spacing w:after="0"/>
              <w:rPr>
                <w:sz w:val="20"/>
                <w:szCs w:val="20"/>
                <w:color w:val="auto"/>
              </w:rPr>
            </w:pPr>
            <w:r>
              <w:rPr>
                <w:rFonts w:ascii="Arial" w:cs="Arial" w:eastAsia="Arial" w:hAnsi="Arial"/>
                <w:sz w:val="16"/>
                <w:szCs w:val="16"/>
                <w:b w:val="1"/>
                <w:bCs w:val="1"/>
                <w:color w:val="FFFFFF"/>
              </w:rPr>
              <w:t>($)</w:t>
            </w:r>
          </w:p>
        </w:tc>
      </w:tr>
      <w:tr>
        <w:trPr>
          <w:trHeight w:val="236"/>
        </w:trPr>
        <w:tc>
          <w:tcPr>
            <w:tcW w:w="5520" w:type="dxa"/>
            <w:vAlign w:val="bottom"/>
            <w:shd w:val="clear" w:color="auto" w:fill="E2E6F4"/>
          </w:tcPr>
          <w:p>
            <w:pPr>
              <w:ind w:left="20"/>
              <w:spacing w:after="0"/>
              <w:rPr>
                <w:sz w:val="20"/>
                <w:szCs w:val="20"/>
                <w:color w:val="auto"/>
              </w:rPr>
            </w:pPr>
            <w:r>
              <w:rPr>
                <w:rFonts w:ascii="Arial" w:cs="Arial" w:eastAsia="Arial" w:hAnsi="Arial"/>
                <w:sz w:val="16"/>
                <w:szCs w:val="16"/>
                <w:b w:val="1"/>
                <w:bCs w:val="1"/>
                <w:color w:val="0067B3"/>
              </w:rPr>
              <w:t>Vincent Roche</w:t>
            </w:r>
          </w:p>
        </w:tc>
        <w:tc>
          <w:tcPr>
            <w:tcW w:w="1940" w:type="dxa"/>
            <w:vAlign w:val="bottom"/>
            <w:shd w:val="clear" w:color="auto" w:fill="E2E6F4"/>
          </w:tcPr>
          <w:p>
            <w:pPr>
              <w:spacing w:after="0"/>
              <w:rPr>
                <w:sz w:val="20"/>
                <w:szCs w:val="20"/>
                <w:color w:val="auto"/>
              </w:rPr>
            </w:pPr>
          </w:p>
        </w:tc>
        <w:tc>
          <w:tcPr>
            <w:tcW w:w="1080" w:type="dxa"/>
            <w:vAlign w:val="bottom"/>
            <w:shd w:val="clear" w:color="auto" w:fill="E2E6F4"/>
          </w:tcPr>
          <w:p>
            <w:pPr>
              <w:spacing w:after="0"/>
              <w:rPr>
                <w:sz w:val="20"/>
                <w:szCs w:val="20"/>
                <w:color w:val="auto"/>
              </w:rPr>
            </w:pPr>
          </w:p>
        </w:tc>
        <w:tc>
          <w:tcPr>
            <w:tcW w:w="360" w:type="dxa"/>
            <w:vAlign w:val="bottom"/>
            <w:shd w:val="clear" w:color="auto" w:fill="E2E6F4"/>
          </w:tcPr>
          <w:p>
            <w:pPr>
              <w:spacing w:after="0"/>
              <w:rPr>
                <w:sz w:val="20"/>
                <w:szCs w:val="20"/>
                <w:color w:val="auto"/>
              </w:rPr>
            </w:pPr>
          </w:p>
        </w:tc>
        <w:tc>
          <w:tcPr>
            <w:tcW w:w="1100" w:type="dxa"/>
            <w:vAlign w:val="bottom"/>
            <w:shd w:val="clear" w:color="auto" w:fill="E2E6F4"/>
          </w:tcPr>
          <w:p>
            <w:pPr>
              <w:spacing w:after="0"/>
              <w:rPr>
                <w:sz w:val="20"/>
                <w:szCs w:val="20"/>
                <w:color w:val="auto"/>
              </w:rPr>
            </w:pPr>
          </w:p>
        </w:tc>
        <w:tc>
          <w:tcPr>
            <w:tcW w:w="260" w:type="dxa"/>
            <w:vAlign w:val="bottom"/>
            <w:shd w:val="clear" w:color="auto" w:fill="E2E6F4"/>
          </w:tcPr>
          <w:p>
            <w:pPr>
              <w:spacing w:after="0"/>
              <w:rPr>
                <w:sz w:val="20"/>
                <w:szCs w:val="20"/>
                <w:color w:val="auto"/>
              </w:rPr>
            </w:pPr>
          </w:p>
        </w:tc>
        <w:tc>
          <w:tcPr>
            <w:tcW w:w="980" w:type="dxa"/>
            <w:vAlign w:val="bottom"/>
            <w:shd w:val="clear" w:color="auto" w:fill="E2E6F4"/>
          </w:tcPr>
          <w:p>
            <w:pPr>
              <w:spacing w:after="0"/>
              <w:rPr>
                <w:sz w:val="20"/>
                <w:szCs w:val="20"/>
                <w:color w:val="auto"/>
              </w:rPr>
            </w:pPr>
          </w:p>
        </w:tc>
      </w:tr>
      <w:tr>
        <w:trPr>
          <w:trHeight w:val="278"/>
        </w:trPr>
        <w:tc>
          <w:tcPr>
            <w:tcW w:w="5520" w:type="dxa"/>
            <w:vAlign w:val="bottom"/>
            <w:shd w:val="clear" w:color="auto" w:fill="E2E6F4"/>
          </w:tcPr>
          <w:p>
            <w:pPr>
              <w:ind w:left="20"/>
              <w:spacing w:after="0"/>
              <w:rPr>
                <w:sz w:val="20"/>
                <w:szCs w:val="20"/>
                <w:color w:val="auto"/>
              </w:rPr>
            </w:pPr>
            <w:r>
              <w:rPr>
                <w:rFonts w:ascii="Arial" w:cs="Arial" w:eastAsia="Arial" w:hAnsi="Arial"/>
                <w:sz w:val="18"/>
                <w:szCs w:val="18"/>
                <w:color w:val="auto"/>
              </w:rPr>
              <w:t>Cash Severance</w:t>
            </w:r>
            <w:r>
              <w:rPr>
                <w:rFonts w:ascii="Arial" w:cs="Arial" w:eastAsia="Arial" w:hAnsi="Arial"/>
                <w:sz w:val="23"/>
                <w:szCs w:val="23"/>
                <w:color w:val="auto"/>
                <w:vertAlign w:val="superscript"/>
              </w:rPr>
              <w:t>(1)</w:t>
            </w:r>
          </w:p>
        </w:tc>
        <w:tc>
          <w:tcPr>
            <w:tcW w:w="1940" w:type="dxa"/>
            <w:vAlign w:val="bottom"/>
            <w:shd w:val="clear" w:color="auto" w:fill="E2E6F4"/>
          </w:tcPr>
          <w:p>
            <w:pPr>
              <w:jc w:val="center"/>
              <w:ind w:left="1751"/>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E2E6F4"/>
          </w:tcPr>
          <w:p>
            <w:pPr>
              <w:jc w:val="right"/>
              <w:spacing w:after="0"/>
              <w:rPr>
                <w:sz w:val="20"/>
                <w:szCs w:val="20"/>
                <w:color w:val="auto"/>
              </w:rPr>
            </w:pPr>
            <w:r>
              <w:rPr>
                <w:rFonts w:ascii="Arial" w:cs="Arial" w:eastAsia="Arial" w:hAnsi="Arial"/>
                <w:sz w:val="18"/>
                <w:szCs w:val="18"/>
                <w:color w:val="auto"/>
              </w:rPr>
              <w:t>3,588,000</w:t>
            </w:r>
          </w:p>
        </w:tc>
        <w:tc>
          <w:tcPr>
            <w:tcW w:w="360" w:type="dxa"/>
            <w:vAlign w:val="bottom"/>
            <w:shd w:val="clear" w:color="auto" w:fill="E2E6F4"/>
          </w:tcPr>
          <w:p>
            <w:pPr>
              <w:jc w:val="right"/>
              <w:spacing w:after="0"/>
              <w:rPr>
                <w:sz w:val="20"/>
                <w:szCs w:val="20"/>
                <w:color w:val="auto"/>
              </w:rPr>
            </w:pPr>
            <w:r>
              <w:rPr>
                <w:rFonts w:ascii="Arial" w:cs="Arial" w:eastAsia="Arial" w:hAnsi="Arial"/>
                <w:sz w:val="18"/>
                <w:szCs w:val="18"/>
                <w:color w:val="auto"/>
              </w:rPr>
              <w:t>$</w:t>
            </w:r>
          </w:p>
        </w:tc>
        <w:tc>
          <w:tcPr>
            <w:tcW w:w="1100" w:type="dxa"/>
            <w:vAlign w:val="bottom"/>
            <w:shd w:val="clear" w:color="auto" w:fill="E2E6F4"/>
          </w:tcPr>
          <w:p>
            <w:pPr>
              <w:jc w:val="right"/>
              <w:ind w:right="91"/>
              <w:spacing w:after="0"/>
              <w:rPr>
                <w:sz w:val="20"/>
                <w:szCs w:val="20"/>
                <w:color w:val="auto"/>
              </w:rPr>
            </w:pPr>
            <w:r>
              <w:rPr>
                <w:rFonts w:ascii="Arial" w:cs="Arial" w:eastAsia="Arial" w:hAnsi="Arial"/>
                <w:sz w:val="18"/>
                <w:szCs w:val="18"/>
                <w:color w:val="auto"/>
              </w:rPr>
              <w:t>—</w:t>
            </w:r>
          </w:p>
        </w:tc>
        <w:tc>
          <w:tcPr>
            <w:tcW w:w="260" w:type="dxa"/>
            <w:vAlign w:val="bottom"/>
            <w:shd w:val="clear" w:color="auto" w:fill="E2E6F4"/>
          </w:tcPr>
          <w:p>
            <w:pPr>
              <w:jc w:val="right"/>
              <w:spacing w:after="0"/>
              <w:rPr>
                <w:sz w:val="20"/>
                <w:szCs w:val="20"/>
                <w:color w:val="auto"/>
              </w:rPr>
            </w:pPr>
            <w:r>
              <w:rPr>
                <w:rFonts w:ascii="Arial" w:cs="Arial" w:eastAsia="Arial" w:hAnsi="Arial"/>
                <w:sz w:val="18"/>
                <w:szCs w:val="18"/>
                <w:color w:val="auto"/>
              </w:rPr>
              <w:t>$</w:t>
            </w:r>
          </w:p>
        </w:tc>
        <w:tc>
          <w:tcPr>
            <w:tcW w:w="980" w:type="dxa"/>
            <w:vAlign w:val="bottom"/>
            <w:shd w:val="clear" w:color="auto" w:fill="E2E6F4"/>
          </w:tcPr>
          <w:p>
            <w:pPr>
              <w:jc w:val="right"/>
              <w:spacing w:after="0"/>
              <w:rPr>
                <w:sz w:val="20"/>
                <w:szCs w:val="20"/>
                <w:color w:val="auto"/>
              </w:rPr>
            </w:pPr>
            <w:r>
              <w:rPr>
                <w:rFonts w:ascii="Arial" w:cs="Arial" w:eastAsia="Arial" w:hAnsi="Arial"/>
                <w:sz w:val="18"/>
                <w:szCs w:val="18"/>
                <w:color w:val="auto"/>
              </w:rPr>
              <w:t>—</w:t>
            </w:r>
          </w:p>
        </w:tc>
      </w:tr>
      <w:tr>
        <w:trPr>
          <w:trHeight w:val="270"/>
        </w:trPr>
        <w:tc>
          <w:tcPr>
            <w:tcW w:w="5520" w:type="dxa"/>
            <w:vAlign w:val="bottom"/>
            <w:shd w:val="clear" w:color="auto" w:fill="E2E6F4"/>
          </w:tcPr>
          <w:p>
            <w:pPr>
              <w:ind w:left="20"/>
              <w:spacing w:after="0"/>
              <w:rPr>
                <w:sz w:val="20"/>
                <w:szCs w:val="20"/>
                <w:color w:val="auto"/>
              </w:rPr>
            </w:pPr>
            <w:r>
              <w:rPr>
                <w:rFonts w:ascii="Arial" w:cs="Arial" w:eastAsia="Arial" w:hAnsi="Arial"/>
                <w:sz w:val="18"/>
                <w:szCs w:val="18"/>
                <w:color w:val="auto"/>
              </w:rPr>
              <w:t>Variable Cash Incentive</w:t>
            </w:r>
            <w:r>
              <w:rPr>
                <w:rFonts w:ascii="Arial" w:cs="Arial" w:eastAsia="Arial" w:hAnsi="Arial"/>
                <w:sz w:val="23"/>
                <w:szCs w:val="23"/>
                <w:color w:val="auto"/>
                <w:vertAlign w:val="superscript"/>
              </w:rPr>
              <w:t>(2)</w:t>
            </w:r>
          </w:p>
        </w:tc>
        <w:tc>
          <w:tcPr>
            <w:tcW w:w="1940" w:type="dxa"/>
            <w:vAlign w:val="bottom"/>
            <w:shd w:val="clear" w:color="auto" w:fill="E2E6F4"/>
          </w:tcPr>
          <w:p>
            <w:pPr>
              <w:jc w:val="center"/>
              <w:ind w:left="1751"/>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E2E6F4"/>
          </w:tcPr>
          <w:p>
            <w:pPr>
              <w:jc w:val="right"/>
              <w:spacing w:after="0"/>
              <w:rPr>
                <w:sz w:val="20"/>
                <w:szCs w:val="20"/>
                <w:color w:val="auto"/>
              </w:rPr>
            </w:pPr>
            <w:r>
              <w:rPr>
                <w:rFonts w:ascii="Arial" w:cs="Arial" w:eastAsia="Arial" w:hAnsi="Arial"/>
                <w:sz w:val="18"/>
                <w:szCs w:val="18"/>
                <w:color w:val="auto"/>
              </w:rPr>
              <w:t>11,553,360</w:t>
            </w:r>
          </w:p>
        </w:tc>
        <w:tc>
          <w:tcPr>
            <w:tcW w:w="360" w:type="dxa"/>
            <w:vAlign w:val="bottom"/>
            <w:shd w:val="clear" w:color="auto" w:fill="E2E6F4"/>
          </w:tcPr>
          <w:p>
            <w:pPr>
              <w:jc w:val="right"/>
              <w:spacing w:after="0"/>
              <w:rPr>
                <w:sz w:val="20"/>
                <w:szCs w:val="20"/>
                <w:color w:val="auto"/>
              </w:rPr>
            </w:pPr>
            <w:r>
              <w:rPr>
                <w:rFonts w:ascii="Arial" w:cs="Arial" w:eastAsia="Arial" w:hAnsi="Arial"/>
                <w:sz w:val="18"/>
                <w:szCs w:val="18"/>
                <w:color w:val="auto"/>
              </w:rPr>
              <w:t>$</w:t>
            </w:r>
          </w:p>
        </w:tc>
        <w:tc>
          <w:tcPr>
            <w:tcW w:w="1100" w:type="dxa"/>
            <w:vAlign w:val="bottom"/>
            <w:shd w:val="clear" w:color="auto" w:fill="E2E6F4"/>
          </w:tcPr>
          <w:p>
            <w:pPr>
              <w:jc w:val="right"/>
              <w:ind w:right="91"/>
              <w:spacing w:after="0"/>
              <w:rPr>
                <w:sz w:val="20"/>
                <w:szCs w:val="20"/>
                <w:color w:val="auto"/>
              </w:rPr>
            </w:pPr>
            <w:r>
              <w:rPr>
                <w:rFonts w:ascii="Arial" w:cs="Arial" w:eastAsia="Arial" w:hAnsi="Arial"/>
                <w:sz w:val="18"/>
                <w:szCs w:val="18"/>
                <w:color w:val="auto"/>
              </w:rPr>
              <w:t>—</w:t>
            </w:r>
          </w:p>
        </w:tc>
        <w:tc>
          <w:tcPr>
            <w:tcW w:w="260" w:type="dxa"/>
            <w:vAlign w:val="bottom"/>
            <w:shd w:val="clear" w:color="auto" w:fill="E2E6F4"/>
          </w:tcPr>
          <w:p>
            <w:pPr>
              <w:jc w:val="right"/>
              <w:spacing w:after="0"/>
              <w:rPr>
                <w:sz w:val="20"/>
                <w:szCs w:val="20"/>
                <w:color w:val="auto"/>
              </w:rPr>
            </w:pPr>
            <w:r>
              <w:rPr>
                <w:rFonts w:ascii="Arial" w:cs="Arial" w:eastAsia="Arial" w:hAnsi="Arial"/>
                <w:sz w:val="18"/>
                <w:szCs w:val="18"/>
                <w:color w:val="auto"/>
              </w:rPr>
              <w:t>$</w:t>
            </w:r>
          </w:p>
        </w:tc>
        <w:tc>
          <w:tcPr>
            <w:tcW w:w="980" w:type="dxa"/>
            <w:vAlign w:val="bottom"/>
            <w:shd w:val="clear" w:color="auto" w:fill="E2E6F4"/>
          </w:tcPr>
          <w:p>
            <w:pPr>
              <w:jc w:val="right"/>
              <w:spacing w:after="0"/>
              <w:rPr>
                <w:sz w:val="20"/>
                <w:szCs w:val="20"/>
                <w:color w:val="auto"/>
              </w:rPr>
            </w:pPr>
            <w:r>
              <w:rPr>
                <w:rFonts w:ascii="Arial" w:cs="Arial" w:eastAsia="Arial" w:hAnsi="Arial"/>
                <w:sz w:val="18"/>
                <w:szCs w:val="18"/>
                <w:color w:val="auto"/>
              </w:rPr>
              <w:t>—</w:t>
            </w:r>
          </w:p>
        </w:tc>
      </w:tr>
      <w:tr>
        <w:trPr>
          <w:trHeight w:val="270"/>
        </w:trPr>
        <w:tc>
          <w:tcPr>
            <w:tcW w:w="5520" w:type="dxa"/>
            <w:vAlign w:val="bottom"/>
            <w:shd w:val="clear" w:color="auto" w:fill="E2E6F4"/>
          </w:tcPr>
          <w:p>
            <w:pPr>
              <w:ind w:left="20"/>
              <w:spacing w:after="0"/>
              <w:rPr>
                <w:sz w:val="20"/>
                <w:szCs w:val="20"/>
                <w:color w:val="auto"/>
              </w:rPr>
            </w:pPr>
            <w:r>
              <w:rPr>
                <w:rFonts w:ascii="Arial" w:cs="Arial" w:eastAsia="Arial" w:hAnsi="Arial"/>
                <w:sz w:val="18"/>
                <w:szCs w:val="18"/>
                <w:color w:val="auto"/>
              </w:rPr>
              <w:t>Value of Accelerated Vesting of Equity Awards</w:t>
            </w:r>
            <w:r>
              <w:rPr>
                <w:rFonts w:ascii="Arial" w:cs="Arial" w:eastAsia="Arial" w:hAnsi="Arial"/>
                <w:sz w:val="23"/>
                <w:szCs w:val="23"/>
                <w:color w:val="auto"/>
                <w:vertAlign w:val="superscript"/>
              </w:rPr>
              <w:t>(3)(4)</w:t>
            </w:r>
          </w:p>
        </w:tc>
        <w:tc>
          <w:tcPr>
            <w:tcW w:w="1940" w:type="dxa"/>
            <w:vAlign w:val="bottom"/>
            <w:shd w:val="clear" w:color="auto" w:fill="E2E6F4"/>
          </w:tcPr>
          <w:p>
            <w:pPr>
              <w:jc w:val="center"/>
              <w:ind w:left="1751"/>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E2E6F4"/>
          </w:tcPr>
          <w:p>
            <w:pPr>
              <w:jc w:val="right"/>
              <w:spacing w:after="0"/>
              <w:rPr>
                <w:sz w:val="20"/>
                <w:szCs w:val="20"/>
                <w:color w:val="auto"/>
              </w:rPr>
            </w:pPr>
            <w:r>
              <w:rPr>
                <w:rFonts w:ascii="Arial" w:cs="Arial" w:eastAsia="Arial" w:hAnsi="Arial"/>
                <w:sz w:val="18"/>
                <w:szCs w:val="18"/>
                <w:color w:val="auto"/>
              </w:rPr>
              <w:t>72,861,958</w:t>
            </w:r>
          </w:p>
        </w:tc>
        <w:tc>
          <w:tcPr>
            <w:tcW w:w="360" w:type="dxa"/>
            <w:vAlign w:val="bottom"/>
            <w:shd w:val="clear" w:color="auto" w:fill="E2E6F4"/>
          </w:tcPr>
          <w:p>
            <w:pPr>
              <w:jc w:val="right"/>
              <w:spacing w:after="0"/>
              <w:rPr>
                <w:sz w:val="20"/>
                <w:szCs w:val="20"/>
                <w:color w:val="auto"/>
              </w:rPr>
            </w:pPr>
            <w:r>
              <w:rPr>
                <w:rFonts w:ascii="Arial" w:cs="Arial" w:eastAsia="Arial" w:hAnsi="Arial"/>
                <w:sz w:val="18"/>
                <w:szCs w:val="18"/>
                <w:color w:val="auto"/>
              </w:rPr>
              <w:t>$</w:t>
            </w:r>
          </w:p>
        </w:tc>
        <w:tc>
          <w:tcPr>
            <w:tcW w:w="1100" w:type="dxa"/>
            <w:vAlign w:val="bottom"/>
            <w:shd w:val="clear" w:color="auto" w:fill="E2E6F4"/>
          </w:tcPr>
          <w:p>
            <w:pPr>
              <w:jc w:val="right"/>
              <w:ind w:right="91"/>
              <w:spacing w:after="0"/>
              <w:rPr>
                <w:sz w:val="20"/>
                <w:szCs w:val="20"/>
                <w:color w:val="auto"/>
              </w:rPr>
            </w:pPr>
            <w:r>
              <w:rPr>
                <w:rFonts w:ascii="Arial" w:cs="Arial" w:eastAsia="Arial" w:hAnsi="Arial"/>
                <w:sz w:val="18"/>
                <w:szCs w:val="18"/>
                <w:color w:val="auto"/>
                <w:w w:val="99"/>
              </w:rPr>
              <w:t>65,365,977</w:t>
            </w:r>
          </w:p>
        </w:tc>
        <w:tc>
          <w:tcPr>
            <w:tcW w:w="260" w:type="dxa"/>
            <w:vAlign w:val="bottom"/>
            <w:shd w:val="clear" w:color="auto" w:fill="E2E6F4"/>
          </w:tcPr>
          <w:p>
            <w:pPr>
              <w:jc w:val="right"/>
              <w:spacing w:after="0"/>
              <w:rPr>
                <w:sz w:val="20"/>
                <w:szCs w:val="20"/>
                <w:color w:val="auto"/>
              </w:rPr>
            </w:pPr>
            <w:r>
              <w:rPr>
                <w:rFonts w:ascii="Arial" w:cs="Arial" w:eastAsia="Arial" w:hAnsi="Arial"/>
                <w:sz w:val="18"/>
                <w:szCs w:val="18"/>
                <w:color w:val="auto"/>
              </w:rPr>
              <w:t>$</w:t>
            </w:r>
          </w:p>
        </w:tc>
        <w:tc>
          <w:tcPr>
            <w:tcW w:w="980" w:type="dxa"/>
            <w:vAlign w:val="bottom"/>
            <w:shd w:val="clear" w:color="auto" w:fill="E2E6F4"/>
          </w:tcPr>
          <w:p>
            <w:pPr>
              <w:jc w:val="right"/>
              <w:spacing w:after="0"/>
              <w:rPr>
                <w:sz w:val="20"/>
                <w:szCs w:val="20"/>
                <w:color w:val="auto"/>
              </w:rPr>
            </w:pPr>
            <w:r>
              <w:rPr>
                <w:rFonts w:ascii="Arial" w:cs="Arial" w:eastAsia="Arial" w:hAnsi="Arial"/>
                <w:sz w:val="18"/>
                <w:szCs w:val="18"/>
                <w:color w:val="auto"/>
                <w:w w:val="97"/>
              </w:rPr>
              <w:t>65,365,977</w:t>
            </w:r>
          </w:p>
        </w:tc>
      </w:tr>
      <w:tr>
        <w:trPr>
          <w:trHeight w:val="270"/>
        </w:trPr>
        <w:tc>
          <w:tcPr>
            <w:tcW w:w="5520" w:type="dxa"/>
            <w:vAlign w:val="bottom"/>
            <w:shd w:val="clear" w:color="auto" w:fill="E2E6F4"/>
          </w:tcPr>
          <w:p>
            <w:pPr>
              <w:ind w:left="20"/>
              <w:spacing w:after="0"/>
              <w:rPr>
                <w:sz w:val="20"/>
                <w:szCs w:val="20"/>
                <w:color w:val="auto"/>
              </w:rPr>
            </w:pPr>
            <w:r>
              <w:rPr>
                <w:rFonts w:ascii="Arial" w:cs="Arial" w:eastAsia="Arial" w:hAnsi="Arial"/>
                <w:sz w:val="18"/>
                <w:szCs w:val="18"/>
                <w:color w:val="auto"/>
              </w:rPr>
              <w:t>Value of Medical and Other Benefits</w:t>
            </w:r>
            <w:r>
              <w:rPr>
                <w:rFonts w:ascii="Arial" w:cs="Arial" w:eastAsia="Arial" w:hAnsi="Arial"/>
                <w:sz w:val="23"/>
                <w:szCs w:val="23"/>
                <w:color w:val="auto"/>
                <w:vertAlign w:val="superscript"/>
              </w:rPr>
              <w:t>(5)</w:t>
            </w:r>
          </w:p>
        </w:tc>
        <w:tc>
          <w:tcPr>
            <w:tcW w:w="1940" w:type="dxa"/>
            <w:vAlign w:val="bottom"/>
            <w:shd w:val="clear" w:color="auto" w:fill="E2E6F4"/>
          </w:tcPr>
          <w:p>
            <w:pPr>
              <w:jc w:val="center"/>
              <w:ind w:left="1751"/>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E2E6F4"/>
          </w:tcPr>
          <w:p>
            <w:pPr>
              <w:jc w:val="right"/>
              <w:spacing w:after="0"/>
              <w:rPr>
                <w:sz w:val="20"/>
                <w:szCs w:val="20"/>
                <w:color w:val="auto"/>
              </w:rPr>
            </w:pPr>
            <w:r>
              <w:rPr>
                <w:rFonts w:ascii="Arial" w:cs="Arial" w:eastAsia="Arial" w:hAnsi="Arial"/>
                <w:sz w:val="18"/>
                <w:szCs w:val="18"/>
                <w:color w:val="auto"/>
              </w:rPr>
              <w:t>16,228</w:t>
            </w:r>
          </w:p>
        </w:tc>
        <w:tc>
          <w:tcPr>
            <w:tcW w:w="360" w:type="dxa"/>
            <w:vAlign w:val="bottom"/>
            <w:shd w:val="clear" w:color="auto" w:fill="E2E6F4"/>
          </w:tcPr>
          <w:p>
            <w:pPr>
              <w:jc w:val="right"/>
              <w:spacing w:after="0"/>
              <w:rPr>
                <w:sz w:val="20"/>
                <w:szCs w:val="20"/>
                <w:color w:val="auto"/>
              </w:rPr>
            </w:pPr>
            <w:r>
              <w:rPr>
                <w:rFonts w:ascii="Arial" w:cs="Arial" w:eastAsia="Arial" w:hAnsi="Arial"/>
                <w:sz w:val="18"/>
                <w:szCs w:val="18"/>
                <w:color w:val="auto"/>
              </w:rPr>
              <w:t>$</w:t>
            </w:r>
          </w:p>
        </w:tc>
        <w:tc>
          <w:tcPr>
            <w:tcW w:w="1100" w:type="dxa"/>
            <w:vAlign w:val="bottom"/>
            <w:shd w:val="clear" w:color="auto" w:fill="E2E6F4"/>
          </w:tcPr>
          <w:p>
            <w:pPr>
              <w:jc w:val="right"/>
              <w:ind w:right="91"/>
              <w:spacing w:after="0"/>
              <w:rPr>
                <w:sz w:val="20"/>
                <w:szCs w:val="20"/>
                <w:color w:val="auto"/>
              </w:rPr>
            </w:pPr>
            <w:r>
              <w:rPr>
                <w:rFonts w:ascii="Arial" w:cs="Arial" w:eastAsia="Arial" w:hAnsi="Arial"/>
                <w:sz w:val="18"/>
                <w:szCs w:val="18"/>
                <w:color w:val="auto"/>
              </w:rPr>
              <w:t>—</w:t>
            </w:r>
          </w:p>
        </w:tc>
        <w:tc>
          <w:tcPr>
            <w:tcW w:w="260" w:type="dxa"/>
            <w:vAlign w:val="bottom"/>
            <w:shd w:val="clear" w:color="auto" w:fill="E2E6F4"/>
          </w:tcPr>
          <w:p>
            <w:pPr>
              <w:jc w:val="right"/>
              <w:spacing w:after="0"/>
              <w:rPr>
                <w:sz w:val="20"/>
                <w:szCs w:val="20"/>
                <w:color w:val="auto"/>
              </w:rPr>
            </w:pPr>
            <w:r>
              <w:rPr>
                <w:rFonts w:ascii="Arial" w:cs="Arial" w:eastAsia="Arial" w:hAnsi="Arial"/>
                <w:sz w:val="18"/>
                <w:szCs w:val="18"/>
                <w:color w:val="auto"/>
              </w:rPr>
              <w:t>$</w:t>
            </w:r>
          </w:p>
        </w:tc>
        <w:tc>
          <w:tcPr>
            <w:tcW w:w="980" w:type="dxa"/>
            <w:vAlign w:val="bottom"/>
            <w:shd w:val="clear" w:color="auto" w:fill="E2E6F4"/>
          </w:tcPr>
          <w:p>
            <w:pPr>
              <w:jc w:val="right"/>
              <w:spacing w:after="0"/>
              <w:rPr>
                <w:sz w:val="20"/>
                <w:szCs w:val="20"/>
                <w:color w:val="auto"/>
              </w:rPr>
            </w:pPr>
            <w:r>
              <w:rPr>
                <w:rFonts w:ascii="Arial" w:cs="Arial" w:eastAsia="Arial" w:hAnsi="Arial"/>
                <w:sz w:val="18"/>
                <w:szCs w:val="18"/>
                <w:color w:val="auto"/>
              </w:rPr>
              <w:t>—</w:t>
            </w:r>
          </w:p>
        </w:tc>
      </w:tr>
      <w:tr>
        <w:trPr>
          <w:trHeight w:val="270"/>
        </w:trPr>
        <w:tc>
          <w:tcPr>
            <w:tcW w:w="5520" w:type="dxa"/>
            <w:vAlign w:val="bottom"/>
            <w:shd w:val="clear" w:color="auto" w:fill="E2E6F4"/>
          </w:tcPr>
          <w:p>
            <w:pPr>
              <w:ind w:left="20"/>
              <w:spacing w:after="0"/>
              <w:rPr>
                <w:sz w:val="20"/>
                <w:szCs w:val="20"/>
                <w:color w:val="auto"/>
              </w:rPr>
            </w:pPr>
            <w:r>
              <w:rPr>
                <w:rFonts w:ascii="Arial" w:cs="Arial" w:eastAsia="Arial" w:hAnsi="Arial"/>
                <w:sz w:val="18"/>
                <w:szCs w:val="18"/>
                <w:color w:val="auto"/>
              </w:rPr>
              <w:t>Excise Tax Gross Up</w:t>
            </w:r>
            <w:r>
              <w:rPr>
                <w:rFonts w:ascii="Arial" w:cs="Arial" w:eastAsia="Arial" w:hAnsi="Arial"/>
                <w:sz w:val="23"/>
                <w:szCs w:val="23"/>
                <w:color w:val="auto"/>
                <w:vertAlign w:val="superscript"/>
              </w:rPr>
              <w:t>(6)</w:t>
            </w:r>
          </w:p>
        </w:tc>
        <w:tc>
          <w:tcPr>
            <w:tcW w:w="1940" w:type="dxa"/>
            <w:vAlign w:val="bottom"/>
            <w:shd w:val="clear" w:color="auto" w:fill="E2E6F4"/>
          </w:tcPr>
          <w:p>
            <w:pPr>
              <w:jc w:val="center"/>
              <w:ind w:left="1751"/>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E2E6F4"/>
          </w:tcPr>
          <w:p>
            <w:pPr>
              <w:jc w:val="right"/>
              <w:spacing w:after="0"/>
              <w:rPr>
                <w:sz w:val="20"/>
                <w:szCs w:val="20"/>
                <w:color w:val="auto"/>
              </w:rPr>
            </w:pPr>
            <w:r>
              <w:rPr>
                <w:rFonts w:ascii="Arial" w:cs="Arial" w:eastAsia="Arial" w:hAnsi="Arial"/>
                <w:sz w:val="18"/>
                <w:szCs w:val="18"/>
                <w:color w:val="auto"/>
              </w:rPr>
              <w:t>30,648,970</w:t>
            </w:r>
          </w:p>
        </w:tc>
        <w:tc>
          <w:tcPr>
            <w:tcW w:w="360" w:type="dxa"/>
            <w:vAlign w:val="bottom"/>
            <w:shd w:val="clear" w:color="auto" w:fill="E2E6F4"/>
          </w:tcPr>
          <w:p>
            <w:pPr>
              <w:jc w:val="right"/>
              <w:spacing w:after="0"/>
              <w:rPr>
                <w:sz w:val="20"/>
                <w:szCs w:val="20"/>
                <w:color w:val="auto"/>
              </w:rPr>
            </w:pPr>
            <w:r>
              <w:rPr>
                <w:rFonts w:ascii="Arial" w:cs="Arial" w:eastAsia="Arial" w:hAnsi="Arial"/>
                <w:sz w:val="18"/>
                <w:szCs w:val="18"/>
                <w:color w:val="auto"/>
              </w:rPr>
              <w:t>$</w:t>
            </w:r>
          </w:p>
        </w:tc>
        <w:tc>
          <w:tcPr>
            <w:tcW w:w="1100" w:type="dxa"/>
            <w:vAlign w:val="bottom"/>
            <w:shd w:val="clear" w:color="auto" w:fill="E2E6F4"/>
          </w:tcPr>
          <w:p>
            <w:pPr>
              <w:jc w:val="right"/>
              <w:ind w:right="91"/>
              <w:spacing w:after="0"/>
              <w:rPr>
                <w:sz w:val="20"/>
                <w:szCs w:val="20"/>
                <w:color w:val="auto"/>
              </w:rPr>
            </w:pPr>
            <w:r>
              <w:rPr>
                <w:rFonts w:ascii="Arial" w:cs="Arial" w:eastAsia="Arial" w:hAnsi="Arial"/>
                <w:sz w:val="18"/>
                <w:szCs w:val="18"/>
                <w:color w:val="auto"/>
              </w:rPr>
              <w:t>—</w:t>
            </w:r>
          </w:p>
        </w:tc>
        <w:tc>
          <w:tcPr>
            <w:tcW w:w="260" w:type="dxa"/>
            <w:vAlign w:val="bottom"/>
            <w:shd w:val="clear" w:color="auto" w:fill="E2E6F4"/>
          </w:tcPr>
          <w:p>
            <w:pPr>
              <w:jc w:val="right"/>
              <w:spacing w:after="0"/>
              <w:rPr>
                <w:sz w:val="20"/>
                <w:szCs w:val="20"/>
                <w:color w:val="auto"/>
              </w:rPr>
            </w:pPr>
            <w:r>
              <w:rPr>
                <w:rFonts w:ascii="Arial" w:cs="Arial" w:eastAsia="Arial" w:hAnsi="Arial"/>
                <w:sz w:val="18"/>
                <w:szCs w:val="18"/>
                <w:color w:val="auto"/>
              </w:rPr>
              <w:t>$</w:t>
            </w:r>
          </w:p>
        </w:tc>
        <w:tc>
          <w:tcPr>
            <w:tcW w:w="980" w:type="dxa"/>
            <w:vAlign w:val="bottom"/>
            <w:shd w:val="clear" w:color="auto" w:fill="E2E6F4"/>
          </w:tcPr>
          <w:p>
            <w:pPr>
              <w:jc w:val="right"/>
              <w:spacing w:after="0"/>
              <w:rPr>
                <w:sz w:val="20"/>
                <w:szCs w:val="20"/>
                <w:color w:val="auto"/>
              </w:rPr>
            </w:pPr>
            <w:r>
              <w:rPr>
                <w:rFonts w:ascii="Arial" w:cs="Arial" w:eastAsia="Arial" w:hAnsi="Arial"/>
                <w:sz w:val="18"/>
                <w:szCs w:val="18"/>
                <w:color w:val="auto"/>
              </w:rPr>
              <w:t>—</w:t>
            </w:r>
          </w:p>
        </w:tc>
      </w:tr>
      <w:tr>
        <w:trPr>
          <w:trHeight w:val="270"/>
        </w:trPr>
        <w:tc>
          <w:tcPr>
            <w:tcW w:w="5520" w:type="dxa"/>
            <w:vAlign w:val="bottom"/>
            <w:shd w:val="clear" w:color="auto" w:fill="E2E6F4"/>
          </w:tcPr>
          <w:p>
            <w:pPr>
              <w:ind w:left="20"/>
              <w:spacing w:after="0"/>
              <w:rPr>
                <w:sz w:val="20"/>
                <w:szCs w:val="20"/>
                <w:color w:val="auto"/>
              </w:rPr>
            </w:pPr>
            <w:r>
              <w:rPr>
                <w:rFonts w:ascii="Arial" w:cs="Arial" w:eastAsia="Arial" w:hAnsi="Arial"/>
                <w:sz w:val="18"/>
                <w:szCs w:val="18"/>
                <w:b w:val="1"/>
                <w:bCs w:val="1"/>
                <w:color w:val="auto"/>
              </w:rPr>
              <w:t>Total</w:t>
            </w:r>
          </w:p>
        </w:tc>
        <w:tc>
          <w:tcPr>
            <w:tcW w:w="1940" w:type="dxa"/>
            <w:vAlign w:val="bottom"/>
            <w:shd w:val="clear" w:color="auto" w:fill="E2E6F4"/>
          </w:tcPr>
          <w:p>
            <w:pPr>
              <w:jc w:val="center"/>
              <w:ind w:left="1751"/>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E2E6F4"/>
          </w:tcPr>
          <w:p>
            <w:pPr>
              <w:jc w:val="right"/>
              <w:spacing w:after="0"/>
              <w:rPr>
                <w:sz w:val="20"/>
                <w:szCs w:val="20"/>
                <w:color w:val="auto"/>
              </w:rPr>
            </w:pPr>
            <w:r>
              <w:rPr>
                <w:rFonts w:ascii="Arial" w:cs="Arial" w:eastAsia="Arial" w:hAnsi="Arial"/>
                <w:sz w:val="18"/>
                <w:szCs w:val="18"/>
                <w:color w:val="auto"/>
                <w:w w:val="97"/>
              </w:rPr>
              <w:t>118,668,516</w:t>
            </w:r>
          </w:p>
        </w:tc>
        <w:tc>
          <w:tcPr>
            <w:tcW w:w="360" w:type="dxa"/>
            <w:vAlign w:val="bottom"/>
            <w:shd w:val="clear" w:color="auto" w:fill="E2E6F4"/>
          </w:tcPr>
          <w:p>
            <w:pPr>
              <w:jc w:val="right"/>
              <w:spacing w:after="0"/>
              <w:rPr>
                <w:sz w:val="20"/>
                <w:szCs w:val="20"/>
                <w:color w:val="auto"/>
              </w:rPr>
            </w:pPr>
            <w:r>
              <w:rPr>
                <w:rFonts w:ascii="Arial" w:cs="Arial" w:eastAsia="Arial" w:hAnsi="Arial"/>
                <w:sz w:val="18"/>
                <w:szCs w:val="18"/>
                <w:color w:val="auto"/>
              </w:rPr>
              <w:t>$</w:t>
            </w:r>
          </w:p>
        </w:tc>
        <w:tc>
          <w:tcPr>
            <w:tcW w:w="1100" w:type="dxa"/>
            <w:vAlign w:val="bottom"/>
            <w:shd w:val="clear" w:color="auto" w:fill="E2E6F4"/>
          </w:tcPr>
          <w:p>
            <w:pPr>
              <w:jc w:val="right"/>
              <w:ind w:right="91"/>
              <w:spacing w:after="0"/>
              <w:rPr>
                <w:sz w:val="20"/>
                <w:szCs w:val="20"/>
                <w:color w:val="auto"/>
              </w:rPr>
            </w:pPr>
            <w:r>
              <w:rPr>
                <w:rFonts w:ascii="Arial" w:cs="Arial" w:eastAsia="Arial" w:hAnsi="Arial"/>
                <w:sz w:val="18"/>
                <w:szCs w:val="18"/>
                <w:color w:val="auto"/>
                <w:w w:val="99"/>
              </w:rPr>
              <w:t>65,365,977</w:t>
            </w:r>
          </w:p>
        </w:tc>
        <w:tc>
          <w:tcPr>
            <w:tcW w:w="260" w:type="dxa"/>
            <w:vAlign w:val="bottom"/>
            <w:shd w:val="clear" w:color="auto" w:fill="E2E6F4"/>
          </w:tcPr>
          <w:p>
            <w:pPr>
              <w:jc w:val="right"/>
              <w:spacing w:after="0"/>
              <w:rPr>
                <w:sz w:val="20"/>
                <w:szCs w:val="20"/>
                <w:color w:val="auto"/>
              </w:rPr>
            </w:pPr>
            <w:r>
              <w:rPr>
                <w:rFonts w:ascii="Arial" w:cs="Arial" w:eastAsia="Arial" w:hAnsi="Arial"/>
                <w:sz w:val="18"/>
                <w:szCs w:val="18"/>
                <w:color w:val="auto"/>
              </w:rPr>
              <w:t>$</w:t>
            </w:r>
          </w:p>
        </w:tc>
        <w:tc>
          <w:tcPr>
            <w:tcW w:w="980" w:type="dxa"/>
            <w:vAlign w:val="bottom"/>
            <w:shd w:val="clear" w:color="auto" w:fill="E2E6F4"/>
          </w:tcPr>
          <w:p>
            <w:pPr>
              <w:jc w:val="right"/>
              <w:spacing w:after="0"/>
              <w:rPr>
                <w:sz w:val="20"/>
                <w:szCs w:val="20"/>
                <w:color w:val="auto"/>
              </w:rPr>
            </w:pPr>
            <w:r>
              <w:rPr>
                <w:rFonts w:ascii="Arial" w:cs="Arial" w:eastAsia="Arial" w:hAnsi="Arial"/>
                <w:sz w:val="18"/>
                <w:szCs w:val="18"/>
                <w:color w:val="auto"/>
                <w:w w:val="97"/>
              </w:rPr>
              <w:t>65,365,977</w:t>
            </w:r>
          </w:p>
        </w:tc>
      </w:tr>
      <w:tr>
        <w:trPr>
          <w:trHeight w:val="235"/>
        </w:trPr>
        <w:tc>
          <w:tcPr>
            <w:tcW w:w="5520" w:type="dxa"/>
            <w:vAlign w:val="bottom"/>
          </w:tcPr>
          <w:p>
            <w:pPr>
              <w:ind w:left="20"/>
              <w:spacing w:after="0"/>
              <w:rPr>
                <w:sz w:val="20"/>
                <w:szCs w:val="20"/>
                <w:color w:val="auto"/>
              </w:rPr>
            </w:pPr>
            <w:r>
              <w:rPr>
                <w:rFonts w:ascii="Arial" w:cs="Arial" w:eastAsia="Arial" w:hAnsi="Arial"/>
                <w:sz w:val="16"/>
                <w:szCs w:val="16"/>
                <w:b w:val="1"/>
                <w:bCs w:val="1"/>
                <w:color w:val="0067B3"/>
              </w:rPr>
              <w:t>Richard C. Puccio, Jr.</w:t>
            </w:r>
          </w:p>
        </w:tc>
        <w:tc>
          <w:tcPr>
            <w:tcW w:w="19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spacing w:after="0"/>
              <w:rPr>
                <w:sz w:val="20"/>
                <w:szCs w:val="20"/>
                <w:color w:val="auto"/>
              </w:rPr>
            </w:pPr>
          </w:p>
        </w:tc>
      </w:tr>
      <w:tr>
        <w:trPr>
          <w:trHeight w:val="283"/>
        </w:trPr>
        <w:tc>
          <w:tcPr>
            <w:tcW w:w="5520" w:type="dxa"/>
            <w:vAlign w:val="bottom"/>
          </w:tcPr>
          <w:p>
            <w:pPr>
              <w:ind w:left="20"/>
              <w:spacing w:after="0"/>
              <w:rPr>
                <w:sz w:val="20"/>
                <w:szCs w:val="20"/>
                <w:color w:val="auto"/>
              </w:rPr>
            </w:pPr>
            <w:r>
              <w:rPr>
                <w:rFonts w:ascii="Arial" w:cs="Arial" w:eastAsia="Arial" w:hAnsi="Arial"/>
                <w:sz w:val="18"/>
                <w:szCs w:val="18"/>
                <w:color w:val="auto"/>
              </w:rPr>
              <w:t>Cash Severance</w:t>
            </w:r>
            <w:r>
              <w:rPr>
                <w:rFonts w:ascii="Arial" w:cs="Arial" w:eastAsia="Arial" w:hAnsi="Arial"/>
                <w:sz w:val="23"/>
                <w:szCs w:val="23"/>
                <w:color w:val="auto"/>
                <w:vertAlign w:val="superscript"/>
              </w:rPr>
              <w:t>(1)</w:t>
            </w:r>
          </w:p>
        </w:tc>
        <w:tc>
          <w:tcPr>
            <w:tcW w:w="1940" w:type="dxa"/>
            <w:vAlign w:val="bottom"/>
          </w:tcPr>
          <w:p>
            <w:pPr>
              <w:jc w:val="center"/>
              <w:ind w:left="1751"/>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2,093,000</w:t>
            </w:r>
          </w:p>
        </w:tc>
        <w:tc>
          <w:tcPr>
            <w:tcW w:w="360" w:type="dxa"/>
            <w:vAlign w:val="bottom"/>
          </w:tcPr>
          <w:p>
            <w:pPr>
              <w:jc w:val="right"/>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91"/>
              <w:spacing w:after="0"/>
              <w:rPr>
                <w:sz w:val="20"/>
                <w:szCs w:val="20"/>
                <w:color w:val="auto"/>
              </w:rPr>
            </w:pPr>
            <w:r>
              <w:rPr>
                <w:rFonts w:ascii="Arial" w:cs="Arial" w:eastAsia="Arial" w:hAnsi="Arial"/>
                <w:sz w:val="18"/>
                <w:szCs w:val="18"/>
                <w:color w:val="auto"/>
              </w:rPr>
              <w:t>—</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70"/>
        </w:trPr>
        <w:tc>
          <w:tcPr>
            <w:tcW w:w="5520" w:type="dxa"/>
            <w:vAlign w:val="bottom"/>
          </w:tcPr>
          <w:p>
            <w:pPr>
              <w:ind w:left="20"/>
              <w:spacing w:after="0"/>
              <w:rPr>
                <w:sz w:val="20"/>
                <w:szCs w:val="20"/>
                <w:color w:val="auto"/>
              </w:rPr>
            </w:pPr>
            <w:r>
              <w:rPr>
                <w:rFonts w:ascii="Arial" w:cs="Arial" w:eastAsia="Arial" w:hAnsi="Arial"/>
                <w:sz w:val="18"/>
                <w:szCs w:val="18"/>
                <w:color w:val="auto"/>
              </w:rPr>
              <w:t>Variable Cash Incentive</w:t>
            </w:r>
            <w:r>
              <w:rPr>
                <w:rFonts w:ascii="Arial" w:cs="Arial" w:eastAsia="Arial" w:hAnsi="Arial"/>
                <w:sz w:val="23"/>
                <w:szCs w:val="23"/>
                <w:color w:val="auto"/>
                <w:vertAlign w:val="superscript"/>
              </w:rPr>
              <w:t>(2)</w:t>
            </w:r>
          </w:p>
        </w:tc>
        <w:tc>
          <w:tcPr>
            <w:tcW w:w="1940" w:type="dxa"/>
            <w:vAlign w:val="bottom"/>
          </w:tcPr>
          <w:p>
            <w:pPr>
              <w:jc w:val="center"/>
              <w:ind w:left="1751"/>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4,114,958</w:t>
            </w:r>
          </w:p>
        </w:tc>
        <w:tc>
          <w:tcPr>
            <w:tcW w:w="360" w:type="dxa"/>
            <w:vAlign w:val="bottom"/>
          </w:tcPr>
          <w:p>
            <w:pPr>
              <w:jc w:val="right"/>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91"/>
              <w:spacing w:after="0"/>
              <w:rPr>
                <w:sz w:val="20"/>
                <w:szCs w:val="20"/>
                <w:color w:val="auto"/>
              </w:rPr>
            </w:pPr>
            <w:r>
              <w:rPr>
                <w:rFonts w:ascii="Arial" w:cs="Arial" w:eastAsia="Arial" w:hAnsi="Arial"/>
                <w:sz w:val="18"/>
                <w:szCs w:val="18"/>
                <w:color w:val="auto"/>
              </w:rPr>
              <w:t>—</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70"/>
        </w:trPr>
        <w:tc>
          <w:tcPr>
            <w:tcW w:w="5520" w:type="dxa"/>
            <w:vAlign w:val="bottom"/>
          </w:tcPr>
          <w:p>
            <w:pPr>
              <w:ind w:left="20"/>
              <w:spacing w:after="0"/>
              <w:rPr>
                <w:sz w:val="20"/>
                <w:szCs w:val="20"/>
                <w:color w:val="auto"/>
              </w:rPr>
            </w:pPr>
            <w:r>
              <w:rPr>
                <w:rFonts w:ascii="Arial" w:cs="Arial" w:eastAsia="Arial" w:hAnsi="Arial"/>
                <w:sz w:val="18"/>
                <w:szCs w:val="18"/>
                <w:color w:val="auto"/>
              </w:rPr>
              <w:t>Value of Accelerated Vesting of Equity Awards</w:t>
            </w:r>
            <w:r>
              <w:rPr>
                <w:rFonts w:ascii="Arial" w:cs="Arial" w:eastAsia="Arial" w:hAnsi="Arial"/>
                <w:sz w:val="23"/>
                <w:szCs w:val="23"/>
                <w:color w:val="auto"/>
                <w:vertAlign w:val="superscript"/>
              </w:rPr>
              <w:t>(3)(4)</w:t>
            </w:r>
          </w:p>
        </w:tc>
        <w:tc>
          <w:tcPr>
            <w:tcW w:w="1940" w:type="dxa"/>
            <w:vAlign w:val="bottom"/>
          </w:tcPr>
          <w:p>
            <w:pPr>
              <w:jc w:val="center"/>
              <w:ind w:left="1751"/>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21,683,248</w:t>
            </w:r>
          </w:p>
        </w:tc>
        <w:tc>
          <w:tcPr>
            <w:tcW w:w="360" w:type="dxa"/>
            <w:vAlign w:val="bottom"/>
          </w:tcPr>
          <w:p>
            <w:pPr>
              <w:jc w:val="right"/>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91"/>
              <w:spacing w:after="0"/>
              <w:rPr>
                <w:sz w:val="20"/>
                <w:szCs w:val="20"/>
                <w:color w:val="auto"/>
              </w:rPr>
            </w:pPr>
            <w:r>
              <w:rPr>
                <w:rFonts w:ascii="Arial" w:cs="Arial" w:eastAsia="Arial" w:hAnsi="Arial"/>
                <w:sz w:val="18"/>
                <w:szCs w:val="18"/>
                <w:color w:val="auto"/>
                <w:w w:val="99"/>
              </w:rPr>
              <w:t>21,683,248</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w w:val="97"/>
              </w:rPr>
              <w:t>21,683,248</w:t>
            </w:r>
          </w:p>
        </w:tc>
      </w:tr>
      <w:tr>
        <w:trPr>
          <w:trHeight w:val="272"/>
        </w:trPr>
        <w:tc>
          <w:tcPr>
            <w:tcW w:w="5520" w:type="dxa"/>
            <w:vAlign w:val="bottom"/>
          </w:tcPr>
          <w:p>
            <w:pPr>
              <w:ind w:left="20"/>
              <w:spacing w:after="0"/>
              <w:rPr>
                <w:sz w:val="20"/>
                <w:szCs w:val="20"/>
                <w:color w:val="auto"/>
              </w:rPr>
            </w:pPr>
            <w:r>
              <w:rPr>
                <w:rFonts w:ascii="Arial" w:cs="Arial" w:eastAsia="Arial" w:hAnsi="Arial"/>
                <w:sz w:val="18"/>
                <w:szCs w:val="18"/>
                <w:color w:val="auto"/>
              </w:rPr>
              <w:t>Value of Medical and Other Benefits</w:t>
            </w:r>
            <w:r>
              <w:rPr>
                <w:rFonts w:ascii="Arial" w:cs="Arial" w:eastAsia="Arial" w:hAnsi="Arial"/>
                <w:sz w:val="23"/>
                <w:szCs w:val="23"/>
                <w:color w:val="auto"/>
                <w:vertAlign w:val="superscript"/>
              </w:rPr>
              <w:t>(5)</w:t>
            </w:r>
          </w:p>
        </w:tc>
        <w:tc>
          <w:tcPr>
            <w:tcW w:w="1940" w:type="dxa"/>
            <w:vAlign w:val="bottom"/>
          </w:tcPr>
          <w:p>
            <w:pPr>
              <w:jc w:val="center"/>
              <w:ind w:left="1751"/>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3,382</w:t>
            </w:r>
          </w:p>
        </w:tc>
        <w:tc>
          <w:tcPr>
            <w:tcW w:w="360" w:type="dxa"/>
            <w:vAlign w:val="bottom"/>
          </w:tcPr>
          <w:p>
            <w:pPr>
              <w:jc w:val="right"/>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91"/>
              <w:spacing w:after="0"/>
              <w:rPr>
                <w:sz w:val="20"/>
                <w:szCs w:val="20"/>
                <w:color w:val="auto"/>
              </w:rPr>
            </w:pPr>
            <w:r>
              <w:rPr>
                <w:rFonts w:ascii="Arial" w:cs="Arial" w:eastAsia="Arial" w:hAnsi="Arial"/>
                <w:sz w:val="18"/>
                <w:szCs w:val="18"/>
                <w:color w:val="auto"/>
              </w:rPr>
              <w:t>—</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9"/>
        </w:trPr>
        <w:tc>
          <w:tcPr>
            <w:tcW w:w="5520" w:type="dxa"/>
            <w:vAlign w:val="bottom"/>
          </w:tcPr>
          <w:p>
            <w:pPr>
              <w:ind w:left="20"/>
              <w:spacing w:after="0"/>
              <w:rPr>
                <w:sz w:val="20"/>
                <w:szCs w:val="20"/>
                <w:color w:val="auto"/>
              </w:rPr>
            </w:pPr>
            <w:r>
              <w:rPr>
                <w:rFonts w:ascii="Arial" w:cs="Arial" w:eastAsia="Arial" w:hAnsi="Arial"/>
                <w:sz w:val="18"/>
                <w:szCs w:val="18"/>
                <w:color w:val="auto"/>
              </w:rPr>
              <w:t>Excise Tax Gross Up</w:t>
            </w:r>
          </w:p>
        </w:tc>
        <w:tc>
          <w:tcPr>
            <w:tcW w:w="1940" w:type="dxa"/>
            <w:vAlign w:val="bottom"/>
          </w:tcPr>
          <w:p>
            <w:pPr>
              <w:jc w:val="center"/>
              <w:ind w:left="1751"/>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c>
          <w:tcPr>
            <w:tcW w:w="360" w:type="dxa"/>
            <w:vAlign w:val="bottom"/>
          </w:tcPr>
          <w:p>
            <w:pPr>
              <w:jc w:val="right"/>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91"/>
              <w:spacing w:after="0"/>
              <w:rPr>
                <w:sz w:val="20"/>
                <w:szCs w:val="20"/>
                <w:color w:val="auto"/>
              </w:rPr>
            </w:pPr>
            <w:r>
              <w:rPr>
                <w:rFonts w:ascii="Arial" w:cs="Arial" w:eastAsia="Arial" w:hAnsi="Arial"/>
                <w:sz w:val="18"/>
                <w:szCs w:val="18"/>
                <w:color w:val="auto"/>
              </w:rPr>
              <w:t>—</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86"/>
        </w:trPr>
        <w:tc>
          <w:tcPr>
            <w:tcW w:w="5520" w:type="dxa"/>
            <w:vAlign w:val="bottom"/>
          </w:tcPr>
          <w:p>
            <w:pPr>
              <w:ind w:left="20"/>
              <w:spacing w:after="0"/>
              <w:rPr>
                <w:sz w:val="20"/>
                <w:szCs w:val="20"/>
                <w:color w:val="auto"/>
              </w:rPr>
            </w:pPr>
            <w:r>
              <w:rPr>
                <w:rFonts w:ascii="Arial" w:cs="Arial" w:eastAsia="Arial" w:hAnsi="Arial"/>
                <w:sz w:val="18"/>
                <w:szCs w:val="18"/>
                <w:b w:val="1"/>
                <w:bCs w:val="1"/>
                <w:color w:val="auto"/>
              </w:rPr>
              <w:t>Total</w:t>
            </w:r>
          </w:p>
        </w:tc>
        <w:tc>
          <w:tcPr>
            <w:tcW w:w="1940" w:type="dxa"/>
            <w:vAlign w:val="bottom"/>
          </w:tcPr>
          <w:p>
            <w:pPr>
              <w:jc w:val="center"/>
              <w:ind w:left="1751"/>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27,894,588</w:t>
            </w:r>
          </w:p>
        </w:tc>
        <w:tc>
          <w:tcPr>
            <w:tcW w:w="360" w:type="dxa"/>
            <w:vAlign w:val="bottom"/>
          </w:tcPr>
          <w:p>
            <w:pPr>
              <w:jc w:val="right"/>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91"/>
              <w:spacing w:after="0"/>
              <w:rPr>
                <w:sz w:val="20"/>
                <w:szCs w:val="20"/>
                <w:color w:val="auto"/>
              </w:rPr>
            </w:pPr>
            <w:r>
              <w:rPr>
                <w:rFonts w:ascii="Arial" w:cs="Arial" w:eastAsia="Arial" w:hAnsi="Arial"/>
                <w:sz w:val="18"/>
                <w:szCs w:val="18"/>
                <w:color w:val="auto"/>
                <w:w w:val="99"/>
              </w:rPr>
              <w:t>21,683,248</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w w:val="97"/>
              </w:rPr>
              <w:t>21,683,248</w:t>
            </w:r>
          </w:p>
        </w:tc>
      </w:tr>
      <w:tr>
        <w:trPr>
          <w:trHeight w:val="243"/>
        </w:trPr>
        <w:tc>
          <w:tcPr>
            <w:tcW w:w="5520" w:type="dxa"/>
            <w:vAlign w:val="bottom"/>
            <w:shd w:val="clear" w:color="auto" w:fill="E2E6F4"/>
          </w:tcPr>
          <w:p>
            <w:pPr>
              <w:ind w:left="20"/>
              <w:spacing w:after="0"/>
              <w:rPr>
                <w:sz w:val="20"/>
                <w:szCs w:val="20"/>
                <w:color w:val="auto"/>
              </w:rPr>
            </w:pPr>
            <w:r>
              <w:rPr>
                <w:rFonts w:ascii="Arial" w:cs="Arial" w:eastAsia="Arial" w:hAnsi="Arial"/>
                <w:sz w:val="16"/>
                <w:szCs w:val="16"/>
                <w:b w:val="1"/>
                <w:bCs w:val="1"/>
                <w:color w:val="0067B3"/>
              </w:rPr>
              <w:t>Martin Cotter</w:t>
            </w:r>
          </w:p>
        </w:tc>
        <w:tc>
          <w:tcPr>
            <w:tcW w:w="1940" w:type="dxa"/>
            <w:vAlign w:val="bottom"/>
            <w:shd w:val="clear" w:color="auto" w:fill="E2E6F4"/>
          </w:tcPr>
          <w:p>
            <w:pPr>
              <w:spacing w:after="0"/>
              <w:rPr>
                <w:sz w:val="21"/>
                <w:szCs w:val="21"/>
                <w:color w:val="auto"/>
              </w:rPr>
            </w:pPr>
          </w:p>
        </w:tc>
        <w:tc>
          <w:tcPr>
            <w:tcW w:w="1080" w:type="dxa"/>
            <w:vAlign w:val="bottom"/>
            <w:shd w:val="clear" w:color="auto" w:fill="E2E6F4"/>
          </w:tcPr>
          <w:p>
            <w:pPr>
              <w:spacing w:after="0"/>
              <w:rPr>
                <w:sz w:val="21"/>
                <w:szCs w:val="21"/>
                <w:color w:val="auto"/>
              </w:rPr>
            </w:pPr>
          </w:p>
        </w:tc>
        <w:tc>
          <w:tcPr>
            <w:tcW w:w="360" w:type="dxa"/>
            <w:vAlign w:val="bottom"/>
            <w:shd w:val="clear" w:color="auto" w:fill="E2E6F4"/>
          </w:tcPr>
          <w:p>
            <w:pPr>
              <w:spacing w:after="0"/>
              <w:rPr>
                <w:sz w:val="21"/>
                <w:szCs w:val="21"/>
                <w:color w:val="auto"/>
              </w:rPr>
            </w:pPr>
          </w:p>
        </w:tc>
        <w:tc>
          <w:tcPr>
            <w:tcW w:w="1100" w:type="dxa"/>
            <w:vAlign w:val="bottom"/>
            <w:shd w:val="clear" w:color="auto" w:fill="E2E6F4"/>
          </w:tcPr>
          <w:p>
            <w:pPr>
              <w:spacing w:after="0"/>
              <w:rPr>
                <w:sz w:val="21"/>
                <w:szCs w:val="21"/>
                <w:color w:val="auto"/>
              </w:rPr>
            </w:pPr>
          </w:p>
        </w:tc>
        <w:tc>
          <w:tcPr>
            <w:tcW w:w="260" w:type="dxa"/>
            <w:vAlign w:val="bottom"/>
            <w:shd w:val="clear" w:color="auto" w:fill="E2E6F4"/>
          </w:tcPr>
          <w:p>
            <w:pPr>
              <w:spacing w:after="0"/>
              <w:rPr>
                <w:sz w:val="21"/>
                <w:szCs w:val="21"/>
                <w:color w:val="auto"/>
              </w:rPr>
            </w:pPr>
          </w:p>
        </w:tc>
        <w:tc>
          <w:tcPr>
            <w:tcW w:w="980" w:type="dxa"/>
            <w:vAlign w:val="bottom"/>
            <w:shd w:val="clear" w:color="auto" w:fill="E2E6F4"/>
          </w:tcPr>
          <w:p>
            <w:pPr>
              <w:spacing w:after="0"/>
              <w:rPr>
                <w:sz w:val="21"/>
                <w:szCs w:val="21"/>
                <w:color w:val="auto"/>
              </w:rPr>
            </w:pPr>
          </w:p>
        </w:tc>
      </w:tr>
      <w:tr>
        <w:trPr>
          <w:trHeight w:val="278"/>
        </w:trPr>
        <w:tc>
          <w:tcPr>
            <w:tcW w:w="5520" w:type="dxa"/>
            <w:vAlign w:val="bottom"/>
            <w:shd w:val="clear" w:color="auto" w:fill="E2E6F4"/>
          </w:tcPr>
          <w:p>
            <w:pPr>
              <w:ind w:left="20"/>
              <w:spacing w:after="0"/>
              <w:rPr>
                <w:sz w:val="20"/>
                <w:szCs w:val="20"/>
                <w:color w:val="auto"/>
              </w:rPr>
            </w:pPr>
            <w:r>
              <w:rPr>
                <w:rFonts w:ascii="Arial" w:cs="Arial" w:eastAsia="Arial" w:hAnsi="Arial"/>
                <w:sz w:val="18"/>
                <w:szCs w:val="18"/>
                <w:color w:val="auto"/>
              </w:rPr>
              <w:t>Cash Severance</w:t>
            </w:r>
            <w:r>
              <w:rPr>
                <w:rFonts w:ascii="Arial" w:cs="Arial" w:eastAsia="Arial" w:hAnsi="Arial"/>
                <w:sz w:val="23"/>
                <w:szCs w:val="23"/>
                <w:color w:val="auto"/>
                <w:vertAlign w:val="superscript"/>
              </w:rPr>
              <w:t>(1)</w:t>
            </w:r>
          </w:p>
        </w:tc>
        <w:tc>
          <w:tcPr>
            <w:tcW w:w="1940" w:type="dxa"/>
            <w:vAlign w:val="bottom"/>
            <w:shd w:val="clear" w:color="auto" w:fill="E2E6F4"/>
          </w:tcPr>
          <w:p>
            <w:pPr>
              <w:jc w:val="center"/>
              <w:ind w:left="1751"/>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E2E6F4"/>
          </w:tcPr>
          <w:p>
            <w:pPr>
              <w:jc w:val="right"/>
              <w:spacing w:after="0"/>
              <w:rPr>
                <w:sz w:val="20"/>
                <w:szCs w:val="20"/>
                <w:color w:val="auto"/>
              </w:rPr>
            </w:pPr>
            <w:r>
              <w:rPr>
                <w:rFonts w:ascii="Arial" w:cs="Arial" w:eastAsia="Arial" w:hAnsi="Arial"/>
                <w:sz w:val="18"/>
                <w:szCs w:val="18"/>
                <w:color w:val="auto"/>
              </w:rPr>
              <w:t>1,794,000</w:t>
            </w:r>
          </w:p>
        </w:tc>
        <w:tc>
          <w:tcPr>
            <w:tcW w:w="360" w:type="dxa"/>
            <w:vAlign w:val="bottom"/>
            <w:shd w:val="clear" w:color="auto" w:fill="E2E6F4"/>
          </w:tcPr>
          <w:p>
            <w:pPr>
              <w:jc w:val="right"/>
              <w:spacing w:after="0"/>
              <w:rPr>
                <w:sz w:val="20"/>
                <w:szCs w:val="20"/>
                <w:color w:val="auto"/>
              </w:rPr>
            </w:pPr>
            <w:r>
              <w:rPr>
                <w:rFonts w:ascii="Arial" w:cs="Arial" w:eastAsia="Arial" w:hAnsi="Arial"/>
                <w:sz w:val="18"/>
                <w:szCs w:val="18"/>
                <w:color w:val="auto"/>
              </w:rPr>
              <w:t>$</w:t>
            </w:r>
          </w:p>
        </w:tc>
        <w:tc>
          <w:tcPr>
            <w:tcW w:w="1100" w:type="dxa"/>
            <w:vAlign w:val="bottom"/>
            <w:shd w:val="clear" w:color="auto" w:fill="E2E6F4"/>
          </w:tcPr>
          <w:p>
            <w:pPr>
              <w:jc w:val="right"/>
              <w:ind w:right="91"/>
              <w:spacing w:after="0"/>
              <w:rPr>
                <w:sz w:val="20"/>
                <w:szCs w:val="20"/>
                <w:color w:val="auto"/>
              </w:rPr>
            </w:pPr>
            <w:r>
              <w:rPr>
                <w:rFonts w:ascii="Arial" w:cs="Arial" w:eastAsia="Arial" w:hAnsi="Arial"/>
                <w:sz w:val="18"/>
                <w:szCs w:val="18"/>
                <w:color w:val="auto"/>
              </w:rPr>
              <w:t>—</w:t>
            </w:r>
          </w:p>
        </w:tc>
        <w:tc>
          <w:tcPr>
            <w:tcW w:w="260" w:type="dxa"/>
            <w:vAlign w:val="bottom"/>
            <w:shd w:val="clear" w:color="auto" w:fill="E2E6F4"/>
          </w:tcPr>
          <w:p>
            <w:pPr>
              <w:jc w:val="right"/>
              <w:spacing w:after="0"/>
              <w:rPr>
                <w:sz w:val="20"/>
                <w:szCs w:val="20"/>
                <w:color w:val="auto"/>
              </w:rPr>
            </w:pPr>
            <w:r>
              <w:rPr>
                <w:rFonts w:ascii="Arial" w:cs="Arial" w:eastAsia="Arial" w:hAnsi="Arial"/>
                <w:sz w:val="18"/>
                <w:szCs w:val="18"/>
                <w:color w:val="auto"/>
              </w:rPr>
              <w:t>$</w:t>
            </w:r>
          </w:p>
        </w:tc>
        <w:tc>
          <w:tcPr>
            <w:tcW w:w="980" w:type="dxa"/>
            <w:vAlign w:val="bottom"/>
            <w:shd w:val="clear" w:color="auto" w:fill="E2E6F4"/>
          </w:tcPr>
          <w:p>
            <w:pPr>
              <w:jc w:val="right"/>
              <w:spacing w:after="0"/>
              <w:rPr>
                <w:sz w:val="20"/>
                <w:szCs w:val="20"/>
                <w:color w:val="auto"/>
              </w:rPr>
            </w:pPr>
            <w:r>
              <w:rPr>
                <w:rFonts w:ascii="Arial" w:cs="Arial" w:eastAsia="Arial" w:hAnsi="Arial"/>
                <w:sz w:val="18"/>
                <w:szCs w:val="18"/>
                <w:color w:val="auto"/>
              </w:rPr>
              <w:t>—</w:t>
            </w:r>
          </w:p>
        </w:tc>
      </w:tr>
      <w:tr>
        <w:trPr>
          <w:trHeight w:val="270"/>
        </w:trPr>
        <w:tc>
          <w:tcPr>
            <w:tcW w:w="5520" w:type="dxa"/>
            <w:vAlign w:val="bottom"/>
            <w:shd w:val="clear" w:color="auto" w:fill="E2E6F4"/>
          </w:tcPr>
          <w:p>
            <w:pPr>
              <w:ind w:left="20"/>
              <w:spacing w:after="0"/>
              <w:rPr>
                <w:sz w:val="20"/>
                <w:szCs w:val="20"/>
                <w:color w:val="auto"/>
              </w:rPr>
            </w:pPr>
            <w:r>
              <w:rPr>
                <w:rFonts w:ascii="Arial" w:cs="Arial" w:eastAsia="Arial" w:hAnsi="Arial"/>
                <w:sz w:val="18"/>
                <w:szCs w:val="18"/>
                <w:color w:val="auto"/>
              </w:rPr>
              <w:t>Variable Cash Incentive</w:t>
            </w:r>
            <w:r>
              <w:rPr>
                <w:rFonts w:ascii="Arial" w:cs="Arial" w:eastAsia="Arial" w:hAnsi="Arial"/>
                <w:sz w:val="23"/>
                <w:szCs w:val="23"/>
                <w:color w:val="auto"/>
                <w:vertAlign w:val="superscript"/>
              </w:rPr>
              <w:t>(2)</w:t>
            </w:r>
          </w:p>
        </w:tc>
        <w:tc>
          <w:tcPr>
            <w:tcW w:w="1940" w:type="dxa"/>
            <w:vAlign w:val="bottom"/>
            <w:shd w:val="clear" w:color="auto" w:fill="E2E6F4"/>
          </w:tcPr>
          <w:p>
            <w:pPr>
              <w:jc w:val="center"/>
              <w:ind w:left="1751"/>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E2E6F4"/>
          </w:tcPr>
          <w:p>
            <w:pPr>
              <w:jc w:val="right"/>
              <w:spacing w:after="0"/>
              <w:rPr>
                <w:sz w:val="20"/>
                <w:szCs w:val="20"/>
                <w:color w:val="auto"/>
              </w:rPr>
            </w:pPr>
            <w:r>
              <w:rPr>
                <w:rFonts w:ascii="Arial" w:cs="Arial" w:eastAsia="Arial" w:hAnsi="Arial"/>
                <w:sz w:val="18"/>
                <w:szCs w:val="18"/>
                <w:color w:val="auto"/>
              </w:rPr>
              <w:t>2,874,454</w:t>
            </w:r>
          </w:p>
        </w:tc>
        <w:tc>
          <w:tcPr>
            <w:tcW w:w="360" w:type="dxa"/>
            <w:vAlign w:val="bottom"/>
            <w:shd w:val="clear" w:color="auto" w:fill="E2E6F4"/>
          </w:tcPr>
          <w:p>
            <w:pPr>
              <w:jc w:val="right"/>
              <w:spacing w:after="0"/>
              <w:rPr>
                <w:sz w:val="20"/>
                <w:szCs w:val="20"/>
                <w:color w:val="auto"/>
              </w:rPr>
            </w:pPr>
            <w:r>
              <w:rPr>
                <w:rFonts w:ascii="Arial" w:cs="Arial" w:eastAsia="Arial" w:hAnsi="Arial"/>
                <w:sz w:val="18"/>
                <w:szCs w:val="18"/>
                <w:color w:val="auto"/>
              </w:rPr>
              <w:t>$</w:t>
            </w:r>
          </w:p>
        </w:tc>
        <w:tc>
          <w:tcPr>
            <w:tcW w:w="1100" w:type="dxa"/>
            <w:vAlign w:val="bottom"/>
            <w:shd w:val="clear" w:color="auto" w:fill="E2E6F4"/>
          </w:tcPr>
          <w:p>
            <w:pPr>
              <w:jc w:val="right"/>
              <w:ind w:right="91"/>
              <w:spacing w:after="0"/>
              <w:rPr>
                <w:sz w:val="20"/>
                <w:szCs w:val="20"/>
                <w:color w:val="auto"/>
              </w:rPr>
            </w:pPr>
            <w:r>
              <w:rPr>
                <w:rFonts w:ascii="Arial" w:cs="Arial" w:eastAsia="Arial" w:hAnsi="Arial"/>
                <w:sz w:val="18"/>
                <w:szCs w:val="18"/>
                <w:color w:val="auto"/>
              </w:rPr>
              <w:t>—</w:t>
            </w:r>
          </w:p>
        </w:tc>
        <w:tc>
          <w:tcPr>
            <w:tcW w:w="260" w:type="dxa"/>
            <w:vAlign w:val="bottom"/>
            <w:shd w:val="clear" w:color="auto" w:fill="E2E6F4"/>
          </w:tcPr>
          <w:p>
            <w:pPr>
              <w:jc w:val="right"/>
              <w:spacing w:after="0"/>
              <w:rPr>
                <w:sz w:val="20"/>
                <w:szCs w:val="20"/>
                <w:color w:val="auto"/>
              </w:rPr>
            </w:pPr>
            <w:r>
              <w:rPr>
                <w:rFonts w:ascii="Arial" w:cs="Arial" w:eastAsia="Arial" w:hAnsi="Arial"/>
                <w:sz w:val="18"/>
                <w:szCs w:val="18"/>
                <w:color w:val="auto"/>
              </w:rPr>
              <w:t>$</w:t>
            </w:r>
          </w:p>
        </w:tc>
        <w:tc>
          <w:tcPr>
            <w:tcW w:w="980" w:type="dxa"/>
            <w:vAlign w:val="bottom"/>
            <w:shd w:val="clear" w:color="auto" w:fill="E2E6F4"/>
          </w:tcPr>
          <w:p>
            <w:pPr>
              <w:jc w:val="right"/>
              <w:spacing w:after="0"/>
              <w:rPr>
                <w:sz w:val="20"/>
                <w:szCs w:val="20"/>
                <w:color w:val="auto"/>
              </w:rPr>
            </w:pPr>
            <w:r>
              <w:rPr>
                <w:rFonts w:ascii="Arial" w:cs="Arial" w:eastAsia="Arial" w:hAnsi="Arial"/>
                <w:sz w:val="18"/>
                <w:szCs w:val="18"/>
                <w:color w:val="auto"/>
              </w:rPr>
              <w:t>—</w:t>
            </w:r>
          </w:p>
        </w:tc>
      </w:tr>
      <w:tr>
        <w:trPr>
          <w:trHeight w:val="270"/>
        </w:trPr>
        <w:tc>
          <w:tcPr>
            <w:tcW w:w="5520" w:type="dxa"/>
            <w:vAlign w:val="bottom"/>
            <w:shd w:val="clear" w:color="auto" w:fill="E2E6F4"/>
          </w:tcPr>
          <w:p>
            <w:pPr>
              <w:ind w:left="20"/>
              <w:spacing w:after="0"/>
              <w:rPr>
                <w:sz w:val="20"/>
                <w:szCs w:val="20"/>
                <w:color w:val="auto"/>
              </w:rPr>
            </w:pPr>
            <w:r>
              <w:rPr>
                <w:rFonts w:ascii="Arial" w:cs="Arial" w:eastAsia="Arial" w:hAnsi="Arial"/>
                <w:sz w:val="18"/>
                <w:szCs w:val="18"/>
                <w:color w:val="auto"/>
              </w:rPr>
              <w:t>Value of Accelerated Vesting of Equity Awards</w:t>
            </w:r>
            <w:r>
              <w:rPr>
                <w:rFonts w:ascii="Arial" w:cs="Arial" w:eastAsia="Arial" w:hAnsi="Arial"/>
                <w:sz w:val="23"/>
                <w:szCs w:val="23"/>
                <w:color w:val="auto"/>
                <w:vertAlign w:val="superscript"/>
              </w:rPr>
              <w:t>(3)(4)</w:t>
            </w:r>
          </w:p>
        </w:tc>
        <w:tc>
          <w:tcPr>
            <w:tcW w:w="1940" w:type="dxa"/>
            <w:vAlign w:val="bottom"/>
            <w:shd w:val="clear" w:color="auto" w:fill="E2E6F4"/>
          </w:tcPr>
          <w:p>
            <w:pPr>
              <w:jc w:val="center"/>
              <w:ind w:left="1751"/>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E2E6F4"/>
          </w:tcPr>
          <w:p>
            <w:pPr>
              <w:jc w:val="right"/>
              <w:spacing w:after="0"/>
              <w:rPr>
                <w:sz w:val="20"/>
                <w:szCs w:val="20"/>
                <w:color w:val="auto"/>
              </w:rPr>
            </w:pPr>
            <w:r>
              <w:rPr>
                <w:rFonts w:ascii="Arial" w:cs="Arial" w:eastAsia="Arial" w:hAnsi="Arial"/>
                <w:sz w:val="18"/>
                <w:szCs w:val="18"/>
                <w:color w:val="auto"/>
              </w:rPr>
              <w:t>13,828,420</w:t>
            </w:r>
          </w:p>
        </w:tc>
        <w:tc>
          <w:tcPr>
            <w:tcW w:w="360" w:type="dxa"/>
            <w:vAlign w:val="bottom"/>
            <w:shd w:val="clear" w:color="auto" w:fill="E2E6F4"/>
          </w:tcPr>
          <w:p>
            <w:pPr>
              <w:jc w:val="right"/>
              <w:spacing w:after="0"/>
              <w:rPr>
                <w:sz w:val="20"/>
                <w:szCs w:val="20"/>
                <w:color w:val="auto"/>
              </w:rPr>
            </w:pPr>
            <w:r>
              <w:rPr>
                <w:rFonts w:ascii="Arial" w:cs="Arial" w:eastAsia="Arial" w:hAnsi="Arial"/>
                <w:sz w:val="18"/>
                <w:szCs w:val="18"/>
                <w:color w:val="auto"/>
              </w:rPr>
              <w:t>$</w:t>
            </w:r>
          </w:p>
        </w:tc>
        <w:tc>
          <w:tcPr>
            <w:tcW w:w="1100" w:type="dxa"/>
            <w:vAlign w:val="bottom"/>
            <w:shd w:val="clear" w:color="auto" w:fill="E2E6F4"/>
          </w:tcPr>
          <w:p>
            <w:pPr>
              <w:jc w:val="right"/>
              <w:ind w:right="91"/>
              <w:spacing w:after="0"/>
              <w:rPr>
                <w:sz w:val="20"/>
                <w:szCs w:val="20"/>
                <w:color w:val="auto"/>
              </w:rPr>
            </w:pPr>
            <w:r>
              <w:rPr>
                <w:rFonts w:ascii="Arial" w:cs="Arial" w:eastAsia="Arial" w:hAnsi="Arial"/>
                <w:sz w:val="18"/>
                <w:szCs w:val="18"/>
                <w:color w:val="auto"/>
                <w:w w:val="99"/>
              </w:rPr>
              <w:t>12,729,695</w:t>
            </w:r>
          </w:p>
        </w:tc>
        <w:tc>
          <w:tcPr>
            <w:tcW w:w="260" w:type="dxa"/>
            <w:vAlign w:val="bottom"/>
            <w:shd w:val="clear" w:color="auto" w:fill="E2E6F4"/>
          </w:tcPr>
          <w:p>
            <w:pPr>
              <w:jc w:val="right"/>
              <w:spacing w:after="0"/>
              <w:rPr>
                <w:sz w:val="20"/>
                <w:szCs w:val="20"/>
                <w:color w:val="auto"/>
              </w:rPr>
            </w:pPr>
            <w:r>
              <w:rPr>
                <w:rFonts w:ascii="Arial" w:cs="Arial" w:eastAsia="Arial" w:hAnsi="Arial"/>
                <w:sz w:val="18"/>
                <w:szCs w:val="18"/>
                <w:color w:val="auto"/>
              </w:rPr>
              <w:t>$</w:t>
            </w:r>
          </w:p>
        </w:tc>
        <w:tc>
          <w:tcPr>
            <w:tcW w:w="980" w:type="dxa"/>
            <w:vAlign w:val="bottom"/>
            <w:shd w:val="clear" w:color="auto" w:fill="E2E6F4"/>
          </w:tcPr>
          <w:p>
            <w:pPr>
              <w:jc w:val="right"/>
              <w:spacing w:after="0"/>
              <w:rPr>
                <w:sz w:val="20"/>
                <w:szCs w:val="20"/>
                <w:color w:val="auto"/>
              </w:rPr>
            </w:pPr>
            <w:r>
              <w:rPr>
                <w:rFonts w:ascii="Arial" w:cs="Arial" w:eastAsia="Arial" w:hAnsi="Arial"/>
                <w:sz w:val="18"/>
                <w:szCs w:val="18"/>
                <w:color w:val="auto"/>
                <w:w w:val="97"/>
              </w:rPr>
              <w:t>12,729,695</w:t>
            </w:r>
          </w:p>
        </w:tc>
      </w:tr>
      <w:tr>
        <w:trPr>
          <w:trHeight w:val="270"/>
        </w:trPr>
        <w:tc>
          <w:tcPr>
            <w:tcW w:w="5520" w:type="dxa"/>
            <w:vAlign w:val="bottom"/>
            <w:shd w:val="clear" w:color="auto" w:fill="E2E6F4"/>
          </w:tcPr>
          <w:p>
            <w:pPr>
              <w:ind w:left="20"/>
              <w:spacing w:after="0"/>
              <w:rPr>
                <w:sz w:val="20"/>
                <w:szCs w:val="20"/>
                <w:color w:val="auto"/>
              </w:rPr>
            </w:pPr>
            <w:r>
              <w:rPr>
                <w:rFonts w:ascii="Arial" w:cs="Arial" w:eastAsia="Arial" w:hAnsi="Arial"/>
                <w:sz w:val="18"/>
                <w:szCs w:val="18"/>
                <w:color w:val="auto"/>
              </w:rPr>
              <w:t>Value of Medical and Other Benefits</w:t>
            </w:r>
            <w:r>
              <w:rPr>
                <w:rFonts w:ascii="Arial" w:cs="Arial" w:eastAsia="Arial" w:hAnsi="Arial"/>
                <w:sz w:val="23"/>
                <w:szCs w:val="23"/>
                <w:color w:val="auto"/>
                <w:vertAlign w:val="superscript"/>
              </w:rPr>
              <w:t>(5)</w:t>
            </w:r>
          </w:p>
        </w:tc>
        <w:tc>
          <w:tcPr>
            <w:tcW w:w="1940" w:type="dxa"/>
            <w:vAlign w:val="bottom"/>
            <w:shd w:val="clear" w:color="auto" w:fill="E2E6F4"/>
          </w:tcPr>
          <w:p>
            <w:pPr>
              <w:jc w:val="center"/>
              <w:ind w:left="1751"/>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E2E6F4"/>
          </w:tcPr>
          <w:p>
            <w:pPr>
              <w:jc w:val="right"/>
              <w:spacing w:after="0"/>
              <w:rPr>
                <w:sz w:val="20"/>
                <w:szCs w:val="20"/>
                <w:color w:val="auto"/>
              </w:rPr>
            </w:pPr>
            <w:r>
              <w:rPr>
                <w:rFonts w:ascii="Arial" w:cs="Arial" w:eastAsia="Arial" w:hAnsi="Arial"/>
                <w:sz w:val="18"/>
                <w:szCs w:val="18"/>
                <w:color w:val="auto"/>
              </w:rPr>
              <w:t>29,018</w:t>
            </w:r>
          </w:p>
        </w:tc>
        <w:tc>
          <w:tcPr>
            <w:tcW w:w="360" w:type="dxa"/>
            <w:vAlign w:val="bottom"/>
            <w:shd w:val="clear" w:color="auto" w:fill="E2E6F4"/>
          </w:tcPr>
          <w:p>
            <w:pPr>
              <w:jc w:val="right"/>
              <w:spacing w:after="0"/>
              <w:rPr>
                <w:sz w:val="20"/>
                <w:szCs w:val="20"/>
                <w:color w:val="auto"/>
              </w:rPr>
            </w:pPr>
            <w:r>
              <w:rPr>
                <w:rFonts w:ascii="Arial" w:cs="Arial" w:eastAsia="Arial" w:hAnsi="Arial"/>
                <w:sz w:val="18"/>
                <w:szCs w:val="18"/>
                <w:color w:val="auto"/>
              </w:rPr>
              <w:t>$</w:t>
            </w:r>
          </w:p>
        </w:tc>
        <w:tc>
          <w:tcPr>
            <w:tcW w:w="1100" w:type="dxa"/>
            <w:vAlign w:val="bottom"/>
            <w:shd w:val="clear" w:color="auto" w:fill="E2E6F4"/>
          </w:tcPr>
          <w:p>
            <w:pPr>
              <w:jc w:val="right"/>
              <w:ind w:right="91"/>
              <w:spacing w:after="0"/>
              <w:rPr>
                <w:sz w:val="20"/>
                <w:szCs w:val="20"/>
                <w:color w:val="auto"/>
              </w:rPr>
            </w:pPr>
            <w:r>
              <w:rPr>
                <w:rFonts w:ascii="Arial" w:cs="Arial" w:eastAsia="Arial" w:hAnsi="Arial"/>
                <w:sz w:val="18"/>
                <w:szCs w:val="18"/>
                <w:color w:val="auto"/>
              </w:rPr>
              <w:t>—</w:t>
            </w:r>
          </w:p>
        </w:tc>
        <w:tc>
          <w:tcPr>
            <w:tcW w:w="260" w:type="dxa"/>
            <w:vAlign w:val="bottom"/>
            <w:shd w:val="clear" w:color="auto" w:fill="E2E6F4"/>
          </w:tcPr>
          <w:p>
            <w:pPr>
              <w:jc w:val="right"/>
              <w:spacing w:after="0"/>
              <w:rPr>
                <w:sz w:val="20"/>
                <w:szCs w:val="20"/>
                <w:color w:val="auto"/>
              </w:rPr>
            </w:pPr>
            <w:r>
              <w:rPr>
                <w:rFonts w:ascii="Arial" w:cs="Arial" w:eastAsia="Arial" w:hAnsi="Arial"/>
                <w:sz w:val="18"/>
                <w:szCs w:val="18"/>
                <w:color w:val="auto"/>
              </w:rPr>
              <w:t>$</w:t>
            </w:r>
          </w:p>
        </w:tc>
        <w:tc>
          <w:tcPr>
            <w:tcW w:w="980" w:type="dxa"/>
            <w:vAlign w:val="bottom"/>
            <w:shd w:val="clear" w:color="auto" w:fill="E2E6F4"/>
          </w:tcPr>
          <w:p>
            <w:pPr>
              <w:jc w:val="right"/>
              <w:spacing w:after="0"/>
              <w:rPr>
                <w:sz w:val="20"/>
                <w:szCs w:val="20"/>
                <w:color w:val="auto"/>
              </w:rPr>
            </w:pPr>
            <w:r>
              <w:rPr>
                <w:rFonts w:ascii="Arial" w:cs="Arial" w:eastAsia="Arial" w:hAnsi="Arial"/>
                <w:sz w:val="18"/>
                <w:szCs w:val="18"/>
                <w:color w:val="auto"/>
              </w:rPr>
              <w:t>—</w:t>
            </w:r>
          </w:p>
        </w:tc>
      </w:tr>
      <w:tr>
        <w:trPr>
          <w:trHeight w:val="247"/>
        </w:trPr>
        <w:tc>
          <w:tcPr>
            <w:tcW w:w="5520" w:type="dxa"/>
            <w:vAlign w:val="bottom"/>
            <w:shd w:val="clear" w:color="auto" w:fill="E2E6F4"/>
          </w:tcPr>
          <w:p>
            <w:pPr>
              <w:ind w:left="20"/>
              <w:spacing w:after="0"/>
              <w:rPr>
                <w:sz w:val="20"/>
                <w:szCs w:val="20"/>
                <w:color w:val="auto"/>
              </w:rPr>
            </w:pPr>
            <w:r>
              <w:rPr>
                <w:rFonts w:ascii="Arial" w:cs="Arial" w:eastAsia="Arial" w:hAnsi="Arial"/>
                <w:sz w:val="18"/>
                <w:szCs w:val="18"/>
                <w:color w:val="auto"/>
              </w:rPr>
              <w:t>Excise Tax Gross Up</w:t>
            </w:r>
          </w:p>
        </w:tc>
        <w:tc>
          <w:tcPr>
            <w:tcW w:w="1940" w:type="dxa"/>
            <w:vAlign w:val="bottom"/>
            <w:shd w:val="clear" w:color="auto" w:fill="E2E6F4"/>
          </w:tcPr>
          <w:p>
            <w:pPr>
              <w:jc w:val="center"/>
              <w:ind w:left="1751"/>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E2E6F4"/>
          </w:tcPr>
          <w:p>
            <w:pPr>
              <w:jc w:val="right"/>
              <w:spacing w:after="0"/>
              <w:rPr>
                <w:sz w:val="20"/>
                <w:szCs w:val="20"/>
                <w:color w:val="auto"/>
              </w:rPr>
            </w:pPr>
            <w:r>
              <w:rPr>
                <w:rFonts w:ascii="Arial" w:cs="Arial" w:eastAsia="Arial" w:hAnsi="Arial"/>
                <w:sz w:val="18"/>
                <w:szCs w:val="18"/>
                <w:color w:val="auto"/>
              </w:rPr>
              <w:t>—</w:t>
            </w:r>
          </w:p>
        </w:tc>
        <w:tc>
          <w:tcPr>
            <w:tcW w:w="360" w:type="dxa"/>
            <w:vAlign w:val="bottom"/>
            <w:shd w:val="clear" w:color="auto" w:fill="E2E6F4"/>
          </w:tcPr>
          <w:p>
            <w:pPr>
              <w:jc w:val="right"/>
              <w:spacing w:after="0"/>
              <w:rPr>
                <w:sz w:val="20"/>
                <w:szCs w:val="20"/>
                <w:color w:val="auto"/>
              </w:rPr>
            </w:pPr>
            <w:r>
              <w:rPr>
                <w:rFonts w:ascii="Arial" w:cs="Arial" w:eastAsia="Arial" w:hAnsi="Arial"/>
                <w:sz w:val="18"/>
                <w:szCs w:val="18"/>
                <w:color w:val="auto"/>
              </w:rPr>
              <w:t>$</w:t>
            </w:r>
          </w:p>
        </w:tc>
        <w:tc>
          <w:tcPr>
            <w:tcW w:w="1100" w:type="dxa"/>
            <w:vAlign w:val="bottom"/>
            <w:shd w:val="clear" w:color="auto" w:fill="E2E6F4"/>
          </w:tcPr>
          <w:p>
            <w:pPr>
              <w:jc w:val="right"/>
              <w:ind w:right="91"/>
              <w:spacing w:after="0"/>
              <w:rPr>
                <w:sz w:val="20"/>
                <w:szCs w:val="20"/>
                <w:color w:val="auto"/>
              </w:rPr>
            </w:pPr>
            <w:r>
              <w:rPr>
                <w:rFonts w:ascii="Arial" w:cs="Arial" w:eastAsia="Arial" w:hAnsi="Arial"/>
                <w:sz w:val="18"/>
                <w:szCs w:val="18"/>
                <w:color w:val="auto"/>
              </w:rPr>
              <w:t>—</w:t>
            </w:r>
          </w:p>
        </w:tc>
        <w:tc>
          <w:tcPr>
            <w:tcW w:w="260" w:type="dxa"/>
            <w:vAlign w:val="bottom"/>
            <w:shd w:val="clear" w:color="auto" w:fill="E2E6F4"/>
          </w:tcPr>
          <w:p>
            <w:pPr>
              <w:jc w:val="right"/>
              <w:spacing w:after="0"/>
              <w:rPr>
                <w:sz w:val="20"/>
                <w:szCs w:val="20"/>
                <w:color w:val="auto"/>
              </w:rPr>
            </w:pPr>
            <w:r>
              <w:rPr>
                <w:rFonts w:ascii="Arial" w:cs="Arial" w:eastAsia="Arial" w:hAnsi="Arial"/>
                <w:sz w:val="18"/>
                <w:szCs w:val="18"/>
                <w:color w:val="auto"/>
              </w:rPr>
              <w:t>$</w:t>
            </w:r>
          </w:p>
        </w:tc>
        <w:tc>
          <w:tcPr>
            <w:tcW w:w="980" w:type="dxa"/>
            <w:vAlign w:val="bottom"/>
            <w:shd w:val="clear" w:color="auto" w:fill="E2E6F4"/>
          </w:tcPr>
          <w:p>
            <w:pPr>
              <w:jc w:val="right"/>
              <w:spacing w:after="0"/>
              <w:rPr>
                <w:sz w:val="20"/>
                <w:szCs w:val="20"/>
                <w:color w:val="auto"/>
              </w:rPr>
            </w:pPr>
            <w:r>
              <w:rPr>
                <w:rFonts w:ascii="Arial" w:cs="Arial" w:eastAsia="Arial" w:hAnsi="Arial"/>
                <w:sz w:val="18"/>
                <w:szCs w:val="18"/>
                <w:color w:val="auto"/>
              </w:rPr>
              <w:t>—</w:t>
            </w:r>
          </w:p>
        </w:tc>
      </w:tr>
      <w:tr>
        <w:trPr>
          <w:trHeight w:val="293"/>
        </w:trPr>
        <w:tc>
          <w:tcPr>
            <w:tcW w:w="5520" w:type="dxa"/>
            <w:vAlign w:val="bottom"/>
            <w:shd w:val="clear" w:color="auto" w:fill="E2E6F4"/>
          </w:tcPr>
          <w:p>
            <w:pPr>
              <w:ind w:left="20"/>
              <w:spacing w:after="0"/>
              <w:rPr>
                <w:sz w:val="20"/>
                <w:szCs w:val="20"/>
                <w:color w:val="auto"/>
              </w:rPr>
            </w:pPr>
            <w:r>
              <w:rPr>
                <w:rFonts w:ascii="Arial" w:cs="Arial" w:eastAsia="Arial" w:hAnsi="Arial"/>
                <w:sz w:val="18"/>
                <w:szCs w:val="18"/>
                <w:b w:val="1"/>
                <w:bCs w:val="1"/>
                <w:color w:val="auto"/>
              </w:rPr>
              <w:t>Total</w:t>
            </w:r>
          </w:p>
        </w:tc>
        <w:tc>
          <w:tcPr>
            <w:tcW w:w="1940" w:type="dxa"/>
            <w:vAlign w:val="bottom"/>
            <w:shd w:val="clear" w:color="auto" w:fill="E2E6F4"/>
          </w:tcPr>
          <w:p>
            <w:pPr>
              <w:jc w:val="center"/>
              <w:ind w:left="1751"/>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E2E6F4"/>
          </w:tcPr>
          <w:p>
            <w:pPr>
              <w:jc w:val="right"/>
              <w:spacing w:after="0"/>
              <w:rPr>
                <w:sz w:val="20"/>
                <w:szCs w:val="20"/>
                <w:color w:val="auto"/>
              </w:rPr>
            </w:pPr>
            <w:r>
              <w:rPr>
                <w:rFonts w:ascii="Arial" w:cs="Arial" w:eastAsia="Arial" w:hAnsi="Arial"/>
                <w:sz w:val="18"/>
                <w:szCs w:val="18"/>
                <w:color w:val="auto"/>
              </w:rPr>
              <w:t>18,525,892</w:t>
            </w:r>
          </w:p>
        </w:tc>
        <w:tc>
          <w:tcPr>
            <w:tcW w:w="360" w:type="dxa"/>
            <w:vAlign w:val="bottom"/>
            <w:shd w:val="clear" w:color="auto" w:fill="E2E6F4"/>
          </w:tcPr>
          <w:p>
            <w:pPr>
              <w:jc w:val="right"/>
              <w:spacing w:after="0"/>
              <w:rPr>
                <w:sz w:val="20"/>
                <w:szCs w:val="20"/>
                <w:color w:val="auto"/>
              </w:rPr>
            </w:pPr>
            <w:r>
              <w:rPr>
                <w:rFonts w:ascii="Arial" w:cs="Arial" w:eastAsia="Arial" w:hAnsi="Arial"/>
                <w:sz w:val="18"/>
                <w:szCs w:val="18"/>
                <w:color w:val="auto"/>
              </w:rPr>
              <w:t>$</w:t>
            </w:r>
          </w:p>
        </w:tc>
        <w:tc>
          <w:tcPr>
            <w:tcW w:w="1100" w:type="dxa"/>
            <w:vAlign w:val="bottom"/>
            <w:shd w:val="clear" w:color="auto" w:fill="E2E6F4"/>
          </w:tcPr>
          <w:p>
            <w:pPr>
              <w:jc w:val="right"/>
              <w:ind w:right="91"/>
              <w:spacing w:after="0"/>
              <w:rPr>
                <w:sz w:val="20"/>
                <w:szCs w:val="20"/>
                <w:color w:val="auto"/>
              </w:rPr>
            </w:pPr>
            <w:r>
              <w:rPr>
                <w:rFonts w:ascii="Arial" w:cs="Arial" w:eastAsia="Arial" w:hAnsi="Arial"/>
                <w:sz w:val="18"/>
                <w:szCs w:val="18"/>
                <w:color w:val="auto"/>
                <w:w w:val="99"/>
              </w:rPr>
              <w:t>12,729,695</w:t>
            </w:r>
          </w:p>
        </w:tc>
        <w:tc>
          <w:tcPr>
            <w:tcW w:w="260" w:type="dxa"/>
            <w:vAlign w:val="bottom"/>
            <w:shd w:val="clear" w:color="auto" w:fill="E2E6F4"/>
          </w:tcPr>
          <w:p>
            <w:pPr>
              <w:jc w:val="right"/>
              <w:spacing w:after="0"/>
              <w:rPr>
                <w:sz w:val="20"/>
                <w:szCs w:val="20"/>
                <w:color w:val="auto"/>
              </w:rPr>
            </w:pPr>
            <w:r>
              <w:rPr>
                <w:rFonts w:ascii="Arial" w:cs="Arial" w:eastAsia="Arial" w:hAnsi="Arial"/>
                <w:sz w:val="18"/>
                <w:szCs w:val="18"/>
                <w:color w:val="auto"/>
              </w:rPr>
              <w:t>$</w:t>
            </w:r>
          </w:p>
        </w:tc>
        <w:tc>
          <w:tcPr>
            <w:tcW w:w="980" w:type="dxa"/>
            <w:vAlign w:val="bottom"/>
            <w:shd w:val="clear" w:color="auto" w:fill="E2E6F4"/>
          </w:tcPr>
          <w:p>
            <w:pPr>
              <w:jc w:val="right"/>
              <w:spacing w:after="0"/>
              <w:rPr>
                <w:sz w:val="20"/>
                <w:szCs w:val="20"/>
                <w:color w:val="auto"/>
              </w:rPr>
            </w:pPr>
            <w:r>
              <w:rPr>
                <w:rFonts w:ascii="Arial" w:cs="Arial" w:eastAsia="Arial" w:hAnsi="Arial"/>
                <w:sz w:val="18"/>
                <w:szCs w:val="18"/>
                <w:color w:val="auto"/>
                <w:w w:val="97"/>
              </w:rPr>
              <w:t>12,729,695</w:t>
            </w:r>
          </w:p>
        </w:tc>
      </w:tr>
      <w:tr>
        <w:trPr>
          <w:trHeight w:val="235"/>
        </w:trPr>
        <w:tc>
          <w:tcPr>
            <w:tcW w:w="5520" w:type="dxa"/>
            <w:vAlign w:val="bottom"/>
          </w:tcPr>
          <w:p>
            <w:pPr>
              <w:ind w:left="20"/>
              <w:spacing w:after="0"/>
              <w:rPr>
                <w:sz w:val="20"/>
                <w:szCs w:val="20"/>
                <w:color w:val="auto"/>
              </w:rPr>
            </w:pPr>
            <w:r>
              <w:rPr>
                <w:rFonts w:ascii="Arial" w:cs="Arial" w:eastAsia="Arial" w:hAnsi="Arial"/>
                <w:sz w:val="16"/>
                <w:szCs w:val="16"/>
                <w:b w:val="1"/>
                <w:bCs w:val="1"/>
                <w:color w:val="0067B3"/>
              </w:rPr>
              <w:t>Vivek Jain</w:t>
            </w:r>
          </w:p>
        </w:tc>
        <w:tc>
          <w:tcPr>
            <w:tcW w:w="19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spacing w:after="0"/>
              <w:rPr>
                <w:sz w:val="20"/>
                <w:szCs w:val="20"/>
                <w:color w:val="auto"/>
              </w:rPr>
            </w:pPr>
          </w:p>
        </w:tc>
      </w:tr>
      <w:tr>
        <w:trPr>
          <w:trHeight w:val="283"/>
        </w:trPr>
        <w:tc>
          <w:tcPr>
            <w:tcW w:w="5520" w:type="dxa"/>
            <w:vAlign w:val="bottom"/>
          </w:tcPr>
          <w:p>
            <w:pPr>
              <w:ind w:left="20"/>
              <w:spacing w:after="0"/>
              <w:rPr>
                <w:sz w:val="20"/>
                <w:szCs w:val="20"/>
                <w:color w:val="auto"/>
              </w:rPr>
            </w:pPr>
            <w:r>
              <w:rPr>
                <w:rFonts w:ascii="Arial" w:cs="Arial" w:eastAsia="Arial" w:hAnsi="Arial"/>
                <w:sz w:val="18"/>
                <w:szCs w:val="18"/>
                <w:color w:val="auto"/>
              </w:rPr>
              <w:t>Cash Severance</w:t>
            </w:r>
            <w:r>
              <w:rPr>
                <w:rFonts w:ascii="Arial" w:cs="Arial" w:eastAsia="Arial" w:hAnsi="Arial"/>
                <w:sz w:val="23"/>
                <w:szCs w:val="23"/>
                <w:color w:val="auto"/>
                <w:vertAlign w:val="superscript"/>
              </w:rPr>
              <w:t>(1)</w:t>
            </w:r>
          </w:p>
        </w:tc>
        <w:tc>
          <w:tcPr>
            <w:tcW w:w="1940" w:type="dxa"/>
            <w:vAlign w:val="bottom"/>
          </w:tcPr>
          <w:p>
            <w:pPr>
              <w:jc w:val="center"/>
              <w:ind w:left="1751"/>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2,093,000</w:t>
            </w:r>
          </w:p>
        </w:tc>
        <w:tc>
          <w:tcPr>
            <w:tcW w:w="360" w:type="dxa"/>
            <w:vAlign w:val="bottom"/>
          </w:tcPr>
          <w:p>
            <w:pPr>
              <w:jc w:val="right"/>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91"/>
              <w:spacing w:after="0"/>
              <w:rPr>
                <w:sz w:val="20"/>
                <w:szCs w:val="20"/>
                <w:color w:val="auto"/>
              </w:rPr>
            </w:pPr>
            <w:r>
              <w:rPr>
                <w:rFonts w:ascii="Arial" w:cs="Arial" w:eastAsia="Arial" w:hAnsi="Arial"/>
                <w:sz w:val="18"/>
                <w:szCs w:val="18"/>
                <w:color w:val="auto"/>
              </w:rPr>
              <w:t>—</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70"/>
        </w:trPr>
        <w:tc>
          <w:tcPr>
            <w:tcW w:w="5520" w:type="dxa"/>
            <w:vAlign w:val="bottom"/>
          </w:tcPr>
          <w:p>
            <w:pPr>
              <w:ind w:left="20"/>
              <w:spacing w:after="0"/>
              <w:rPr>
                <w:sz w:val="20"/>
                <w:szCs w:val="20"/>
                <w:color w:val="auto"/>
              </w:rPr>
            </w:pPr>
            <w:r>
              <w:rPr>
                <w:rFonts w:ascii="Arial" w:cs="Arial" w:eastAsia="Arial" w:hAnsi="Arial"/>
                <w:sz w:val="18"/>
                <w:szCs w:val="18"/>
                <w:color w:val="auto"/>
              </w:rPr>
              <w:t>Variable Cash Incentive</w:t>
            </w:r>
            <w:r>
              <w:rPr>
                <w:rFonts w:ascii="Arial" w:cs="Arial" w:eastAsia="Arial" w:hAnsi="Arial"/>
                <w:sz w:val="23"/>
                <w:szCs w:val="23"/>
                <w:color w:val="auto"/>
                <w:vertAlign w:val="superscript"/>
              </w:rPr>
              <w:t>(2)</w:t>
            </w:r>
          </w:p>
        </w:tc>
        <w:tc>
          <w:tcPr>
            <w:tcW w:w="1940" w:type="dxa"/>
            <w:vAlign w:val="bottom"/>
          </w:tcPr>
          <w:p>
            <w:pPr>
              <w:jc w:val="center"/>
              <w:ind w:left="1751"/>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4,050,155</w:t>
            </w:r>
          </w:p>
        </w:tc>
        <w:tc>
          <w:tcPr>
            <w:tcW w:w="360" w:type="dxa"/>
            <w:vAlign w:val="bottom"/>
          </w:tcPr>
          <w:p>
            <w:pPr>
              <w:jc w:val="right"/>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91"/>
              <w:spacing w:after="0"/>
              <w:rPr>
                <w:sz w:val="20"/>
                <w:szCs w:val="20"/>
                <w:color w:val="auto"/>
              </w:rPr>
            </w:pPr>
            <w:r>
              <w:rPr>
                <w:rFonts w:ascii="Arial" w:cs="Arial" w:eastAsia="Arial" w:hAnsi="Arial"/>
                <w:sz w:val="18"/>
                <w:szCs w:val="18"/>
                <w:color w:val="auto"/>
              </w:rPr>
              <w:t>—</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70"/>
        </w:trPr>
        <w:tc>
          <w:tcPr>
            <w:tcW w:w="5520" w:type="dxa"/>
            <w:vAlign w:val="bottom"/>
          </w:tcPr>
          <w:p>
            <w:pPr>
              <w:ind w:left="20"/>
              <w:spacing w:after="0"/>
              <w:rPr>
                <w:sz w:val="20"/>
                <w:szCs w:val="20"/>
                <w:color w:val="auto"/>
              </w:rPr>
            </w:pPr>
            <w:r>
              <w:rPr>
                <w:rFonts w:ascii="Arial" w:cs="Arial" w:eastAsia="Arial" w:hAnsi="Arial"/>
                <w:sz w:val="18"/>
                <w:szCs w:val="18"/>
                <w:color w:val="auto"/>
              </w:rPr>
              <w:t>Value of Accelerated Vesting of Equity Awards</w:t>
            </w:r>
            <w:r>
              <w:rPr>
                <w:rFonts w:ascii="Arial" w:cs="Arial" w:eastAsia="Arial" w:hAnsi="Arial"/>
                <w:sz w:val="23"/>
                <w:szCs w:val="23"/>
                <w:color w:val="auto"/>
                <w:vertAlign w:val="superscript"/>
              </w:rPr>
              <w:t>(3)(4)</w:t>
            </w:r>
          </w:p>
        </w:tc>
        <w:tc>
          <w:tcPr>
            <w:tcW w:w="1940" w:type="dxa"/>
            <w:vAlign w:val="bottom"/>
          </w:tcPr>
          <w:p>
            <w:pPr>
              <w:jc w:val="center"/>
              <w:ind w:left="1751"/>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19,323,685</w:t>
            </w:r>
          </w:p>
        </w:tc>
        <w:tc>
          <w:tcPr>
            <w:tcW w:w="360" w:type="dxa"/>
            <w:vAlign w:val="bottom"/>
          </w:tcPr>
          <w:p>
            <w:pPr>
              <w:jc w:val="right"/>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91"/>
              <w:spacing w:after="0"/>
              <w:rPr>
                <w:sz w:val="20"/>
                <w:szCs w:val="20"/>
                <w:color w:val="auto"/>
              </w:rPr>
            </w:pPr>
            <w:r>
              <w:rPr>
                <w:rFonts w:ascii="Arial" w:cs="Arial" w:eastAsia="Arial" w:hAnsi="Arial"/>
                <w:sz w:val="18"/>
                <w:szCs w:val="18"/>
                <w:color w:val="auto"/>
                <w:w w:val="99"/>
              </w:rPr>
              <w:t>17,601,912</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w w:val="97"/>
              </w:rPr>
              <w:t>17,601,912</w:t>
            </w:r>
          </w:p>
        </w:tc>
      </w:tr>
      <w:tr>
        <w:trPr>
          <w:trHeight w:val="272"/>
        </w:trPr>
        <w:tc>
          <w:tcPr>
            <w:tcW w:w="5520" w:type="dxa"/>
            <w:vAlign w:val="bottom"/>
          </w:tcPr>
          <w:p>
            <w:pPr>
              <w:ind w:left="20"/>
              <w:spacing w:after="0"/>
              <w:rPr>
                <w:sz w:val="20"/>
                <w:szCs w:val="20"/>
                <w:color w:val="auto"/>
              </w:rPr>
            </w:pPr>
            <w:r>
              <w:rPr>
                <w:rFonts w:ascii="Arial" w:cs="Arial" w:eastAsia="Arial" w:hAnsi="Arial"/>
                <w:sz w:val="18"/>
                <w:szCs w:val="18"/>
                <w:color w:val="auto"/>
              </w:rPr>
              <w:t>Value of Medical and Other Benefits</w:t>
            </w:r>
            <w:r>
              <w:rPr>
                <w:rFonts w:ascii="Arial" w:cs="Arial" w:eastAsia="Arial" w:hAnsi="Arial"/>
                <w:sz w:val="23"/>
                <w:szCs w:val="23"/>
                <w:color w:val="auto"/>
                <w:vertAlign w:val="superscript"/>
              </w:rPr>
              <w:t>(5)</w:t>
            </w:r>
          </w:p>
        </w:tc>
        <w:tc>
          <w:tcPr>
            <w:tcW w:w="1940" w:type="dxa"/>
            <w:vAlign w:val="bottom"/>
          </w:tcPr>
          <w:p>
            <w:pPr>
              <w:jc w:val="center"/>
              <w:ind w:left="1751"/>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34,682</w:t>
            </w:r>
          </w:p>
        </w:tc>
        <w:tc>
          <w:tcPr>
            <w:tcW w:w="360" w:type="dxa"/>
            <w:vAlign w:val="bottom"/>
          </w:tcPr>
          <w:p>
            <w:pPr>
              <w:jc w:val="right"/>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91"/>
              <w:spacing w:after="0"/>
              <w:rPr>
                <w:sz w:val="20"/>
                <w:szCs w:val="20"/>
                <w:color w:val="auto"/>
              </w:rPr>
            </w:pPr>
            <w:r>
              <w:rPr>
                <w:rFonts w:ascii="Arial" w:cs="Arial" w:eastAsia="Arial" w:hAnsi="Arial"/>
                <w:sz w:val="18"/>
                <w:szCs w:val="18"/>
                <w:color w:val="auto"/>
              </w:rPr>
              <w:t>—</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9"/>
        </w:trPr>
        <w:tc>
          <w:tcPr>
            <w:tcW w:w="5520" w:type="dxa"/>
            <w:vAlign w:val="bottom"/>
          </w:tcPr>
          <w:p>
            <w:pPr>
              <w:ind w:left="20"/>
              <w:spacing w:after="0"/>
              <w:rPr>
                <w:sz w:val="20"/>
                <w:szCs w:val="20"/>
                <w:color w:val="auto"/>
              </w:rPr>
            </w:pPr>
            <w:r>
              <w:rPr>
                <w:rFonts w:ascii="Arial" w:cs="Arial" w:eastAsia="Arial" w:hAnsi="Arial"/>
                <w:sz w:val="18"/>
                <w:szCs w:val="18"/>
                <w:color w:val="auto"/>
              </w:rPr>
              <w:t>Excise Tax Gross Up</w:t>
            </w:r>
          </w:p>
        </w:tc>
        <w:tc>
          <w:tcPr>
            <w:tcW w:w="1940" w:type="dxa"/>
            <w:vAlign w:val="bottom"/>
          </w:tcPr>
          <w:p>
            <w:pPr>
              <w:jc w:val="center"/>
              <w:ind w:left="1751"/>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c>
          <w:tcPr>
            <w:tcW w:w="360" w:type="dxa"/>
            <w:vAlign w:val="bottom"/>
          </w:tcPr>
          <w:p>
            <w:pPr>
              <w:jc w:val="right"/>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91"/>
              <w:spacing w:after="0"/>
              <w:rPr>
                <w:sz w:val="20"/>
                <w:szCs w:val="20"/>
                <w:color w:val="auto"/>
              </w:rPr>
            </w:pPr>
            <w:r>
              <w:rPr>
                <w:rFonts w:ascii="Arial" w:cs="Arial" w:eastAsia="Arial" w:hAnsi="Arial"/>
                <w:sz w:val="18"/>
                <w:szCs w:val="18"/>
                <w:color w:val="auto"/>
              </w:rPr>
              <w:t>—</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86"/>
        </w:trPr>
        <w:tc>
          <w:tcPr>
            <w:tcW w:w="5520" w:type="dxa"/>
            <w:vAlign w:val="bottom"/>
          </w:tcPr>
          <w:p>
            <w:pPr>
              <w:ind w:left="20"/>
              <w:spacing w:after="0"/>
              <w:rPr>
                <w:sz w:val="20"/>
                <w:szCs w:val="20"/>
                <w:color w:val="auto"/>
              </w:rPr>
            </w:pPr>
            <w:r>
              <w:rPr>
                <w:rFonts w:ascii="Arial" w:cs="Arial" w:eastAsia="Arial" w:hAnsi="Arial"/>
                <w:sz w:val="18"/>
                <w:szCs w:val="18"/>
                <w:b w:val="1"/>
                <w:bCs w:val="1"/>
                <w:color w:val="auto"/>
              </w:rPr>
              <w:t>Total</w:t>
            </w:r>
          </w:p>
        </w:tc>
        <w:tc>
          <w:tcPr>
            <w:tcW w:w="1940" w:type="dxa"/>
            <w:vAlign w:val="bottom"/>
          </w:tcPr>
          <w:p>
            <w:pPr>
              <w:jc w:val="center"/>
              <w:ind w:left="1751"/>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25,501,522</w:t>
            </w:r>
          </w:p>
        </w:tc>
        <w:tc>
          <w:tcPr>
            <w:tcW w:w="360" w:type="dxa"/>
            <w:vAlign w:val="bottom"/>
          </w:tcPr>
          <w:p>
            <w:pPr>
              <w:jc w:val="right"/>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91"/>
              <w:spacing w:after="0"/>
              <w:rPr>
                <w:sz w:val="20"/>
                <w:szCs w:val="20"/>
                <w:color w:val="auto"/>
              </w:rPr>
            </w:pPr>
            <w:r>
              <w:rPr>
                <w:rFonts w:ascii="Arial" w:cs="Arial" w:eastAsia="Arial" w:hAnsi="Arial"/>
                <w:sz w:val="18"/>
                <w:szCs w:val="18"/>
                <w:color w:val="auto"/>
                <w:w w:val="99"/>
              </w:rPr>
              <w:t>17,601,912</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w w:val="97"/>
              </w:rPr>
              <w:t>17,601,912</w:t>
            </w:r>
          </w:p>
        </w:tc>
      </w:tr>
      <w:tr>
        <w:trPr>
          <w:trHeight w:val="243"/>
        </w:trPr>
        <w:tc>
          <w:tcPr>
            <w:tcW w:w="5520" w:type="dxa"/>
            <w:vAlign w:val="bottom"/>
            <w:shd w:val="clear" w:color="auto" w:fill="E2E6F4"/>
          </w:tcPr>
          <w:p>
            <w:pPr>
              <w:ind w:left="20"/>
              <w:spacing w:after="0"/>
              <w:rPr>
                <w:sz w:val="20"/>
                <w:szCs w:val="20"/>
                <w:color w:val="auto"/>
              </w:rPr>
            </w:pPr>
            <w:r>
              <w:rPr>
                <w:rFonts w:ascii="Arial" w:cs="Arial" w:eastAsia="Arial" w:hAnsi="Arial"/>
                <w:sz w:val="16"/>
                <w:szCs w:val="16"/>
                <w:b w:val="1"/>
                <w:bCs w:val="1"/>
                <w:color w:val="0067B3"/>
              </w:rPr>
              <w:t>Katsu Nakamura</w:t>
            </w:r>
          </w:p>
        </w:tc>
        <w:tc>
          <w:tcPr>
            <w:tcW w:w="1940" w:type="dxa"/>
            <w:vAlign w:val="bottom"/>
            <w:shd w:val="clear" w:color="auto" w:fill="E2E6F4"/>
          </w:tcPr>
          <w:p>
            <w:pPr>
              <w:spacing w:after="0"/>
              <w:rPr>
                <w:sz w:val="21"/>
                <w:szCs w:val="21"/>
                <w:color w:val="auto"/>
              </w:rPr>
            </w:pPr>
          </w:p>
        </w:tc>
        <w:tc>
          <w:tcPr>
            <w:tcW w:w="1080" w:type="dxa"/>
            <w:vAlign w:val="bottom"/>
            <w:shd w:val="clear" w:color="auto" w:fill="E2E6F4"/>
          </w:tcPr>
          <w:p>
            <w:pPr>
              <w:spacing w:after="0"/>
              <w:rPr>
                <w:sz w:val="21"/>
                <w:szCs w:val="21"/>
                <w:color w:val="auto"/>
              </w:rPr>
            </w:pPr>
          </w:p>
        </w:tc>
        <w:tc>
          <w:tcPr>
            <w:tcW w:w="360" w:type="dxa"/>
            <w:vAlign w:val="bottom"/>
            <w:shd w:val="clear" w:color="auto" w:fill="E2E6F4"/>
          </w:tcPr>
          <w:p>
            <w:pPr>
              <w:spacing w:after="0"/>
              <w:rPr>
                <w:sz w:val="21"/>
                <w:szCs w:val="21"/>
                <w:color w:val="auto"/>
              </w:rPr>
            </w:pPr>
          </w:p>
        </w:tc>
        <w:tc>
          <w:tcPr>
            <w:tcW w:w="1100" w:type="dxa"/>
            <w:vAlign w:val="bottom"/>
            <w:shd w:val="clear" w:color="auto" w:fill="E2E6F4"/>
          </w:tcPr>
          <w:p>
            <w:pPr>
              <w:spacing w:after="0"/>
              <w:rPr>
                <w:sz w:val="21"/>
                <w:szCs w:val="21"/>
                <w:color w:val="auto"/>
              </w:rPr>
            </w:pPr>
          </w:p>
        </w:tc>
        <w:tc>
          <w:tcPr>
            <w:tcW w:w="260" w:type="dxa"/>
            <w:vAlign w:val="bottom"/>
            <w:shd w:val="clear" w:color="auto" w:fill="E2E6F4"/>
          </w:tcPr>
          <w:p>
            <w:pPr>
              <w:spacing w:after="0"/>
              <w:rPr>
                <w:sz w:val="21"/>
                <w:szCs w:val="21"/>
                <w:color w:val="auto"/>
              </w:rPr>
            </w:pPr>
          </w:p>
        </w:tc>
        <w:tc>
          <w:tcPr>
            <w:tcW w:w="980" w:type="dxa"/>
            <w:vAlign w:val="bottom"/>
            <w:shd w:val="clear" w:color="auto" w:fill="E2E6F4"/>
          </w:tcPr>
          <w:p>
            <w:pPr>
              <w:spacing w:after="0"/>
              <w:rPr>
                <w:sz w:val="21"/>
                <w:szCs w:val="21"/>
                <w:color w:val="auto"/>
              </w:rPr>
            </w:pPr>
          </w:p>
        </w:tc>
      </w:tr>
      <w:tr>
        <w:trPr>
          <w:trHeight w:val="278"/>
        </w:trPr>
        <w:tc>
          <w:tcPr>
            <w:tcW w:w="5520" w:type="dxa"/>
            <w:vAlign w:val="bottom"/>
            <w:shd w:val="clear" w:color="auto" w:fill="E2E6F4"/>
          </w:tcPr>
          <w:p>
            <w:pPr>
              <w:ind w:left="20"/>
              <w:spacing w:after="0"/>
              <w:rPr>
                <w:sz w:val="20"/>
                <w:szCs w:val="20"/>
                <w:color w:val="auto"/>
              </w:rPr>
            </w:pPr>
            <w:r>
              <w:rPr>
                <w:rFonts w:ascii="Arial" w:cs="Arial" w:eastAsia="Arial" w:hAnsi="Arial"/>
                <w:sz w:val="18"/>
                <w:szCs w:val="18"/>
                <w:color w:val="auto"/>
              </w:rPr>
              <w:t>Cash Severance</w:t>
            </w:r>
            <w:r>
              <w:rPr>
                <w:rFonts w:ascii="Arial" w:cs="Arial" w:eastAsia="Arial" w:hAnsi="Arial"/>
                <w:sz w:val="23"/>
                <w:szCs w:val="23"/>
                <w:color w:val="auto"/>
                <w:vertAlign w:val="superscript"/>
              </w:rPr>
              <w:t>(1)</w:t>
            </w:r>
          </w:p>
        </w:tc>
        <w:tc>
          <w:tcPr>
            <w:tcW w:w="1940" w:type="dxa"/>
            <w:vAlign w:val="bottom"/>
            <w:shd w:val="clear" w:color="auto" w:fill="E2E6F4"/>
          </w:tcPr>
          <w:p>
            <w:pPr>
              <w:jc w:val="center"/>
              <w:ind w:left="1751"/>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E2E6F4"/>
          </w:tcPr>
          <w:p>
            <w:pPr>
              <w:jc w:val="right"/>
              <w:spacing w:after="0"/>
              <w:rPr>
                <w:sz w:val="20"/>
                <w:szCs w:val="20"/>
                <w:color w:val="auto"/>
              </w:rPr>
            </w:pPr>
            <w:r>
              <w:rPr>
                <w:rFonts w:ascii="Arial" w:cs="Arial" w:eastAsia="Arial" w:hAnsi="Arial"/>
                <w:sz w:val="18"/>
                <w:szCs w:val="18"/>
                <w:color w:val="auto"/>
              </w:rPr>
              <w:t>1,495,000</w:t>
            </w:r>
          </w:p>
        </w:tc>
        <w:tc>
          <w:tcPr>
            <w:tcW w:w="360" w:type="dxa"/>
            <w:vAlign w:val="bottom"/>
            <w:shd w:val="clear" w:color="auto" w:fill="E2E6F4"/>
          </w:tcPr>
          <w:p>
            <w:pPr>
              <w:jc w:val="right"/>
              <w:spacing w:after="0"/>
              <w:rPr>
                <w:sz w:val="20"/>
                <w:szCs w:val="20"/>
                <w:color w:val="auto"/>
              </w:rPr>
            </w:pPr>
            <w:r>
              <w:rPr>
                <w:rFonts w:ascii="Arial" w:cs="Arial" w:eastAsia="Arial" w:hAnsi="Arial"/>
                <w:sz w:val="18"/>
                <w:szCs w:val="18"/>
                <w:color w:val="auto"/>
              </w:rPr>
              <w:t>$</w:t>
            </w:r>
          </w:p>
        </w:tc>
        <w:tc>
          <w:tcPr>
            <w:tcW w:w="1100" w:type="dxa"/>
            <w:vAlign w:val="bottom"/>
            <w:shd w:val="clear" w:color="auto" w:fill="E2E6F4"/>
          </w:tcPr>
          <w:p>
            <w:pPr>
              <w:jc w:val="right"/>
              <w:ind w:right="91"/>
              <w:spacing w:after="0"/>
              <w:rPr>
                <w:sz w:val="20"/>
                <w:szCs w:val="20"/>
                <w:color w:val="auto"/>
              </w:rPr>
            </w:pPr>
            <w:r>
              <w:rPr>
                <w:rFonts w:ascii="Arial" w:cs="Arial" w:eastAsia="Arial" w:hAnsi="Arial"/>
                <w:sz w:val="18"/>
                <w:szCs w:val="18"/>
                <w:color w:val="auto"/>
              </w:rPr>
              <w:t>—</w:t>
            </w:r>
          </w:p>
        </w:tc>
        <w:tc>
          <w:tcPr>
            <w:tcW w:w="260" w:type="dxa"/>
            <w:vAlign w:val="bottom"/>
            <w:shd w:val="clear" w:color="auto" w:fill="E2E6F4"/>
          </w:tcPr>
          <w:p>
            <w:pPr>
              <w:jc w:val="right"/>
              <w:spacing w:after="0"/>
              <w:rPr>
                <w:sz w:val="20"/>
                <w:szCs w:val="20"/>
                <w:color w:val="auto"/>
              </w:rPr>
            </w:pPr>
            <w:r>
              <w:rPr>
                <w:rFonts w:ascii="Arial" w:cs="Arial" w:eastAsia="Arial" w:hAnsi="Arial"/>
                <w:sz w:val="18"/>
                <w:szCs w:val="18"/>
                <w:color w:val="auto"/>
              </w:rPr>
              <w:t>$</w:t>
            </w:r>
          </w:p>
        </w:tc>
        <w:tc>
          <w:tcPr>
            <w:tcW w:w="980" w:type="dxa"/>
            <w:vAlign w:val="bottom"/>
            <w:shd w:val="clear" w:color="auto" w:fill="E2E6F4"/>
          </w:tcPr>
          <w:p>
            <w:pPr>
              <w:jc w:val="right"/>
              <w:spacing w:after="0"/>
              <w:rPr>
                <w:sz w:val="20"/>
                <w:szCs w:val="20"/>
                <w:color w:val="auto"/>
              </w:rPr>
            </w:pPr>
            <w:r>
              <w:rPr>
                <w:rFonts w:ascii="Arial" w:cs="Arial" w:eastAsia="Arial" w:hAnsi="Arial"/>
                <w:sz w:val="18"/>
                <w:szCs w:val="18"/>
                <w:color w:val="auto"/>
              </w:rPr>
              <w:t>—</w:t>
            </w:r>
          </w:p>
        </w:tc>
      </w:tr>
      <w:tr>
        <w:trPr>
          <w:trHeight w:val="270"/>
        </w:trPr>
        <w:tc>
          <w:tcPr>
            <w:tcW w:w="5520" w:type="dxa"/>
            <w:vAlign w:val="bottom"/>
            <w:shd w:val="clear" w:color="auto" w:fill="E2E6F4"/>
          </w:tcPr>
          <w:p>
            <w:pPr>
              <w:ind w:left="20"/>
              <w:spacing w:after="0"/>
              <w:rPr>
                <w:sz w:val="20"/>
                <w:szCs w:val="20"/>
                <w:color w:val="auto"/>
              </w:rPr>
            </w:pPr>
            <w:r>
              <w:rPr>
                <w:rFonts w:ascii="Arial" w:cs="Arial" w:eastAsia="Arial" w:hAnsi="Arial"/>
                <w:sz w:val="18"/>
                <w:szCs w:val="18"/>
                <w:color w:val="auto"/>
              </w:rPr>
              <w:t>Variable Cash Incentive</w:t>
            </w:r>
            <w:r>
              <w:rPr>
                <w:rFonts w:ascii="Arial" w:cs="Arial" w:eastAsia="Arial" w:hAnsi="Arial"/>
                <w:sz w:val="23"/>
                <w:szCs w:val="23"/>
                <w:color w:val="auto"/>
                <w:vertAlign w:val="superscript"/>
              </w:rPr>
              <w:t>(2)</w:t>
            </w:r>
          </w:p>
        </w:tc>
        <w:tc>
          <w:tcPr>
            <w:tcW w:w="1940" w:type="dxa"/>
            <w:vAlign w:val="bottom"/>
            <w:shd w:val="clear" w:color="auto" w:fill="E2E6F4"/>
          </w:tcPr>
          <w:p>
            <w:pPr>
              <w:jc w:val="center"/>
              <w:ind w:left="1751"/>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E2E6F4"/>
          </w:tcPr>
          <w:p>
            <w:pPr>
              <w:jc w:val="right"/>
              <w:spacing w:after="0"/>
              <w:rPr>
                <w:sz w:val="20"/>
                <w:szCs w:val="20"/>
                <w:color w:val="auto"/>
              </w:rPr>
            </w:pPr>
            <w:r>
              <w:rPr>
                <w:rFonts w:ascii="Arial" w:cs="Arial" w:eastAsia="Arial" w:hAnsi="Arial"/>
                <w:sz w:val="18"/>
                <w:szCs w:val="18"/>
                <w:color w:val="auto"/>
              </w:rPr>
              <w:t>2,370,299</w:t>
            </w:r>
          </w:p>
        </w:tc>
        <w:tc>
          <w:tcPr>
            <w:tcW w:w="360" w:type="dxa"/>
            <w:vAlign w:val="bottom"/>
            <w:shd w:val="clear" w:color="auto" w:fill="E2E6F4"/>
          </w:tcPr>
          <w:p>
            <w:pPr>
              <w:jc w:val="right"/>
              <w:spacing w:after="0"/>
              <w:rPr>
                <w:sz w:val="20"/>
                <w:szCs w:val="20"/>
                <w:color w:val="auto"/>
              </w:rPr>
            </w:pPr>
            <w:r>
              <w:rPr>
                <w:rFonts w:ascii="Arial" w:cs="Arial" w:eastAsia="Arial" w:hAnsi="Arial"/>
                <w:sz w:val="18"/>
                <w:szCs w:val="18"/>
                <w:color w:val="auto"/>
              </w:rPr>
              <w:t>$</w:t>
            </w:r>
          </w:p>
        </w:tc>
        <w:tc>
          <w:tcPr>
            <w:tcW w:w="1100" w:type="dxa"/>
            <w:vAlign w:val="bottom"/>
            <w:shd w:val="clear" w:color="auto" w:fill="E2E6F4"/>
          </w:tcPr>
          <w:p>
            <w:pPr>
              <w:jc w:val="right"/>
              <w:ind w:right="91"/>
              <w:spacing w:after="0"/>
              <w:rPr>
                <w:sz w:val="20"/>
                <w:szCs w:val="20"/>
                <w:color w:val="auto"/>
              </w:rPr>
            </w:pPr>
            <w:r>
              <w:rPr>
                <w:rFonts w:ascii="Arial" w:cs="Arial" w:eastAsia="Arial" w:hAnsi="Arial"/>
                <w:sz w:val="18"/>
                <w:szCs w:val="18"/>
                <w:color w:val="auto"/>
              </w:rPr>
              <w:t>—</w:t>
            </w:r>
          </w:p>
        </w:tc>
        <w:tc>
          <w:tcPr>
            <w:tcW w:w="260" w:type="dxa"/>
            <w:vAlign w:val="bottom"/>
            <w:shd w:val="clear" w:color="auto" w:fill="E2E6F4"/>
          </w:tcPr>
          <w:p>
            <w:pPr>
              <w:jc w:val="right"/>
              <w:spacing w:after="0"/>
              <w:rPr>
                <w:sz w:val="20"/>
                <w:szCs w:val="20"/>
                <w:color w:val="auto"/>
              </w:rPr>
            </w:pPr>
            <w:r>
              <w:rPr>
                <w:rFonts w:ascii="Arial" w:cs="Arial" w:eastAsia="Arial" w:hAnsi="Arial"/>
                <w:sz w:val="18"/>
                <w:szCs w:val="18"/>
                <w:color w:val="auto"/>
              </w:rPr>
              <w:t>$</w:t>
            </w:r>
          </w:p>
        </w:tc>
        <w:tc>
          <w:tcPr>
            <w:tcW w:w="980" w:type="dxa"/>
            <w:vAlign w:val="bottom"/>
            <w:shd w:val="clear" w:color="auto" w:fill="E2E6F4"/>
          </w:tcPr>
          <w:p>
            <w:pPr>
              <w:jc w:val="right"/>
              <w:spacing w:after="0"/>
              <w:rPr>
                <w:sz w:val="20"/>
                <w:szCs w:val="20"/>
                <w:color w:val="auto"/>
              </w:rPr>
            </w:pPr>
            <w:r>
              <w:rPr>
                <w:rFonts w:ascii="Arial" w:cs="Arial" w:eastAsia="Arial" w:hAnsi="Arial"/>
                <w:sz w:val="18"/>
                <w:szCs w:val="18"/>
                <w:color w:val="auto"/>
              </w:rPr>
              <w:t>—</w:t>
            </w:r>
          </w:p>
        </w:tc>
      </w:tr>
      <w:tr>
        <w:trPr>
          <w:trHeight w:val="270"/>
        </w:trPr>
        <w:tc>
          <w:tcPr>
            <w:tcW w:w="5520" w:type="dxa"/>
            <w:vAlign w:val="bottom"/>
            <w:shd w:val="clear" w:color="auto" w:fill="E2E6F4"/>
          </w:tcPr>
          <w:p>
            <w:pPr>
              <w:ind w:left="20"/>
              <w:spacing w:after="0"/>
              <w:rPr>
                <w:sz w:val="20"/>
                <w:szCs w:val="20"/>
                <w:color w:val="auto"/>
              </w:rPr>
            </w:pPr>
            <w:r>
              <w:rPr>
                <w:rFonts w:ascii="Arial" w:cs="Arial" w:eastAsia="Arial" w:hAnsi="Arial"/>
                <w:sz w:val="18"/>
                <w:szCs w:val="18"/>
                <w:color w:val="auto"/>
              </w:rPr>
              <w:t>Value of Accelerated Vesting of Equity Awards</w:t>
            </w:r>
            <w:r>
              <w:rPr>
                <w:rFonts w:ascii="Arial" w:cs="Arial" w:eastAsia="Arial" w:hAnsi="Arial"/>
                <w:sz w:val="23"/>
                <w:szCs w:val="23"/>
                <w:color w:val="auto"/>
                <w:vertAlign w:val="superscript"/>
              </w:rPr>
              <w:t>(3)(4)</w:t>
            </w:r>
          </w:p>
        </w:tc>
        <w:tc>
          <w:tcPr>
            <w:tcW w:w="1940" w:type="dxa"/>
            <w:vAlign w:val="bottom"/>
            <w:shd w:val="clear" w:color="auto" w:fill="E2E6F4"/>
          </w:tcPr>
          <w:p>
            <w:pPr>
              <w:jc w:val="center"/>
              <w:ind w:left="1751"/>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E2E6F4"/>
          </w:tcPr>
          <w:p>
            <w:pPr>
              <w:jc w:val="right"/>
              <w:spacing w:after="0"/>
              <w:rPr>
                <w:sz w:val="20"/>
                <w:szCs w:val="20"/>
                <w:color w:val="auto"/>
              </w:rPr>
            </w:pPr>
            <w:r>
              <w:rPr>
                <w:rFonts w:ascii="Arial" w:cs="Arial" w:eastAsia="Arial" w:hAnsi="Arial"/>
                <w:sz w:val="18"/>
                <w:szCs w:val="18"/>
                <w:color w:val="auto"/>
              </w:rPr>
              <w:t>5,295,786</w:t>
            </w:r>
          </w:p>
        </w:tc>
        <w:tc>
          <w:tcPr>
            <w:tcW w:w="360" w:type="dxa"/>
            <w:vAlign w:val="bottom"/>
            <w:shd w:val="clear" w:color="auto" w:fill="E2E6F4"/>
          </w:tcPr>
          <w:p>
            <w:pPr>
              <w:jc w:val="right"/>
              <w:spacing w:after="0"/>
              <w:rPr>
                <w:sz w:val="20"/>
                <w:szCs w:val="20"/>
                <w:color w:val="auto"/>
              </w:rPr>
            </w:pPr>
            <w:r>
              <w:rPr>
                <w:rFonts w:ascii="Arial" w:cs="Arial" w:eastAsia="Arial" w:hAnsi="Arial"/>
                <w:sz w:val="18"/>
                <w:szCs w:val="18"/>
                <w:color w:val="auto"/>
              </w:rPr>
              <w:t>$</w:t>
            </w:r>
          </w:p>
        </w:tc>
        <w:tc>
          <w:tcPr>
            <w:tcW w:w="1100" w:type="dxa"/>
            <w:vAlign w:val="bottom"/>
            <w:shd w:val="clear" w:color="auto" w:fill="E2E6F4"/>
          </w:tcPr>
          <w:p>
            <w:pPr>
              <w:jc w:val="right"/>
              <w:ind w:right="91"/>
              <w:spacing w:after="0"/>
              <w:rPr>
                <w:sz w:val="20"/>
                <w:szCs w:val="20"/>
                <w:color w:val="auto"/>
              </w:rPr>
            </w:pPr>
            <w:r>
              <w:rPr>
                <w:rFonts w:ascii="Arial" w:cs="Arial" w:eastAsia="Arial" w:hAnsi="Arial"/>
                <w:sz w:val="18"/>
                <w:szCs w:val="18"/>
                <w:color w:val="auto"/>
              </w:rPr>
              <w:t>5,202,085</w:t>
            </w:r>
          </w:p>
        </w:tc>
        <w:tc>
          <w:tcPr>
            <w:tcW w:w="260" w:type="dxa"/>
            <w:vAlign w:val="bottom"/>
            <w:shd w:val="clear" w:color="auto" w:fill="E2E6F4"/>
          </w:tcPr>
          <w:p>
            <w:pPr>
              <w:jc w:val="right"/>
              <w:spacing w:after="0"/>
              <w:rPr>
                <w:sz w:val="20"/>
                <w:szCs w:val="20"/>
                <w:color w:val="auto"/>
              </w:rPr>
            </w:pPr>
            <w:r>
              <w:rPr>
                <w:rFonts w:ascii="Arial" w:cs="Arial" w:eastAsia="Arial" w:hAnsi="Arial"/>
                <w:sz w:val="18"/>
                <w:szCs w:val="18"/>
                <w:color w:val="auto"/>
              </w:rPr>
              <w:t>$</w:t>
            </w:r>
          </w:p>
        </w:tc>
        <w:tc>
          <w:tcPr>
            <w:tcW w:w="980" w:type="dxa"/>
            <w:vAlign w:val="bottom"/>
            <w:shd w:val="clear" w:color="auto" w:fill="E2E6F4"/>
          </w:tcPr>
          <w:p>
            <w:pPr>
              <w:jc w:val="right"/>
              <w:spacing w:after="0"/>
              <w:rPr>
                <w:sz w:val="20"/>
                <w:szCs w:val="20"/>
                <w:color w:val="auto"/>
              </w:rPr>
            </w:pPr>
            <w:r>
              <w:rPr>
                <w:rFonts w:ascii="Arial" w:cs="Arial" w:eastAsia="Arial" w:hAnsi="Arial"/>
                <w:sz w:val="18"/>
                <w:szCs w:val="18"/>
                <w:color w:val="auto"/>
              </w:rPr>
              <w:t>5,202,085</w:t>
            </w:r>
          </w:p>
        </w:tc>
      </w:tr>
      <w:tr>
        <w:trPr>
          <w:trHeight w:val="270"/>
        </w:trPr>
        <w:tc>
          <w:tcPr>
            <w:tcW w:w="5520" w:type="dxa"/>
            <w:vAlign w:val="bottom"/>
            <w:shd w:val="clear" w:color="auto" w:fill="E2E6F4"/>
          </w:tcPr>
          <w:p>
            <w:pPr>
              <w:ind w:left="20"/>
              <w:spacing w:after="0"/>
              <w:rPr>
                <w:sz w:val="20"/>
                <w:szCs w:val="20"/>
                <w:color w:val="auto"/>
              </w:rPr>
            </w:pPr>
            <w:r>
              <w:rPr>
                <w:rFonts w:ascii="Arial" w:cs="Arial" w:eastAsia="Arial" w:hAnsi="Arial"/>
                <w:sz w:val="18"/>
                <w:szCs w:val="18"/>
                <w:color w:val="auto"/>
              </w:rPr>
              <w:t>Value of Medical and Other Benefits</w:t>
            </w:r>
            <w:r>
              <w:rPr>
                <w:rFonts w:ascii="Arial" w:cs="Arial" w:eastAsia="Arial" w:hAnsi="Arial"/>
                <w:sz w:val="23"/>
                <w:szCs w:val="23"/>
                <w:color w:val="auto"/>
                <w:vertAlign w:val="superscript"/>
              </w:rPr>
              <w:t>(5)</w:t>
            </w:r>
          </w:p>
        </w:tc>
        <w:tc>
          <w:tcPr>
            <w:tcW w:w="1940" w:type="dxa"/>
            <w:vAlign w:val="bottom"/>
            <w:shd w:val="clear" w:color="auto" w:fill="E2E6F4"/>
          </w:tcPr>
          <w:p>
            <w:pPr>
              <w:jc w:val="center"/>
              <w:ind w:left="1751"/>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E2E6F4"/>
          </w:tcPr>
          <w:p>
            <w:pPr>
              <w:jc w:val="right"/>
              <w:spacing w:after="0"/>
              <w:rPr>
                <w:sz w:val="20"/>
                <w:szCs w:val="20"/>
                <w:color w:val="auto"/>
              </w:rPr>
            </w:pPr>
            <w:r>
              <w:rPr>
                <w:rFonts w:ascii="Arial" w:cs="Arial" w:eastAsia="Arial" w:hAnsi="Arial"/>
                <w:sz w:val="18"/>
                <w:szCs w:val="18"/>
                <w:color w:val="auto"/>
              </w:rPr>
              <w:t>48,923</w:t>
            </w:r>
          </w:p>
        </w:tc>
        <w:tc>
          <w:tcPr>
            <w:tcW w:w="360" w:type="dxa"/>
            <w:vAlign w:val="bottom"/>
            <w:shd w:val="clear" w:color="auto" w:fill="E2E6F4"/>
          </w:tcPr>
          <w:p>
            <w:pPr>
              <w:jc w:val="right"/>
              <w:spacing w:after="0"/>
              <w:rPr>
                <w:sz w:val="20"/>
                <w:szCs w:val="20"/>
                <w:color w:val="auto"/>
              </w:rPr>
            </w:pPr>
            <w:r>
              <w:rPr>
                <w:rFonts w:ascii="Arial" w:cs="Arial" w:eastAsia="Arial" w:hAnsi="Arial"/>
                <w:sz w:val="18"/>
                <w:szCs w:val="18"/>
                <w:color w:val="auto"/>
              </w:rPr>
              <w:t>$</w:t>
            </w:r>
          </w:p>
        </w:tc>
        <w:tc>
          <w:tcPr>
            <w:tcW w:w="1100" w:type="dxa"/>
            <w:vAlign w:val="bottom"/>
            <w:shd w:val="clear" w:color="auto" w:fill="E2E6F4"/>
          </w:tcPr>
          <w:p>
            <w:pPr>
              <w:jc w:val="right"/>
              <w:ind w:right="91"/>
              <w:spacing w:after="0"/>
              <w:rPr>
                <w:sz w:val="20"/>
                <w:szCs w:val="20"/>
                <w:color w:val="auto"/>
              </w:rPr>
            </w:pPr>
            <w:r>
              <w:rPr>
                <w:rFonts w:ascii="Arial" w:cs="Arial" w:eastAsia="Arial" w:hAnsi="Arial"/>
                <w:sz w:val="18"/>
                <w:szCs w:val="18"/>
                <w:color w:val="auto"/>
              </w:rPr>
              <w:t>—</w:t>
            </w:r>
          </w:p>
        </w:tc>
        <w:tc>
          <w:tcPr>
            <w:tcW w:w="260" w:type="dxa"/>
            <w:vAlign w:val="bottom"/>
            <w:shd w:val="clear" w:color="auto" w:fill="E2E6F4"/>
          </w:tcPr>
          <w:p>
            <w:pPr>
              <w:jc w:val="right"/>
              <w:spacing w:after="0"/>
              <w:rPr>
                <w:sz w:val="20"/>
                <w:szCs w:val="20"/>
                <w:color w:val="auto"/>
              </w:rPr>
            </w:pPr>
            <w:r>
              <w:rPr>
                <w:rFonts w:ascii="Arial" w:cs="Arial" w:eastAsia="Arial" w:hAnsi="Arial"/>
                <w:sz w:val="18"/>
                <w:szCs w:val="18"/>
                <w:color w:val="auto"/>
              </w:rPr>
              <w:t>$</w:t>
            </w:r>
          </w:p>
        </w:tc>
        <w:tc>
          <w:tcPr>
            <w:tcW w:w="980" w:type="dxa"/>
            <w:vAlign w:val="bottom"/>
            <w:shd w:val="clear" w:color="auto" w:fill="E2E6F4"/>
          </w:tcPr>
          <w:p>
            <w:pPr>
              <w:jc w:val="right"/>
              <w:spacing w:after="0"/>
              <w:rPr>
                <w:sz w:val="20"/>
                <w:szCs w:val="20"/>
                <w:color w:val="auto"/>
              </w:rPr>
            </w:pPr>
            <w:r>
              <w:rPr>
                <w:rFonts w:ascii="Arial" w:cs="Arial" w:eastAsia="Arial" w:hAnsi="Arial"/>
                <w:sz w:val="18"/>
                <w:szCs w:val="18"/>
                <w:color w:val="auto"/>
              </w:rPr>
              <w:t>—</w:t>
            </w:r>
          </w:p>
        </w:tc>
      </w:tr>
      <w:tr>
        <w:trPr>
          <w:trHeight w:val="247"/>
        </w:trPr>
        <w:tc>
          <w:tcPr>
            <w:tcW w:w="5520" w:type="dxa"/>
            <w:vAlign w:val="bottom"/>
            <w:shd w:val="clear" w:color="auto" w:fill="E2E6F4"/>
          </w:tcPr>
          <w:p>
            <w:pPr>
              <w:ind w:left="20"/>
              <w:spacing w:after="0"/>
              <w:rPr>
                <w:sz w:val="20"/>
                <w:szCs w:val="20"/>
                <w:color w:val="auto"/>
              </w:rPr>
            </w:pPr>
            <w:r>
              <w:rPr>
                <w:rFonts w:ascii="Arial" w:cs="Arial" w:eastAsia="Arial" w:hAnsi="Arial"/>
                <w:sz w:val="18"/>
                <w:szCs w:val="18"/>
                <w:color w:val="auto"/>
              </w:rPr>
              <w:t>Excise Tax Gross Up</w:t>
            </w:r>
          </w:p>
        </w:tc>
        <w:tc>
          <w:tcPr>
            <w:tcW w:w="1940" w:type="dxa"/>
            <w:vAlign w:val="bottom"/>
            <w:shd w:val="clear" w:color="auto" w:fill="E2E6F4"/>
          </w:tcPr>
          <w:p>
            <w:pPr>
              <w:jc w:val="center"/>
              <w:ind w:left="1751"/>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E2E6F4"/>
          </w:tcPr>
          <w:p>
            <w:pPr>
              <w:jc w:val="right"/>
              <w:spacing w:after="0"/>
              <w:rPr>
                <w:sz w:val="20"/>
                <w:szCs w:val="20"/>
                <w:color w:val="auto"/>
              </w:rPr>
            </w:pPr>
            <w:r>
              <w:rPr>
                <w:rFonts w:ascii="Arial" w:cs="Arial" w:eastAsia="Arial" w:hAnsi="Arial"/>
                <w:sz w:val="18"/>
                <w:szCs w:val="18"/>
                <w:color w:val="auto"/>
              </w:rPr>
              <w:t>—</w:t>
            </w:r>
          </w:p>
        </w:tc>
        <w:tc>
          <w:tcPr>
            <w:tcW w:w="360" w:type="dxa"/>
            <w:vAlign w:val="bottom"/>
            <w:shd w:val="clear" w:color="auto" w:fill="E2E6F4"/>
          </w:tcPr>
          <w:p>
            <w:pPr>
              <w:jc w:val="right"/>
              <w:spacing w:after="0"/>
              <w:rPr>
                <w:sz w:val="20"/>
                <w:szCs w:val="20"/>
                <w:color w:val="auto"/>
              </w:rPr>
            </w:pPr>
            <w:r>
              <w:rPr>
                <w:rFonts w:ascii="Arial" w:cs="Arial" w:eastAsia="Arial" w:hAnsi="Arial"/>
                <w:sz w:val="18"/>
                <w:szCs w:val="18"/>
                <w:color w:val="auto"/>
              </w:rPr>
              <w:t>$</w:t>
            </w:r>
          </w:p>
        </w:tc>
        <w:tc>
          <w:tcPr>
            <w:tcW w:w="1100" w:type="dxa"/>
            <w:vAlign w:val="bottom"/>
            <w:shd w:val="clear" w:color="auto" w:fill="E2E6F4"/>
          </w:tcPr>
          <w:p>
            <w:pPr>
              <w:jc w:val="right"/>
              <w:ind w:right="91"/>
              <w:spacing w:after="0"/>
              <w:rPr>
                <w:sz w:val="20"/>
                <w:szCs w:val="20"/>
                <w:color w:val="auto"/>
              </w:rPr>
            </w:pPr>
            <w:r>
              <w:rPr>
                <w:rFonts w:ascii="Arial" w:cs="Arial" w:eastAsia="Arial" w:hAnsi="Arial"/>
                <w:sz w:val="18"/>
                <w:szCs w:val="18"/>
                <w:color w:val="auto"/>
              </w:rPr>
              <w:t>—</w:t>
            </w:r>
          </w:p>
        </w:tc>
        <w:tc>
          <w:tcPr>
            <w:tcW w:w="260" w:type="dxa"/>
            <w:vAlign w:val="bottom"/>
            <w:shd w:val="clear" w:color="auto" w:fill="E2E6F4"/>
          </w:tcPr>
          <w:p>
            <w:pPr>
              <w:jc w:val="right"/>
              <w:spacing w:after="0"/>
              <w:rPr>
                <w:sz w:val="20"/>
                <w:szCs w:val="20"/>
                <w:color w:val="auto"/>
              </w:rPr>
            </w:pPr>
            <w:r>
              <w:rPr>
                <w:rFonts w:ascii="Arial" w:cs="Arial" w:eastAsia="Arial" w:hAnsi="Arial"/>
                <w:sz w:val="18"/>
                <w:szCs w:val="18"/>
                <w:color w:val="auto"/>
              </w:rPr>
              <w:t>$</w:t>
            </w:r>
          </w:p>
        </w:tc>
        <w:tc>
          <w:tcPr>
            <w:tcW w:w="980" w:type="dxa"/>
            <w:vAlign w:val="bottom"/>
            <w:shd w:val="clear" w:color="auto" w:fill="E2E6F4"/>
          </w:tcPr>
          <w:p>
            <w:pPr>
              <w:jc w:val="right"/>
              <w:spacing w:after="0"/>
              <w:rPr>
                <w:sz w:val="20"/>
                <w:szCs w:val="20"/>
                <w:color w:val="auto"/>
              </w:rPr>
            </w:pPr>
            <w:r>
              <w:rPr>
                <w:rFonts w:ascii="Arial" w:cs="Arial" w:eastAsia="Arial" w:hAnsi="Arial"/>
                <w:sz w:val="18"/>
                <w:szCs w:val="18"/>
                <w:color w:val="auto"/>
              </w:rPr>
              <w:t>—</w:t>
            </w:r>
          </w:p>
        </w:tc>
      </w:tr>
      <w:tr>
        <w:trPr>
          <w:trHeight w:val="286"/>
        </w:trPr>
        <w:tc>
          <w:tcPr>
            <w:tcW w:w="5520" w:type="dxa"/>
            <w:vAlign w:val="bottom"/>
            <w:tcBorders>
              <w:bottom w:val="single" w:sz="8" w:color="0067B3"/>
            </w:tcBorders>
            <w:shd w:val="clear" w:color="auto" w:fill="E2E6F4"/>
          </w:tcPr>
          <w:p>
            <w:pPr>
              <w:ind w:left="20"/>
              <w:spacing w:after="0"/>
              <w:rPr>
                <w:sz w:val="20"/>
                <w:szCs w:val="20"/>
                <w:color w:val="auto"/>
              </w:rPr>
            </w:pPr>
            <w:r>
              <w:rPr>
                <w:rFonts w:ascii="Arial" w:cs="Arial" w:eastAsia="Arial" w:hAnsi="Arial"/>
                <w:sz w:val="18"/>
                <w:szCs w:val="18"/>
                <w:b w:val="1"/>
                <w:bCs w:val="1"/>
                <w:color w:val="auto"/>
              </w:rPr>
              <w:t>Total</w:t>
            </w:r>
          </w:p>
        </w:tc>
        <w:tc>
          <w:tcPr>
            <w:tcW w:w="1940" w:type="dxa"/>
            <w:vAlign w:val="bottom"/>
            <w:tcBorders>
              <w:bottom w:val="single" w:sz="8" w:color="0067B3"/>
            </w:tcBorders>
            <w:shd w:val="clear" w:color="auto" w:fill="E2E6F4"/>
          </w:tcPr>
          <w:p>
            <w:pPr>
              <w:jc w:val="center"/>
              <w:ind w:left="1751"/>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0067B3"/>
            </w:tcBorders>
            <w:shd w:val="clear" w:color="auto" w:fill="E2E6F4"/>
          </w:tcPr>
          <w:p>
            <w:pPr>
              <w:jc w:val="right"/>
              <w:spacing w:after="0"/>
              <w:rPr>
                <w:sz w:val="20"/>
                <w:szCs w:val="20"/>
                <w:color w:val="auto"/>
              </w:rPr>
            </w:pPr>
            <w:r>
              <w:rPr>
                <w:rFonts w:ascii="Arial" w:cs="Arial" w:eastAsia="Arial" w:hAnsi="Arial"/>
                <w:sz w:val="18"/>
                <w:szCs w:val="18"/>
                <w:color w:val="auto"/>
              </w:rPr>
              <w:t>9,210,008</w:t>
            </w:r>
          </w:p>
        </w:tc>
        <w:tc>
          <w:tcPr>
            <w:tcW w:w="360" w:type="dxa"/>
            <w:vAlign w:val="bottom"/>
            <w:tcBorders>
              <w:bottom w:val="single" w:sz="8" w:color="0067B3"/>
            </w:tcBorders>
            <w:shd w:val="clear" w:color="auto" w:fill="E2E6F4"/>
          </w:tcPr>
          <w:p>
            <w:pPr>
              <w:jc w:val="right"/>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0067B3"/>
            </w:tcBorders>
            <w:shd w:val="clear" w:color="auto" w:fill="E2E6F4"/>
          </w:tcPr>
          <w:p>
            <w:pPr>
              <w:jc w:val="right"/>
              <w:ind w:right="91"/>
              <w:spacing w:after="0"/>
              <w:rPr>
                <w:sz w:val="20"/>
                <w:szCs w:val="20"/>
                <w:color w:val="auto"/>
              </w:rPr>
            </w:pPr>
            <w:r>
              <w:rPr>
                <w:rFonts w:ascii="Arial" w:cs="Arial" w:eastAsia="Arial" w:hAnsi="Arial"/>
                <w:sz w:val="18"/>
                <w:szCs w:val="18"/>
                <w:color w:val="auto"/>
              </w:rPr>
              <w:t>5,202,085</w:t>
            </w:r>
          </w:p>
        </w:tc>
        <w:tc>
          <w:tcPr>
            <w:tcW w:w="260" w:type="dxa"/>
            <w:vAlign w:val="bottom"/>
            <w:tcBorders>
              <w:bottom w:val="single" w:sz="8" w:color="0067B3"/>
            </w:tcBorders>
            <w:shd w:val="clear" w:color="auto" w:fill="E2E6F4"/>
          </w:tcPr>
          <w:p>
            <w:pPr>
              <w:jc w:val="right"/>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0067B3"/>
            </w:tcBorders>
            <w:shd w:val="clear" w:color="auto" w:fill="E2E6F4"/>
          </w:tcPr>
          <w:p>
            <w:pPr>
              <w:jc w:val="right"/>
              <w:spacing w:after="0"/>
              <w:rPr>
                <w:sz w:val="20"/>
                <w:szCs w:val="20"/>
                <w:color w:val="auto"/>
              </w:rPr>
            </w:pPr>
            <w:r>
              <w:rPr>
                <w:rFonts w:ascii="Arial" w:cs="Arial" w:eastAsia="Arial" w:hAnsi="Arial"/>
                <w:sz w:val="18"/>
                <w:szCs w:val="18"/>
                <w:color w:val="auto"/>
              </w:rPr>
              <w:t>5,202,085</w:t>
            </w:r>
          </w:p>
        </w:tc>
      </w:tr>
    </w:tbl>
    <w:p>
      <w:pPr>
        <w:spacing w:after="0" w:line="200" w:lineRule="exact"/>
        <w:rPr>
          <w:sz w:val="20"/>
          <w:szCs w:val="20"/>
          <w:color w:val="auto"/>
        </w:rPr>
      </w:pPr>
    </w:p>
    <w:p>
      <w:pPr>
        <w:sectPr>
          <w:pgSz w:w="11900" w:h="16838" w:orient="portrait"/>
          <w:cols w:equalWidth="0" w:num="1">
            <w:col w:w="11240"/>
          </w:cols>
          <w:pgMar w:left="320" w:top="1271" w:right="339" w:bottom="859" w:gutter="0" w:footer="0" w:header="0"/>
        </w:sectPr>
      </w:pPr>
    </w:p>
    <w:p>
      <w:pPr>
        <w:spacing w:after="0" w:line="316" w:lineRule="exact"/>
        <w:rPr>
          <w:sz w:val="20"/>
          <w:szCs w:val="20"/>
          <w:color w:val="auto"/>
        </w:rPr>
      </w:pPr>
    </w:p>
    <w:p>
      <w:pPr>
        <w:ind w:left="8980"/>
        <w:spacing w:after="0"/>
        <w:tabs>
          <w:tab w:leader="none" w:pos="10980" w:val="left"/>
        </w:tabs>
        <w:rPr>
          <w:sz w:val="20"/>
          <w:szCs w:val="20"/>
          <w:color w:val="auto"/>
        </w:rPr>
      </w:pPr>
      <w:r>
        <w:rPr>
          <w:rFonts w:ascii="Arial" w:cs="Arial" w:eastAsia="Arial" w:hAnsi="Arial"/>
          <w:sz w:val="16"/>
          <w:szCs w:val="16"/>
          <w:color w:val="0067B3"/>
        </w:rPr>
        <w:t>2026 Proxy Statement</w:t>
      </w:r>
      <w:r>
        <w:rPr>
          <w:sz w:val="20"/>
          <w:szCs w:val="20"/>
          <w:color w:val="auto"/>
        </w:rPr>
        <w:tab/>
      </w:r>
      <w:r>
        <w:rPr>
          <w:rFonts w:ascii="Arial" w:cs="Arial" w:eastAsia="Arial" w:hAnsi="Arial"/>
          <w:sz w:val="19"/>
          <w:szCs w:val="19"/>
          <w:b w:val="1"/>
          <w:bCs w:val="1"/>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223520</wp:posOffset>
            </wp:positionV>
            <wp:extent cx="7157720" cy="42545"/>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71" w:right="339" w:bottom="859" w:gutter="0" w:footer="0" w:header="0"/>
          <w:type w:val="continuous"/>
        </w:sectPr>
      </w:pPr>
    </w:p>
    <w:bookmarkStart w:id="75" w:name="page76"/>
    <w:bookmarkEnd w:id="75"/>
    <w:p>
      <w:pPr>
        <w:ind w:left="220" w:hanging="212"/>
        <w:spacing w:after="0"/>
        <w:tabs>
          <w:tab w:leader="none" w:pos="220" w:val="left"/>
        </w:tabs>
        <w:numPr>
          <w:ilvl w:val="0"/>
          <w:numId w:val="126"/>
        </w:numPr>
        <w:rPr>
          <w:rFonts w:ascii="Arial" w:cs="Arial" w:eastAsia="Arial" w:hAnsi="Arial"/>
          <w:sz w:val="21"/>
          <w:szCs w:val="21"/>
          <w:color w:val="auto"/>
          <w:vertAlign w:val="superscript"/>
        </w:rPr>
      </w:pPr>
      <w:r>
        <w:rPr>
          <w:rFonts w:ascii="Arial" w:cs="Arial" w:eastAsia="Arial" w:hAnsi="Arial"/>
          <w:sz w:val="16"/>
          <w:szCs w:val="16"/>
          <w:color w:val="auto"/>
        </w:rPr>
        <w:t>Cash severance based upon a multiplier of 299% of the NEO’s base salary.</w:t>
      </w:r>
    </w:p>
    <w:p>
      <w:pPr>
        <w:spacing w:after="0" w:line="44" w:lineRule="exact"/>
        <w:rPr>
          <w:rFonts w:ascii="Arial" w:cs="Arial" w:eastAsia="Arial" w:hAnsi="Arial"/>
          <w:sz w:val="21"/>
          <w:szCs w:val="21"/>
          <w:color w:val="auto"/>
          <w:vertAlign w:val="superscript"/>
        </w:rPr>
      </w:pPr>
    </w:p>
    <w:p>
      <w:pPr>
        <w:ind w:left="200" w:right="280" w:hanging="192"/>
        <w:spacing w:after="0" w:line="218" w:lineRule="auto"/>
        <w:tabs>
          <w:tab w:leader="none" w:pos="215" w:val="left"/>
        </w:tabs>
        <w:numPr>
          <w:ilvl w:val="0"/>
          <w:numId w:val="126"/>
        </w:numPr>
        <w:rPr>
          <w:rFonts w:ascii="Arial" w:cs="Arial" w:eastAsia="Arial" w:hAnsi="Arial"/>
          <w:sz w:val="21"/>
          <w:szCs w:val="21"/>
          <w:color w:val="auto"/>
          <w:vertAlign w:val="superscript"/>
        </w:rPr>
      </w:pPr>
      <w:r>
        <w:rPr>
          <w:rFonts w:ascii="Arial" w:cs="Arial" w:eastAsia="Arial" w:hAnsi="Arial"/>
          <w:sz w:val="16"/>
          <w:szCs w:val="16"/>
          <w:color w:val="auto"/>
        </w:rPr>
        <w:t>Variable cash incentive based upon a multiplier of 299% of the sum of the NEO’s total variable cash incentive payments made to him or her in the four fiscal quarters preceding termination.</w:t>
      </w:r>
    </w:p>
    <w:p>
      <w:pPr>
        <w:spacing w:after="0" w:line="29" w:lineRule="exact"/>
        <w:rPr>
          <w:rFonts w:ascii="Arial" w:cs="Arial" w:eastAsia="Arial" w:hAnsi="Arial"/>
          <w:sz w:val="21"/>
          <w:szCs w:val="21"/>
          <w:color w:val="auto"/>
          <w:vertAlign w:val="superscript"/>
        </w:rPr>
      </w:pPr>
    </w:p>
    <w:p>
      <w:pPr>
        <w:ind w:left="200" w:right="100" w:hanging="192"/>
        <w:spacing w:after="0" w:line="236" w:lineRule="auto"/>
        <w:tabs>
          <w:tab w:leader="none" w:pos="215" w:val="left"/>
        </w:tabs>
        <w:numPr>
          <w:ilvl w:val="0"/>
          <w:numId w:val="126"/>
        </w:numPr>
        <w:rPr>
          <w:rFonts w:ascii="Arial" w:cs="Arial" w:eastAsia="Arial" w:hAnsi="Arial"/>
          <w:sz w:val="21"/>
          <w:szCs w:val="21"/>
          <w:color w:val="auto"/>
          <w:vertAlign w:val="superscript"/>
        </w:rPr>
      </w:pPr>
      <w:r>
        <w:rPr>
          <w:rFonts w:ascii="Arial" w:cs="Arial" w:eastAsia="Arial" w:hAnsi="Arial"/>
          <w:sz w:val="16"/>
          <w:szCs w:val="16"/>
          <w:color w:val="auto"/>
        </w:rPr>
        <w:t>The value of accelerated unvested options as of November 1, 2025 is calculated by taking the difference between the closing price of our common stock on Nasdaq on the last trading day of the fiscal year ($234.13 on October 31, 2025) and the option exercise price and multiplying it by the number of accelerated options. For time- and performance-based RSUs the value represents the closing price of our common stock on the last trading day of the fiscal year multiplied by the number of accelerated units. For PRSUs, the number of accelerated units assumes (i) vesting at the target level if the termination event occurs prior to the end of the performance period for the applicable award and (ii) vesting at the level of achievement actually certified by the Compensation and Talent Committee, if the termination event occurs after the end of the applicable performance period for the award.</w:t>
      </w:r>
    </w:p>
    <w:p>
      <w:pPr>
        <w:spacing w:after="0" w:line="32" w:lineRule="exact"/>
        <w:rPr>
          <w:rFonts w:ascii="Arial" w:cs="Arial" w:eastAsia="Arial" w:hAnsi="Arial"/>
          <w:sz w:val="21"/>
          <w:szCs w:val="21"/>
          <w:color w:val="auto"/>
          <w:vertAlign w:val="superscript"/>
        </w:rPr>
      </w:pPr>
    </w:p>
    <w:p>
      <w:pPr>
        <w:ind w:left="200" w:hanging="192"/>
        <w:spacing w:after="0" w:line="235" w:lineRule="auto"/>
        <w:tabs>
          <w:tab w:leader="none" w:pos="215" w:val="left"/>
        </w:tabs>
        <w:numPr>
          <w:ilvl w:val="0"/>
          <w:numId w:val="126"/>
        </w:numPr>
        <w:rPr>
          <w:rFonts w:ascii="Arial" w:cs="Arial" w:eastAsia="Arial" w:hAnsi="Arial"/>
          <w:sz w:val="21"/>
          <w:szCs w:val="21"/>
          <w:color w:val="auto"/>
          <w:vertAlign w:val="superscript"/>
        </w:rPr>
      </w:pPr>
      <w:r>
        <w:rPr>
          <w:rFonts w:ascii="Arial" w:cs="Arial" w:eastAsia="Arial" w:hAnsi="Arial"/>
          <w:sz w:val="16"/>
          <w:szCs w:val="16"/>
          <w:color w:val="auto"/>
        </w:rPr>
        <w:t>As of November 1, 2025, upon termination by us without cause or by the NEO for good reason after a change in control event, (i) each of the NEOs would be entitled to acceleration of vesting of all outstanding unvested time-based RSUs and PRSUs granted under our 2020 Plan and our 2006 Plan and (ii) Mr. Jain would be entitled to acceleration of vesting of all outstanding unvested time-based RSUs granted under our 1996 Plan. As of November 1, 2025, in the event of the NEO’s death, each of the NEOs would be entitled to acceleration of vesting of all outstanding unvested time-based RSUs and PRSUs granted under our 2020 Plan, our 2006 Plan, and our 1996 Plan, as applicable. As of November 1, 2025, in the event of the NEO’s permanent disability, each of the NEOs would be entitled to acceleration of vesting of all outstanding unvested time-based RSUs and PRSUs granted under our 2020 Plan and our 2006 Plan, as applicable.</w:t>
      </w:r>
    </w:p>
    <w:p>
      <w:pPr>
        <w:spacing w:after="0" w:line="32" w:lineRule="exact"/>
        <w:rPr>
          <w:rFonts w:ascii="Arial" w:cs="Arial" w:eastAsia="Arial" w:hAnsi="Arial"/>
          <w:sz w:val="21"/>
          <w:szCs w:val="21"/>
          <w:color w:val="auto"/>
          <w:vertAlign w:val="superscript"/>
        </w:rPr>
      </w:pPr>
    </w:p>
    <w:p>
      <w:pPr>
        <w:ind w:left="200" w:right="40" w:hanging="192"/>
        <w:spacing w:after="0" w:line="233" w:lineRule="auto"/>
        <w:tabs>
          <w:tab w:leader="none" w:pos="215" w:val="left"/>
        </w:tabs>
        <w:numPr>
          <w:ilvl w:val="0"/>
          <w:numId w:val="126"/>
        </w:numPr>
        <w:rPr>
          <w:rFonts w:ascii="Arial" w:cs="Arial" w:eastAsia="Arial" w:hAnsi="Arial"/>
          <w:sz w:val="21"/>
          <w:szCs w:val="21"/>
          <w:color w:val="auto"/>
          <w:vertAlign w:val="superscript"/>
        </w:rPr>
      </w:pPr>
      <w:r>
        <w:rPr>
          <w:rFonts w:ascii="Arial" w:cs="Arial" w:eastAsia="Arial" w:hAnsi="Arial"/>
          <w:sz w:val="16"/>
          <w:szCs w:val="16"/>
          <w:color w:val="auto"/>
        </w:rPr>
        <w:t>Amounts include life, disability, dental, accident, vision, and group health insurance benefit continuation for 24 months after a termination in connection with a change in control. The annual benefit costs for each executive are: $8,144 for Mr. Roche, $1,691 for Mr. Puccio, $14,509 for Mr. Cotter, $17,341 for Mr. Jain, and $24,462 for Dr. Nakamura.</w:t>
      </w:r>
    </w:p>
    <w:p>
      <w:pPr>
        <w:spacing w:after="0" w:line="29" w:lineRule="exact"/>
        <w:rPr>
          <w:rFonts w:ascii="Arial" w:cs="Arial" w:eastAsia="Arial" w:hAnsi="Arial"/>
          <w:sz w:val="21"/>
          <w:szCs w:val="21"/>
          <w:color w:val="auto"/>
          <w:vertAlign w:val="superscript"/>
        </w:rPr>
      </w:pPr>
    </w:p>
    <w:p>
      <w:pPr>
        <w:ind w:left="200" w:right="120" w:hanging="192"/>
        <w:spacing w:after="0" w:line="236" w:lineRule="auto"/>
        <w:tabs>
          <w:tab w:leader="none" w:pos="215" w:val="left"/>
        </w:tabs>
        <w:numPr>
          <w:ilvl w:val="0"/>
          <w:numId w:val="126"/>
        </w:numPr>
        <w:rPr>
          <w:rFonts w:ascii="Arial" w:cs="Arial" w:eastAsia="Arial" w:hAnsi="Arial"/>
          <w:sz w:val="21"/>
          <w:szCs w:val="21"/>
          <w:color w:val="auto"/>
          <w:vertAlign w:val="superscript"/>
        </w:rPr>
      </w:pPr>
      <w:r>
        <w:rPr>
          <w:rFonts w:ascii="Arial" w:cs="Arial" w:eastAsia="Arial" w:hAnsi="Arial"/>
          <w:sz w:val="16"/>
          <w:szCs w:val="16"/>
          <w:color w:val="auto"/>
        </w:rPr>
        <w:t>In calculating the excise tax gross-up amount, we take into account Mr. Roche’s earnings from ADI for the prior five years. We include the change in control cash severance and variable cash incentive, valuations of time-based RSUs and PRSUs that become vested upon a change in control (using the fiscal year 2025 year-end closing stock price), and our estimated cost of medical and other benefits. Whether Mr. Roche will receive a gross-up amount will depend primarily on his earnings in the previous five years, which will vary depending on stock option exercise activity and amounts of salary and incentives deferred under the DCP. Since 2009, our executive compensation arrangements for new executives do not contain tax gross up provisions for excess parachute payments.</w:t>
      </w:r>
    </w:p>
    <w:p>
      <w:pPr>
        <w:spacing w:after="0" w:line="156" w:lineRule="exact"/>
        <w:rPr>
          <w:sz w:val="20"/>
          <w:szCs w:val="20"/>
          <w:color w:val="auto"/>
        </w:rPr>
      </w:pPr>
    </w:p>
    <w:p>
      <w:pPr>
        <w:spacing w:after="0"/>
        <w:rPr>
          <w:sz w:val="20"/>
          <w:szCs w:val="20"/>
          <w:color w:val="auto"/>
        </w:rPr>
      </w:pPr>
      <w:r>
        <w:rPr>
          <w:rFonts w:ascii="Arial" w:cs="Arial" w:eastAsia="Arial" w:hAnsi="Arial"/>
          <w:sz w:val="41"/>
          <w:szCs w:val="41"/>
          <w:b w:val="1"/>
          <w:bCs w:val="1"/>
          <w:color w:val="0067B3"/>
        </w:rPr>
        <w:t>CEO Pay Ratio</w:t>
      </w:r>
    </w:p>
    <w:p>
      <w:pPr>
        <w:spacing w:after="0" w:line="169" w:lineRule="exact"/>
        <w:rPr>
          <w:sz w:val="20"/>
          <w:szCs w:val="20"/>
          <w:color w:val="auto"/>
        </w:rPr>
      </w:pPr>
    </w:p>
    <w:p>
      <w:pPr>
        <w:jc w:val="both"/>
        <w:ind w:right="140"/>
        <w:spacing w:after="0" w:line="253" w:lineRule="auto"/>
        <w:rPr>
          <w:sz w:val="20"/>
          <w:szCs w:val="20"/>
          <w:color w:val="auto"/>
        </w:rPr>
      </w:pPr>
      <w:r>
        <w:rPr>
          <w:rFonts w:ascii="Arial" w:cs="Arial" w:eastAsia="Arial" w:hAnsi="Arial"/>
          <w:sz w:val="18"/>
          <w:szCs w:val="18"/>
          <w:color w:val="auto"/>
        </w:rPr>
        <w:t>As required by Section 953(b) of the Dodd-Frank Wall Street Reform and Consumer Protection Act, and Item 402(u) of Regulation S-K, we are providing the following information about the relationship of the annual total compensation of our median employee and the annual total compensation of Vincent Roche, our CEO and Chair.</w:t>
      </w:r>
    </w:p>
    <w:p>
      <w:pPr>
        <w:spacing w:after="0" w:line="74" w:lineRule="exact"/>
        <w:rPr>
          <w:sz w:val="20"/>
          <w:szCs w:val="20"/>
          <w:color w:val="auto"/>
        </w:rPr>
      </w:pPr>
    </w:p>
    <w:p>
      <w:pPr>
        <w:ind w:right="40"/>
        <w:spacing w:after="0" w:line="245" w:lineRule="auto"/>
        <w:rPr>
          <w:sz w:val="20"/>
          <w:szCs w:val="20"/>
          <w:color w:val="auto"/>
        </w:rPr>
      </w:pPr>
      <w:r>
        <w:rPr>
          <w:rFonts w:ascii="Arial" w:cs="Arial" w:eastAsia="Arial" w:hAnsi="Arial"/>
          <w:sz w:val="18"/>
          <w:szCs w:val="18"/>
          <w:color w:val="auto"/>
        </w:rPr>
        <w:t>This pay ratio is a reasonable estimate calculated in a manner consistent with SEC rules based on our human resources system of records and the methodology described below. Because the SEC rules for identifying the median employee and calculating the pay ratio based on that employee’s annual total compensation allow companies to adopt a variety of methodologies, to apply certain exclusions, and to make reasonable estimates and assumptions that reflect their compensation practices, the pay ratio reported by other companies may not be comparable to the pay ratio reported below, as other companies may have different employment and compensation practices and may utilize different methodologies, exclusions, estimates, and assumptions in calculating their own pay ratios.</w:t>
      </w:r>
    </w:p>
    <w:p>
      <w:pPr>
        <w:spacing w:after="0" w:line="82" w:lineRule="exact"/>
        <w:rPr>
          <w:sz w:val="20"/>
          <w:szCs w:val="20"/>
          <w:color w:val="auto"/>
        </w:rPr>
      </w:pPr>
    </w:p>
    <w:p>
      <w:pPr>
        <w:ind w:right="80"/>
        <w:spacing w:after="0" w:line="245" w:lineRule="auto"/>
        <w:rPr>
          <w:sz w:val="20"/>
          <w:szCs w:val="20"/>
          <w:color w:val="auto"/>
        </w:rPr>
      </w:pPr>
      <w:r>
        <w:rPr>
          <w:rFonts w:ascii="Arial" w:cs="Arial" w:eastAsia="Arial" w:hAnsi="Arial"/>
          <w:sz w:val="18"/>
          <w:szCs w:val="18"/>
          <w:color w:val="auto"/>
        </w:rPr>
        <w:t>As permitted by SEC rules, we used the same median employee for our fiscal year 2025 as we used for our fiscal year 2024 calculation included in our proxy statement for that fiscal year. We believe it is reasonable to use the same median employee for purposes of the pay ratio calculation because there was no material change in our employee population or in the median employee’s compensation arrangement or other material change that would significantly affect our pay ratio calculation. To identify the median employee (excluding our CEO) in fiscal year 2024 and to determine such employee’s annual total compensation, we used the following methodology and material assumptions, adjustments, and estimates:</w:t>
      </w:r>
    </w:p>
    <w:p>
      <w:pPr>
        <w:spacing w:after="0" w:line="82" w:lineRule="exact"/>
        <w:rPr>
          <w:sz w:val="20"/>
          <w:szCs w:val="20"/>
          <w:color w:val="auto"/>
        </w:rPr>
      </w:pPr>
    </w:p>
    <w:p>
      <w:pPr>
        <w:ind w:left="160" w:hanging="152"/>
        <w:spacing w:after="0"/>
        <w:tabs>
          <w:tab w:leader="none" w:pos="160" w:val="left"/>
        </w:tabs>
        <w:numPr>
          <w:ilvl w:val="0"/>
          <w:numId w:val="127"/>
        </w:numPr>
        <w:rPr>
          <w:rFonts w:ascii="Arial" w:cs="Arial" w:eastAsia="Arial" w:hAnsi="Arial"/>
          <w:sz w:val="13"/>
          <w:szCs w:val="13"/>
          <w:color w:val="0067B3"/>
        </w:rPr>
      </w:pPr>
      <w:r>
        <w:rPr>
          <w:rFonts w:ascii="Arial" w:cs="Arial" w:eastAsia="Arial" w:hAnsi="Arial"/>
          <w:sz w:val="18"/>
          <w:szCs w:val="18"/>
          <w:color w:val="auto"/>
        </w:rPr>
        <w:t>We selected November 2, 2024 as the date upon which we would identify the “median employee.”</w:t>
      </w:r>
    </w:p>
    <w:p>
      <w:pPr>
        <w:spacing w:after="0" w:line="49" w:lineRule="exact"/>
        <w:rPr>
          <w:rFonts w:ascii="Arial" w:cs="Arial" w:eastAsia="Arial" w:hAnsi="Arial"/>
          <w:sz w:val="13"/>
          <w:szCs w:val="13"/>
          <w:color w:val="0067B3"/>
        </w:rPr>
      </w:pPr>
    </w:p>
    <w:p>
      <w:pPr>
        <w:ind w:left="200" w:right="100" w:hanging="192"/>
        <w:spacing w:after="0" w:line="271" w:lineRule="auto"/>
        <w:tabs>
          <w:tab w:leader="none" w:pos="157" w:val="left"/>
        </w:tabs>
        <w:numPr>
          <w:ilvl w:val="0"/>
          <w:numId w:val="127"/>
        </w:numPr>
        <w:rPr>
          <w:rFonts w:ascii="Arial" w:cs="Arial" w:eastAsia="Arial" w:hAnsi="Arial"/>
          <w:sz w:val="13"/>
          <w:szCs w:val="13"/>
          <w:color w:val="0067B3"/>
        </w:rPr>
      </w:pPr>
      <w:r>
        <w:rPr>
          <w:rFonts w:ascii="Arial" w:cs="Arial" w:eastAsia="Arial" w:hAnsi="Arial"/>
          <w:sz w:val="18"/>
          <w:szCs w:val="18"/>
          <w:color w:val="auto"/>
        </w:rPr>
        <w:t>We used our global employee population as of this date, which includes operators located in our manufacturing facilities around the world, including the Philippines.</w:t>
      </w:r>
    </w:p>
    <w:p>
      <w:pPr>
        <w:spacing w:after="0" w:line="5" w:lineRule="exact"/>
        <w:rPr>
          <w:rFonts w:ascii="Arial" w:cs="Arial" w:eastAsia="Arial" w:hAnsi="Arial"/>
          <w:sz w:val="13"/>
          <w:szCs w:val="13"/>
          <w:color w:val="0067B3"/>
        </w:rPr>
      </w:pPr>
    </w:p>
    <w:p>
      <w:pPr>
        <w:jc w:val="both"/>
        <w:ind w:left="200" w:right="180" w:hanging="192"/>
        <w:spacing w:after="0" w:line="253" w:lineRule="auto"/>
        <w:tabs>
          <w:tab w:leader="none" w:pos="157" w:val="left"/>
        </w:tabs>
        <w:numPr>
          <w:ilvl w:val="0"/>
          <w:numId w:val="127"/>
        </w:numPr>
        <w:rPr>
          <w:rFonts w:ascii="Arial" w:cs="Arial" w:eastAsia="Arial" w:hAnsi="Arial"/>
          <w:sz w:val="13"/>
          <w:szCs w:val="13"/>
          <w:color w:val="0067B3"/>
        </w:rPr>
      </w:pPr>
      <w:r>
        <w:rPr>
          <w:rFonts w:ascii="Arial" w:cs="Arial" w:eastAsia="Arial" w:hAnsi="Arial"/>
          <w:sz w:val="18"/>
          <w:szCs w:val="18"/>
          <w:color w:val="auto"/>
        </w:rPr>
        <w:t>To identify the median employee (excluding our CEO), we used annual base salary and target variable cash incentive (or sales incentive) at a target of 1.0x of annual base salary. Base salaries were annualized for all permanent employees who were employees for less than the full fiscal year and not on an unpaid leave of absence as of the identification date.</w:t>
      </w:r>
    </w:p>
    <w:p>
      <w:pPr>
        <w:spacing w:after="0" w:line="20" w:lineRule="exact"/>
        <w:rPr>
          <w:rFonts w:ascii="Arial" w:cs="Arial" w:eastAsia="Arial" w:hAnsi="Arial"/>
          <w:sz w:val="13"/>
          <w:szCs w:val="13"/>
          <w:color w:val="0067B3"/>
        </w:rPr>
      </w:pPr>
    </w:p>
    <w:p>
      <w:pPr>
        <w:ind w:left="200" w:right="660" w:hanging="192"/>
        <w:spacing w:after="0" w:line="266" w:lineRule="auto"/>
        <w:tabs>
          <w:tab w:leader="none" w:pos="157" w:val="left"/>
        </w:tabs>
        <w:numPr>
          <w:ilvl w:val="0"/>
          <w:numId w:val="127"/>
        </w:numPr>
        <w:rPr>
          <w:rFonts w:ascii="Arial" w:cs="Arial" w:eastAsia="Arial" w:hAnsi="Arial"/>
          <w:sz w:val="13"/>
          <w:szCs w:val="13"/>
          <w:color w:val="0067B3"/>
        </w:rPr>
      </w:pPr>
      <w:r>
        <w:rPr>
          <w:rFonts w:ascii="Arial" w:cs="Arial" w:eastAsia="Arial" w:hAnsi="Arial"/>
          <w:sz w:val="18"/>
          <w:szCs w:val="18"/>
          <w:color w:val="auto"/>
        </w:rPr>
        <w:t>We identified and calculated the elements of the median employee’s total compensation for fiscal year 2025 in accordance with the requirements of Item 402(c)(2)(x) of Regulation S-K.</w:t>
      </w:r>
    </w:p>
    <w:p>
      <w:pPr>
        <w:ind w:left="200" w:right="340" w:hanging="192"/>
        <w:spacing w:after="0" w:line="287" w:lineRule="auto"/>
        <w:tabs>
          <w:tab w:leader="none" w:pos="157" w:val="left"/>
        </w:tabs>
        <w:numPr>
          <w:ilvl w:val="0"/>
          <w:numId w:val="127"/>
        </w:numPr>
        <w:rPr>
          <w:rFonts w:ascii="Arial" w:cs="Arial" w:eastAsia="Arial" w:hAnsi="Arial"/>
          <w:sz w:val="13"/>
          <w:szCs w:val="13"/>
          <w:color w:val="0067B3"/>
        </w:rPr>
      </w:pPr>
      <w:r>
        <w:rPr>
          <w:rFonts w:ascii="Arial" w:cs="Arial" w:eastAsia="Arial" w:hAnsi="Arial"/>
          <w:sz w:val="18"/>
          <w:szCs w:val="18"/>
          <w:color w:val="auto"/>
        </w:rPr>
        <w:t>We applied the exchange rate that we utilize in our accounting system, as of our fiscal year end (November 1, 2025), to convert foreign currency to U.S. dollars.</w:t>
      </w:r>
    </w:p>
    <w:p>
      <w:pPr>
        <w:spacing w:after="0" w:line="31" w:lineRule="exact"/>
        <w:rPr>
          <w:sz w:val="20"/>
          <w:szCs w:val="20"/>
          <w:color w:val="auto"/>
        </w:rPr>
      </w:pPr>
    </w:p>
    <w:p>
      <w:pPr>
        <w:ind w:right="100"/>
        <w:spacing w:after="0" w:line="252" w:lineRule="auto"/>
        <w:rPr>
          <w:sz w:val="20"/>
          <w:szCs w:val="20"/>
          <w:color w:val="auto"/>
        </w:rPr>
      </w:pPr>
      <w:r>
        <w:rPr>
          <w:rFonts w:ascii="Arial" w:cs="Arial" w:eastAsia="Arial" w:hAnsi="Arial"/>
          <w:sz w:val="18"/>
          <w:szCs w:val="18"/>
          <w:color w:val="auto"/>
        </w:rPr>
        <w:t>For fiscal year 2025, the annual total compensation of the same median employee was $51,411. The annual total compensation of our CEO for fiscal year 2025 was $27,456,265, which is the annual total compensation of our CEO reported in the “Total” column of the Summary Compensation Table. Based on this information, the ratio of the annual total compensation of our CEO to the median of the annual total compensation of all other employees was approximately 534 to 1.</w:t>
      </w:r>
    </w:p>
    <w:p>
      <w:pPr>
        <w:sectPr>
          <w:pgSz w:w="11900" w:h="16838" w:orient="portrait"/>
          <w:cols w:equalWidth="0" w:num="1">
            <w:col w:w="11220"/>
          </w:cols>
          <w:pgMar w:left="320" w:top="1138" w:right="359" w:bottom="1440" w:gutter="0" w:footer="0" w:header="0"/>
        </w:sectPr>
      </w:pPr>
    </w:p>
    <w:p>
      <w:pPr>
        <w:spacing w:after="0" w:line="200" w:lineRule="exact"/>
        <w:rPr>
          <w:sz w:val="20"/>
          <w:szCs w:val="20"/>
          <w:color w:val="auto"/>
        </w:rPr>
      </w:pPr>
    </w:p>
    <w:p>
      <w:pPr>
        <w:spacing w:after="0" w:line="284" w:lineRule="exact"/>
        <w:rPr>
          <w:sz w:val="20"/>
          <w:szCs w:val="20"/>
          <w:color w:val="auto"/>
        </w:rPr>
      </w:pPr>
    </w:p>
    <w:p>
      <w:pPr>
        <w:ind w:left="640" w:hanging="614"/>
        <w:spacing w:after="0"/>
        <w:tabs>
          <w:tab w:leader="none" w:pos="640" w:val="left"/>
        </w:tabs>
        <w:numPr>
          <w:ilvl w:val="0"/>
          <w:numId w:val="128"/>
        </w:numPr>
        <w:rPr>
          <w:rFonts w:ascii="Arial" w:cs="Arial" w:eastAsia="Arial" w:hAnsi="Arial"/>
          <w:sz w:val="20"/>
          <w:szCs w:val="20"/>
          <w:b w:val="1"/>
          <w:bCs w:val="1"/>
          <w:color w:val="auto"/>
        </w:rPr>
      </w:pPr>
      <w:r>
        <w:rPr>
          <w:rFonts w:ascii="Arial" w:cs="Arial" w:eastAsia="Arial" w:hAnsi="Arial"/>
          <w:sz w:val="16"/>
          <w:szCs w:val="16"/>
          <w:color w:val="6D6E71"/>
        </w:rPr>
        <w:t>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194310</wp:posOffset>
            </wp:positionV>
            <wp:extent cx="7157720" cy="42545"/>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38" w:right="359" w:bottom="1440" w:gutter="0" w:footer="0" w:header="0"/>
          <w:type w:val="continuous"/>
        </w:sectPr>
      </w:pPr>
    </w:p>
    <w:bookmarkStart w:id="76" w:name="page77"/>
    <w:bookmarkEnd w:id="76"/>
    <w:p>
      <w:pPr>
        <w:spacing w:after="0"/>
        <w:rPr>
          <w:sz w:val="20"/>
          <w:szCs w:val="20"/>
          <w:color w:val="auto"/>
        </w:rPr>
      </w:pPr>
      <w:r>
        <w:rPr>
          <w:rFonts w:ascii="Arial" w:cs="Arial" w:eastAsia="Arial" w:hAnsi="Arial"/>
          <w:sz w:val="41"/>
          <w:szCs w:val="41"/>
          <w:b w:val="1"/>
          <w:bCs w:val="1"/>
          <w:color w:val="0067B3"/>
        </w:rPr>
        <w:t>Pay Versus Performance</w:t>
      </w:r>
    </w:p>
    <w:p>
      <w:pPr>
        <w:spacing w:after="0" w:line="169"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color w:val="auto"/>
        </w:rPr>
        <w:t xml:space="preserve">This section should be read in conjunction with the </w:t>
      </w:r>
      <w:r>
        <w:rPr>
          <w:rFonts w:ascii="Arial" w:cs="Arial" w:eastAsia="Arial" w:hAnsi="Arial"/>
          <w:sz w:val="18"/>
          <w:szCs w:val="18"/>
          <w:i w:val="1"/>
          <w:iCs w:val="1"/>
          <w:color w:val="auto"/>
        </w:rPr>
        <w:t>Compensation Discussion and Analysis</w:t>
      </w:r>
      <w:r>
        <w:rPr>
          <w:rFonts w:ascii="Arial" w:cs="Arial" w:eastAsia="Arial" w:hAnsi="Arial"/>
          <w:sz w:val="18"/>
          <w:szCs w:val="18"/>
          <w:color w:val="auto"/>
        </w:rPr>
        <w:t xml:space="preserve"> in this Proxy Statement, which includes additional discussion of the objectives of our executive compensation programs and how they are aligned with our financial and operational performance.</w:t>
      </w:r>
    </w:p>
    <w:p>
      <w:pPr>
        <w:spacing w:after="0" w:line="63"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 xml:space="preserve">As required by Section 953(a) of the Dodd-Frank Wall Street Reform and Consumer Protection Act and Item 402(v) of Regulation S-K, we are providing the following information about the relationship between executive compensation actually paid to our principal executive officer (PEO) and our non-PEO NEOs, as defined by SEC rules (CAP), and certain of our financial performance measures for our last five most recently completed fiscal years. For further information concerning our pay-for-performance philosophy and how we align executive compensation with the company’s performance, refer to the </w:t>
      </w:r>
      <w:r>
        <w:rPr>
          <w:rFonts w:ascii="Arial" w:cs="Arial" w:eastAsia="Arial" w:hAnsi="Arial"/>
          <w:sz w:val="18"/>
          <w:szCs w:val="18"/>
          <w:i w:val="1"/>
          <w:iCs w:val="1"/>
          <w:color w:val="auto"/>
        </w:rPr>
        <w:t>Compensation Discussion and Analysis</w:t>
      </w:r>
      <w:r>
        <w:rPr>
          <w:rFonts w:ascii="Arial" w:cs="Arial" w:eastAsia="Arial" w:hAnsi="Arial"/>
          <w:sz w:val="18"/>
          <w:szCs w:val="18"/>
          <w:color w:val="auto"/>
        </w:rPr>
        <w:t xml:space="preserve"> section of this Proxy Statement.</w:t>
      </w:r>
    </w:p>
    <w:p>
      <w:pPr>
        <w:spacing w:after="0" w:line="98" w:lineRule="exact"/>
        <w:rPr>
          <w:sz w:val="20"/>
          <w:szCs w:val="20"/>
          <w:color w:val="auto"/>
        </w:rPr>
      </w:pPr>
    </w:p>
    <w:p>
      <w:pPr>
        <w:spacing w:after="0"/>
        <w:rPr>
          <w:sz w:val="20"/>
          <w:szCs w:val="20"/>
          <w:color w:val="auto"/>
        </w:rPr>
      </w:pPr>
      <w:r>
        <w:rPr>
          <w:rFonts w:ascii="Arial" w:cs="Arial" w:eastAsia="Arial" w:hAnsi="Arial"/>
          <w:sz w:val="18"/>
          <w:szCs w:val="18"/>
          <w:b w:val="1"/>
          <w:bCs w:val="1"/>
          <w:color w:val="0067B3"/>
        </w:rPr>
        <w:t>Pay Versus Performance Table</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1140" w:type="dxa"/>
            <w:vAlign w:val="bottom"/>
            <w:shd w:val="clear" w:color="auto" w:fill="0067B3"/>
          </w:tcPr>
          <w:p>
            <w:pPr>
              <w:spacing w:after="0"/>
              <w:rPr>
                <w:sz w:val="17"/>
                <w:szCs w:val="17"/>
                <w:color w:val="auto"/>
              </w:rPr>
            </w:pPr>
          </w:p>
        </w:tc>
        <w:tc>
          <w:tcPr>
            <w:tcW w:w="1300" w:type="dxa"/>
            <w:vAlign w:val="bottom"/>
            <w:shd w:val="clear" w:color="auto" w:fill="0067B3"/>
          </w:tcPr>
          <w:p>
            <w:pPr>
              <w:spacing w:after="0"/>
              <w:rPr>
                <w:sz w:val="17"/>
                <w:szCs w:val="17"/>
                <w:color w:val="auto"/>
              </w:rPr>
            </w:pPr>
          </w:p>
        </w:tc>
        <w:tc>
          <w:tcPr>
            <w:tcW w:w="1280" w:type="dxa"/>
            <w:vAlign w:val="bottom"/>
            <w:shd w:val="clear" w:color="auto" w:fill="0067B3"/>
          </w:tcPr>
          <w:p>
            <w:pPr>
              <w:spacing w:after="0"/>
              <w:rPr>
                <w:sz w:val="17"/>
                <w:szCs w:val="17"/>
                <w:color w:val="auto"/>
              </w:rPr>
            </w:pPr>
          </w:p>
        </w:tc>
        <w:tc>
          <w:tcPr>
            <w:tcW w:w="1280" w:type="dxa"/>
            <w:vAlign w:val="bottom"/>
            <w:shd w:val="clear" w:color="auto" w:fill="0067B3"/>
          </w:tcPr>
          <w:p>
            <w:pPr>
              <w:spacing w:after="0"/>
              <w:rPr>
                <w:sz w:val="17"/>
                <w:szCs w:val="17"/>
                <w:color w:val="auto"/>
              </w:rPr>
            </w:pPr>
          </w:p>
        </w:tc>
        <w:tc>
          <w:tcPr>
            <w:tcW w:w="1340" w:type="dxa"/>
            <w:vAlign w:val="bottom"/>
            <w:shd w:val="clear" w:color="auto" w:fill="0067B3"/>
          </w:tcPr>
          <w:p>
            <w:pPr>
              <w:spacing w:after="0"/>
              <w:rPr>
                <w:sz w:val="17"/>
                <w:szCs w:val="17"/>
                <w:color w:val="auto"/>
              </w:rPr>
            </w:pPr>
          </w:p>
        </w:tc>
        <w:tc>
          <w:tcPr>
            <w:tcW w:w="2480" w:type="dxa"/>
            <w:vAlign w:val="bottom"/>
            <w:gridSpan w:val="2"/>
            <w:shd w:val="clear" w:color="auto" w:fill="0067B3"/>
          </w:tcPr>
          <w:p>
            <w:pPr>
              <w:jc w:val="right"/>
              <w:ind w:right="294"/>
              <w:spacing w:after="0"/>
              <w:rPr>
                <w:sz w:val="20"/>
                <w:szCs w:val="20"/>
                <w:color w:val="auto"/>
              </w:rPr>
            </w:pPr>
            <w:r>
              <w:rPr>
                <w:rFonts w:ascii="Arial" w:cs="Arial" w:eastAsia="Arial" w:hAnsi="Arial"/>
                <w:sz w:val="16"/>
                <w:szCs w:val="16"/>
                <w:b w:val="1"/>
                <w:bCs w:val="1"/>
                <w:color w:val="FFFFFF"/>
              </w:rPr>
              <w:t>Value of Initial Fixed $100</w:t>
            </w:r>
          </w:p>
        </w:tc>
        <w:tc>
          <w:tcPr>
            <w:tcW w:w="1220" w:type="dxa"/>
            <w:vAlign w:val="bottom"/>
            <w:shd w:val="clear" w:color="auto" w:fill="0067B3"/>
          </w:tcPr>
          <w:p>
            <w:pPr>
              <w:spacing w:after="0"/>
              <w:rPr>
                <w:sz w:val="17"/>
                <w:szCs w:val="17"/>
                <w:color w:val="auto"/>
              </w:rPr>
            </w:pPr>
          </w:p>
        </w:tc>
        <w:tc>
          <w:tcPr>
            <w:tcW w:w="1200" w:type="dxa"/>
            <w:vAlign w:val="bottom"/>
            <w:shd w:val="clear" w:color="auto" w:fill="0067B3"/>
          </w:tcPr>
          <w:p>
            <w:pPr>
              <w:spacing w:after="0"/>
              <w:rPr>
                <w:sz w:val="17"/>
                <w:szCs w:val="17"/>
                <w:color w:val="auto"/>
              </w:rPr>
            </w:pPr>
          </w:p>
        </w:tc>
      </w:tr>
      <w:tr>
        <w:trPr>
          <w:trHeight w:val="223"/>
        </w:trPr>
        <w:tc>
          <w:tcPr>
            <w:tcW w:w="1140" w:type="dxa"/>
            <w:vAlign w:val="bottom"/>
            <w:shd w:val="clear" w:color="auto" w:fill="0067B3"/>
          </w:tcPr>
          <w:p>
            <w:pPr>
              <w:spacing w:after="0"/>
              <w:rPr>
                <w:sz w:val="19"/>
                <w:szCs w:val="19"/>
                <w:color w:val="auto"/>
              </w:rPr>
            </w:pPr>
          </w:p>
        </w:tc>
        <w:tc>
          <w:tcPr>
            <w:tcW w:w="1300" w:type="dxa"/>
            <w:vAlign w:val="bottom"/>
            <w:shd w:val="clear" w:color="auto" w:fill="0067B3"/>
          </w:tcPr>
          <w:p>
            <w:pPr>
              <w:spacing w:after="0"/>
              <w:rPr>
                <w:sz w:val="19"/>
                <w:szCs w:val="19"/>
                <w:color w:val="auto"/>
              </w:rPr>
            </w:pPr>
          </w:p>
        </w:tc>
        <w:tc>
          <w:tcPr>
            <w:tcW w:w="1280" w:type="dxa"/>
            <w:vAlign w:val="bottom"/>
            <w:shd w:val="clear" w:color="auto" w:fill="0067B3"/>
          </w:tcPr>
          <w:p>
            <w:pPr>
              <w:spacing w:after="0"/>
              <w:rPr>
                <w:sz w:val="19"/>
                <w:szCs w:val="19"/>
                <w:color w:val="auto"/>
              </w:rPr>
            </w:pPr>
          </w:p>
        </w:tc>
        <w:tc>
          <w:tcPr>
            <w:tcW w:w="1280" w:type="dxa"/>
            <w:vAlign w:val="bottom"/>
            <w:shd w:val="clear" w:color="auto" w:fill="0067B3"/>
          </w:tcPr>
          <w:p>
            <w:pPr>
              <w:spacing w:after="0"/>
              <w:rPr>
                <w:sz w:val="19"/>
                <w:szCs w:val="19"/>
                <w:color w:val="auto"/>
              </w:rPr>
            </w:pPr>
          </w:p>
        </w:tc>
        <w:tc>
          <w:tcPr>
            <w:tcW w:w="1340" w:type="dxa"/>
            <w:vAlign w:val="bottom"/>
            <w:shd w:val="clear" w:color="auto" w:fill="0067B3"/>
          </w:tcPr>
          <w:p>
            <w:pPr>
              <w:spacing w:after="0"/>
              <w:rPr>
                <w:sz w:val="19"/>
                <w:szCs w:val="19"/>
                <w:color w:val="auto"/>
              </w:rPr>
            </w:pPr>
          </w:p>
        </w:tc>
        <w:tc>
          <w:tcPr>
            <w:tcW w:w="2480" w:type="dxa"/>
            <w:vAlign w:val="bottom"/>
            <w:gridSpan w:val="2"/>
            <w:shd w:val="clear" w:color="auto" w:fill="0067B3"/>
          </w:tcPr>
          <w:p>
            <w:pPr>
              <w:jc w:val="right"/>
              <w:ind w:right="414"/>
              <w:spacing w:after="0"/>
              <w:rPr>
                <w:sz w:val="20"/>
                <w:szCs w:val="20"/>
                <w:color w:val="auto"/>
              </w:rPr>
            </w:pPr>
            <w:r>
              <w:rPr>
                <w:rFonts w:ascii="Arial" w:cs="Arial" w:eastAsia="Arial" w:hAnsi="Arial"/>
                <w:sz w:val="16"/>
                <w:szCs w:val="16"/>
                <w:b w:val="1"/>
                <w:bCs w:val="1"/>
                <w:color w:val="FFFFFF"/>
              </w:rPr>
              <w:t>Investment Based On:</w:t>
            </w:r>
          </w:p>
        </w:tc>
        <w:tc>
          <w:tcPr>
            <w:tcW w:w="1220" w:type="dxa"/>
            <w:vAlign w:val="bottom"/>
            <w:shd w:val="clear" w:color="auto" w:fill="0067B3"/>
          </w:tcPr>
          <w:p>
            <w:pPr>
              <w:spacing w:after="0"/>
              <w:rPr>
                <w:sz w:val="19"/>
                <w:szCs w:val="19"/>
                <w:color w:val="auto"/>
              </w:rPr>
            </w:pPr>
          </w:p>
        </w:tc>
        <w:tc>
          <w:tcPr>
            <w:tcW w:w="1200" w:type="dxa"/>
            <w:vAlign w:val="bottom"/>
            <w:shd w:val="clear" w:color="auto" w:fill="0067B3"/>
          </w:tcPr>
          <w:p>
            <w:pPr>
              <w:spacing w:after="0"/>
              <w:rPr>
                <w:sz w:val="19"/>
                <w:szCs w:val="19"/>
                <w:color w:val="auto"/>
              </w:rPr>
            </w:pPr>
          </w:p>
        </w:tc>
      </w:tr>
      <w:tr>
        <w:trPr>
          <w:trHeight w:val="223"/>
        </w:trPr>
        <w:tc>
          <w:tcPr>
            <w:tcW w:w="1140" w:type="dxa"/>
            <w:vAlign w:val="bottom"/>
            <w:shd w:val="clear" w:color="auto" w:fill="0067B3"/>
          </w:tcPr>
          <w:p>
            <w:pPr>
              <w:spacing w:after="0"/>
              <w:rPr>
                <w:sz w:val="19"/>
                <w:szCs w:val="19"/>
                <w:color w:val="auto"/>
              </w:rPr>
            </w:pPr>
          </w:p>
        </w:tc>
        <w:tc>
          <w:tcPr>
            <w:tcW w:w="1300" w:type="dxa"/>
            <w:vAlign w:val="bottom"/>
            <w:shd w:val="clear" w:color="auto" w:fill="0067B3"/>
          </w:tcPr>
          <w:p>
            <w:pPr>
              <w:spacing w:after="0"/>
              <w:rPr>
                <w:sz w:val="19"/>
                <w:szCs w:val="19"/>
                <w:color w:val="auto"/>
              </w:rPr>
            </w:pPr>
          </w:p>
        </w:tc>
        <w:tc>
          <w:tcPr>
            <w:tcW w:w="1280" w:type="dxa"/>
            <w:vAlign w:val="bottom"/>
            <w:shd w:val="clear" w:color="auto" w:fill="0067B3"/>
          </w:tcPr>
          <w:p>
            <w:pPr>
              <w:spacing w:after="0"/>
              <w:rPr>
                <w:sz w:val="19"/>
                <w:szCs w:val="19"/>
                <w:color w:val="auto"/>
              </w:rPr>
            </w:pPr>
          </w:p>
        </w:tc>
        <w:tc>
          <w:tcPr>
            <w:tcW w:w="1280" w:type="dxa"/>
            <w:vAlign w:val="bottom"/>
            <w:shd w:val="clear" w:color="auto" w:fill="0067B3"/>
          </w:tcPr>
          <w:p>
            <w:pPr>
              <w:jc w:val="right"/>
              <w:spacing w:after="0"/>
              <w:rPr>
                <w:sz w:val="20"/>
                <w:szCs w:val="20"/>
                <w:color w:val="auto"/>
              </w:rPr>
            </w:pPr>
            <w:r>
              <w:rPr>
                <w:rFonts w:ascii="Arial" w:cs="Arial" w:eastAsia="Arial" w:hAnsi="Arial"/>
                <w:sz w:val="16"/>
                <w:szCs w:val="16"/>
                <w:b w:val="1"/>
                <w:bCs w:val="1"/>
                <w:color w:val="FFFFFF"/>
              </w:rPr>
              <w:t>Average</w:t>
            </w:r>
          </w:p>
        </w:tc>
        <w:tc>
          <w:tcPr>
            <w:tcW w:w="1340" w:type="dxa"/>
            <w:vAlign w:val="bottom"/>
            <w:shd w:val="clear" w:color="auto" w:fill="0067B3"/>
          </w:tcPr>
          <w:p>
            <w:pPr>
              <w:spacing w:after="0"/>
              <w:rPr>
                <w:sz w:val="19"/>
                <w:szCs w:val="19"/>
                <w:color w:val="auto"/>
              </w:rPr>
            </w:pPr>
          </w:p>
        </w:tc>
        <w:tc>
          <w:tcPr>
            <w:tcW w:w="1240" w:type="dxa"/>
            <w:vAlign w:val="bottom"/>
            <w:shd w:val="clear" w:color="auto" w:fill="0067B3"/>
          </w:tcPr>
          <w:p>
            <w:pPr>
              <w:spacing w:after="0"/>
              <w:rPr>
                <w:sz w:val="19"/>
                <w:szCs w:val="19"/>
                <w:color w:val="auto"/>
              </w:rPr>
            </w:pPr>
          </w:p>
        </w:tc>
        <w:tc>
          <w:tcPr>
            <w:tcW w:w="1240" w:type="dxa"/>
            <w:vAlign w:val="bottom"/>
            <w:shd w:val="clear" w:color="auto" w:fill="0067B3"/>
          </w:tcPr>
          <w:p>
            <w:pPr>
              <w:spacing w:after="0"/>
              <w:rPr>
                <w:sz w:val="19"/>
                <w:szCs w:val="19"/>
                <w:color w:val="auto"/>
              </w:rPr>
            </w:pPr>
          </w:p>
        </w:tc>
        <w:tc>
          <w:tcPr>
            <w:tcW w:w="1220" w:type="dxa"/>
            <w:vAlign w:val="bottom"/>
            <w:shd w:val="clear" w:color="auto" w:fill="0067B3"/>
          </w:tcPr>
          <w:p>
            <w:pPr>
              <w:spacing w:after="0"/>
              <w:rPr>
                <w:sz w:val="19"/>
                <w:szCs w:val="19"/>
                <w:color w:val="auto"/>
              </w:rPr>
            </w:pPr>
          </w:p>
        </w:tc>
        <w:tc>
          <w:tcPr>
            <w:tcW w:w="1200" w:type="dxa"/>
            <w:vAlign w:val="bottom"/>
            <w:shd w:val="clear" w:color="auto" w:fill="0067B3"/>
          </w:tcPr>
          <w:p>
            <w:pPr>
              <w:spacing w:after="0"/>
              <w:rPr>
                <w:sz w:val="19"/>
                <w:szCs w:val="19"/>
                <w:color w:val="auto"/>
              </w:rPr>
            </w:pPr>
          </w:p>
        </w:tc>
      </w:tr>
      <w:tr>
        <w:trPr>
          <w:trHeight w:val="189"/>
        </w:trPr>
        <w:tc>
          <w:tcPr>
            <w:tcW w:w="1140" w:type="dxa"/>
            <w:vAlign w:val="bottom"/>
            <w:shd w:val="clear" w:color="auto" w:fill="0067B3"/>
          </w:tcPr>
          <w:p>
            <w:pPr>
              <w:spacing w:after="0"/>
              <w:rPr>
                <w:sz w:val="16"/>
                <w:szCs w:val="16"/>
                <w:color w:val="auto"/>
              </w:rPr>
            </w:pPr>
          </w:p>
        </w:tc>
        <w:tc>
          <w:tcPr>
            <w:tcW w:w="1300" w:type="dxa"/>
            <w:vAlign w:val="bottom"/>
            <w:shd w:val="clear" w:color="auto" w:fill="0067B3"/>
          </w:tcPr>
          <w:p>
            <w:pPr>
              <w:spacing w:after="0"/>
              <w:rPr>
                <w:sz w:val="16"/>
                <w:szCs w:val="16"/>
                <w:color w:val="auto"/>
              </w:rPr>
            </w:pPr>
          </w:p>
        </w:tc>
        <w:tc>
          <w:tcPr>
            <w:tcW w:w="1280" w:type="dxa"/>
            <w:vAlign w:val="bottom"/>
            <w:shd w:val="clear" w:color="auto" w:fill="0067B3"/>
          </w:tcPr>
          <w:p>
            <w:pPr>
              <w:spacing w:after="0"/>
              <w:rPr>
                <w:sz w:val="16"/>
                <w:szCs w:val="16"/>
                <w:color w:val="auto"/>
              </w:rPr>
            </w:pPr>
          </w:p>
        </w:tc>
        <w:tc>
          <w:tcPr>
            <w:tcW w:w="1280" w:type="dxa"/>
            <w:vAlign w:val="bottom"/>
            <w:shd w:val="clear" w:color="auto" w:fill="0067B3"/>
          </w:tcPr>
          <w:p>
            <w:pPr>
              <w:jc w:val="right"/>
              <w:spacing w:after="0"/>
              <w:rPr>
                <w:sz w:val="20"/>
                <w:szCs w:val="20"/>
                <w:color w:val="auto"/>
              </w:rPr>
            </w:pPr>
            <w:r>
              <w:rPr>
                <w:rFonts w:ascii="Arial" w:cs="Arial" w:eastAsia="Arial" w:hAnsi="Arial"/>
                <w:sz w:val="16"/>
                <w:szCs w:val="16"/>
                <w:b w:val="1"/>
                <w:bCs w:val="1"/>
                <w:color w:val="FFFFFF"/>
              </w:rPr>
              <w:t>Summary</w:t>
            </w:r>
          </w:p>
        </w:tc>
        <w:tc>
          <w:tcPr>
            <w:tcW w:w="1340" w:type="dxa"/>
            <w:vAlign w:val="bottom"/>
            <w:shd w:val="clear" w:color="auto" w:fill="0067B3"/>
          </w:tcPr>
          <w:p>
            <w:pPr>
              <w:jc w:val="right"/>
              <w:ind w:right="35"/>
              <w:spacing w:after="0"/>
              <w:rPr>
                <w:sz w:val="20"/>
                <w:szCs w:val="20"/>
                <w:color w:val="auto"/>
              </w:rPr>
            </w:pPr>
            <w:r>
              <w:rPr>
                <w:rFonts w:ascii="Arial" w:cs="Arial" w:eastAsia="Arial" w:hAnsi="Arial"/>
                <w:sz w:val="16"/>
                <w:szCs w:val="16"/>
                <w:b w:val="1"/>
                <w:bCs w:val="1"/>
                <w:color w:val="FFFFFF"/>
              </w:rPr>
              <w:t>Average</w:t>
            </w:r>
          </w:p>
        </w:tc>
        <w:tc>
          <w:tcPr>
            <w:tcW w:w="1240" w:type="dxa"/>
            <w:vAlign w:val="bottom"/>
            <w:shd w:val="clear" w:color="auto" w:fill="0067B3"/>
          </w:tcPr>
          <w:p>
            <w:pPr>
              <w:spacing w:after="0"/>
              <w:rPr>
                <w:sz w:val="16"/>
                <w:szCs w:val="16"/>
                <w:color w:val="auto"/>
              </w:rPr>
            </w:pPr>
          </w:p>
        </w:tc>
        <w:tc>
          <w:tcPr>
            <w:tcW w:w="1240" w:type="dxa"/>
            <w:vAlign w:val="bottom"/>
            <w:shd w:val="clear" w:color="auto" w:fill="0067B3"/>
          </w:tcPr>
          <w:p>
            <w:pPr>
              <w:spacing w:after="0"/>
              <w:rPr>
                <w:sz w:val="16"/>
                <w:szCs w:val="16"/>
                <w:color w:val="auto"/>
              </w:rPr>
            </w:pPr>
          </w:p>
        </w:tc>
        <w:tc>
          <w:tcPr>
            <w:tcW w:w="1220" w:type="dxa"/>
            <w:vAlign w:val="bottom"/>
            <w:shd w:val="clear" w:color="auto" w:fill="0067B3"/>
          </w:tcPr>
          <w:p>
            <w:pPr>
              <w:spacing w:after="0"/>
              <w:rPr>
                <w:sz w:val="16"/>
                <w:szCs w:val="16"/>
                <w:color w:val="auto"/>
              </w:rPr>
            </w:pPr>
          </w:p>
        </w:tc>
        <w:tc>
          <w:tcPr>
            <w:tcW w:w="1200" w:type="dxa"/>
            <w:vAlign w:val="bottom"/>
            <w:shd w:val="clear" w:color="auto" w:fill="0067B3"/>
          </w:tcPr>
          <w:p>
            <w:pPr>
              <w:spacing w:after="0"/>
              <w:rPr>
                <w:sz w:val="16"/>
                <w:szCs w:val="16"/>
                <w:color w:val="auto"/>
              </w:rPr>
            </w:pPr>
          </w:p>
        </w:tc>
      </w:tr>
      <w:tr>
        <w:trPr>
          <w:trHeight w:val="189"/>
        </w:trPr>
        <w:tc>
          <w:tcPr>
            <w:tcW w:w="1140" w:type="dxa"/>
            <w:vAlign w:val="bottom"/>
            <w:shd w:val="clear" w:color="auto" w:fill="0067B3"/>
          </w:tcPr>
          <w:p>
            <w:pPr>
              <w:spacing w:after="0"/>
              <w:rPr>
                <w:sz w:val="16"/>
                <w:szCs w:val="16"/>
                <w:color w:val="auto"/>
              </w:rPr>
            </w:pPr>
          </w:p>
        </w:tc>
        <w:tc>
          <w:tcPr>
            <w:tcW w:w="1300" w:type="dxa"/>
            <w:vAlign w:val="bottom"/>
            <w:shd w:val="clear" w:color="auto" w:fill="0067B3"/>
          </w:tcPr>
          <w:p>
            <w:pPr>
              <w:jc w:val="right"/>
              <w:spacing w:after="0"/>
              <w:rPr>
                <w:sz w:val="20"/>
                <w:szCs w:val="20"/>
                <w:color w:val="auto"/>
              </w:rPr>
            </w:pPr>
            <w:r>
              <w:rPr>
                <w:rFonts w:ascii="Arial" w:cs="Arial" w:eastAsia="Arial" w:hAnsi="Arial"/>
                <w:sz w:val="16"/>
                <w:szCs w:val="16"/>
                <w:b w:val="1"/>
                <w:bCs w:val="1"/>
                <w:color w:val="FFFFFF"/>
              </w:rPr>
              <w:t>Summary</w:t>
            </w:r>
          </w:p>
        </w:tc>
        <w:tc>
          <w:tcPr>
            <w:tcW w:w="1280" w:type="dxa"/>
            <w:vAlign w:val="bottom"/>
            <w:shd w:val="clear" w:color="auto" w:fill="0067B3"/>
          </w:tcPr>
          <w:p>
            <w:pPr>
              <w:spacing w:after="0"/>
              <w:rPr>
                <w:sz w:val="16"/>
                <w:szCs w:val="16"/>
                <w:color w:val="auto"/>
              </w:rPr>
            </w:pPr>
          </w:p>
        </w:tc>
        <w:tc>
          <w:tcPr>
            <w:tcW w:w="1280" w:type="dxa"/>
            <w:vAlign w:val="bottom"/>
            <w:shd w:val="clear" w:color="auto" w:fill="0067B3"/>
          </w:tcPr>
          <w:p>
            <w:pPr>
              <w:jc w:val="right"/>
              <w:spacing w:after="0"/>
              <w:rPr>
                <w:sz w:val="20"/>
                <w:szCs w:val="20"/>
                <w:color w:val="auto"/>
              </w:rPr>
            </w:pPr>
            <w:r>
              <w:rPr>
                <w:rFonts w:ascii="Arial" w:cs="Arial" w:eastAsia="Arial" w:hAnsi="Arial"/>
                <w:sz w:val="16"/>
                <w:szCs w:val="16"/>
                <w:b w:val="1"/>
                <w:bCs w:val="1"/>
                <w:color w:val="FFFFFF"/>
              </w:rPr>
              <w:t>Compensation</w:t>
            </w:r>
          </w:p>
        </w:tc>
        <w:tc>
          <w:tcPr>
            <w:tcW w:w="1340" w:type="dxa"/>
            <w:vAlign w:val="bottom"/>
            <w:shd w:val="clear" w:color="auto" w:fill="0067B3"/>
          </w:tcPr>
          <w:p>
            <w:pPr>
              <w:jc w:val="right"/>
              <w:ind w:right="35"/>
              <w:spacing w:after="0"/>
              <w:rPr>
                <w:sz w:val="20"/>
                <w:szCs w:val="20"/>
                <w:color w:val="auto"/>
              </w:rPr>
            </w:pPr>
            <w:r>
              <w:rPr>
                <w:rFonts w:ascii="Arial" w:cs="Arial" w:eastAsia="Arial" w:hAnsi="Arial"/>
                <w:sz w:val="16"/>
                <w:szCs w:val="16"/>
                <w:b w:val="1"/>
                <w:bCs w:val="1"/>
                <w:color w:val="FFFFFF"/>
              </w:rPr>
              <w:t>Compensation</w:t>
            </w:r>
          </w:p>
        </w:tc>
        <w:tc>
          <w:tcPr>
            <w:tcW w:w="1240" w:type="dxa"/>
            <w:vAlign w:val="bottom"/>
            <w:shd w:val="clear" w:color="auto" w:fill="0067B3"/>
          </w:tcPr>
          <w:p>
            <w:pPr>
              <w:spacing w:after="0"/>
              <w:rPr>
                <w:sz w:val="16"/>
                <w:szCs w:val="16"/>
                <w:color w:val="auto"/>
              </w:rPr>
            </w:pPr>
          </w:p>
        </w:tc>
        <w:tc>
          <w:tcPr>
            <w:tcW w:w="1240" w:type="dxa"/>
            <w:vAlign w:val="bottom"/>
            <w:shd w:val="clear" w:color="auto" w:fill="0067B3"/>
          </w:tcPr>
          <w:p>
            <w:pPr>
              <w:jc w:val="right"/>
              <w:ind w:right="54"/>
              <w:spacing w:after="0"/>
              <w:rPr>
                <w:sz w:val="20"/>
                <w:szCs w:val="20"/>
                <w:color w:val="auto"/>
              </w:rPr>
            </w:pPr>
            <w:r>
              <w:rPr>
                <w:rFonts w:ascii="Arial" w:cs="Arial" w:eastAsia="Arial" w:hAnsi="Arial"/>
                <w:sz w:val="16"/>
                <w:szCs w:val="16"/>
                <w:b w:val="1"/>
                <w:bCs w:val="1"/>
                <w:color w:val="FFFFFF"/>
              </w:rPr>
              <w:t>Peer Group</w:t>
            </w:r>
          </w:p>
        </w:tc>
        <w:tc>
          <w:tcPr>
            <w:tcW w:w="1220" w:type="dxa"/>
            <w:vAlign w:val="bottom"/>
            <w:shd w:val="clear" w:color="auto" w:fill="0067B3"/>
          </w:tcPr>
          <w:p>
            <w:pPr>
              <w:spacing w:after="0"/>
              <w:rPr>
                <w:sz w:val="16"/>
                <w:szCs w:val="16"/>
                <w:color w:val="auto"/>
              </w:rPr>
            </w:pPr>
          </w:p>
        </w:tc>
        <w:tc>
          <w:tcPr>
            <w:tcW w:w="1200" w:type="dxa"/>
            <w:vAlign w:val="bottom"/>
            <w:shd w:val="clear" w:color="auto" w:fill="0067B3"/>
          </w:tcPr>
          <w:p>
            <w:pPr>
              <w:spacing w:after="0"/>
              <w:rPr>
                <w:sz w:val="16"/>
                <w:szCs w:val="16"/>
                <w:color w:val="auto"/>
              </w:rPr>
            </w:pPr>
          </w:p>
        </w:tc>
      </w:tr>
      <w:tr>
        <w:trPr>
          <w:trHeight w:val="203"/>
        </w:trPr>
        <w:tc>
          <w:tcPr>
            <w:tcW w:w="1140" w:type="dxa"/>
            <w:vAlign w:val="bottom"/>
            <w:shd w:val="clear" w:color="auto" w:fill="0067B3"/>
          </w:tcPr>
          <w:p>
            <w:pPr>
              <w:spacing w:after="0"/>
              <w:rPr>
                <w:sz w:val="17"/>
                <w:szCs w:val="17"/>
                <w:color w:val="auto"/>
              </w:rPr>
            </w:pPr>
          </w:p>
        </w:tc>
        <w:tc>
          <w:tcPr>
            <w:tcW w:w="1300" w:type="dxa"/>
            <w:vAlign w:val="bottom"/>
            <w:shd w:val="clear" w:color="auto" w:fill="0067B3"/>
          </w:tcPr>
          <w:p>
            <w:pPr>
              <w:jc w:val="center"/>
              <w:spacing w:after="0"/>
              <w:rPr>
                <w:sz w:val="20"/>
                <w:szCs w:val="20"/>
                <w:color w:val="auto"/>
              </w:rPr>
            </w:pPr>
            <w:r>
              <w:rPr>
                <w:rFonts w:ascii="Arial" w:cs="Arial" w:eastAsia="Arial" w:hAnsi="Arial"/>
                <w:sz w:val="16"/>
                <w:szCs w:val="16"/>
                <w:b w:val="1"/>
                <w:bCs w:val="1"/>
                <w:color w:val="FFFFFF"/>
              </w:rPr>
              <w:t>Compensation</w:t>
            </w:r>
          </w:p>
        </w:tc>
        <w:tc>
          <w:tcPr>
            <w:tcW w:w="1280" w:type="dxa"/>
            <w:vAlign w:val="bottom"/>
            <w:shd w:val="clear" w:color="auto" w:fill="0067B3"/>
          </w:tcPr>
          <w:p>
            <w:pPr>
              <w:jc w:val="right"/>
              <w:spacing w:after="0"/>
              <w:rPr>
                <w:sz w:val="20"/>
                <w:szCs w:val="20"/>
                <w:color w:val="auto"/>
              </w:rPr>
            </w:pPr>
            <w:r>
              <w:rPr>
                <w:rFonts w:ascii="Arial" w:cs="Arial" w:eastAsia="Arial" w:hAnsi="Arial"/>
                <w:sz w:val="16"/>
                <w:szCs w:val="16"/>
                <w:b w:val="1"/>
                <w:bCs w:val="1"/>
                <w:color w:val="FFFFFF"/>
              </w:rPr>
              <w:t>Compensation</w:t>
            </w:r>
          </w:p>
        </w:tc>
        <w:tc>
          <w:tcPr>
            <w:tcW w:w="1280" w:type="dxa"/>
            <w:vAlign w:val="bottom"/>
            <w:shd w:val="clear" w:color="auto" w:fill="0067B3"/>
          </w:tcPr>
          <w:p>
            <w:pPr>
              <w:jc w:val="right"/>
              <w:spacing w:after="0"/>
              <w:rPr>
                <w:sz w:val="20"/>
                <w:szCs w:val="20"/>
                <w:color w:val="auto"/>
              </w:rPr>
            </w:pPr>
            <w:r>
              <w:rPr>
                <w:rFonts w:ascii="Arial" w:cs="Arial" w:eastAsia="Arial" w:hAnsi="Arial"/>
                <w:sz w:val="16"/>
                <w:szCs w:val="16"/>
                <w:b w:val="1"/>
                <w:bCs w:val="1"/>
                <w:color w:val="FFFFFF"/>
              </w:rPr>
              <w:t>Table Total</w:t>
            </w:r>
          </w:p>
        </w:tc>
        <w:tc>
          <w:tcPr>
            <w:tcW w:w="1340" w:type="dxa"/>
            <w:vAlign w:val="bottom"/>
            <w:shd w:val="clear" w:color="auto" w:fill="0067B3"/>
          </w:tcPr>
          <w:p>
            <w:pPr>
              <w:jc w:val="right"/>
              <w:ind w:right="35"/>
              <w:spacing w:after="0"/>
              <w:rPr>
                <w:sz w:val="20"/>
                <w:szCs w:val="20"/>
                <w:color w:val="auto"/>
              </w:rPr>
            </w:pPr>
            <w:r>
              <w:rPr>
                <w:rFonts w:ascii="Arial" w:cs="Arial" w:eastAsia="Arial" w:hAnsi="Arial"/>
                <w:sz w:val="16"/>
                <w:szCs w:val="16"/>
                <w:b w:val="1"/>
                <w:bCs w:val="1"/>
                <w:color w:val="FFFFFF"/>
              </w:rPr>
              <w:t>Actually Paid</w:t>
            </w:r>
          </w:p>
        </w:tc>
        <w:tc>
          <w:tcPr>
            <w:tcW w:w="1240" w:type="dxa"/>
            <w:vAlign w:val="bottom"/>
            <w:shd w:val="clear" w:color="auto" w:fill="0067B3"/>
          </w:tcPr>
          <w:p>
            <w:pPr>
              <w:jc w:val="right"/>
              <w:ind w:right="55"/>
              <w:spacing w:after="0"/>
              <w:rPr>
                <w:sz w:val="20"/>
                <w:szCs w:val="20"/>
                <w:color w:val="auto"/>
              </w:rPr>
            </w:pPr>
            <w:r>
              <w:rPr>
                <w:rFonts w:ascii="Arial" w:cs="Arial" w:eastAsia="Arial" w:hAnsi="Arial"/>
                <w:sz w:val="16"/>
                <w:szCs w:val="16"/>
                <w:b w:val="1"/>
                <w:bCs w:val="1"/>
                <w:color w:val="FFFFFF"/>
              </w:rPr>
              <w:t>Total</w:t>
            </w:r>
          </w:p>
        </w:tc>
        <w:tc>
          <w:tcPr>
            <w:tcW w:w="1240" w:type="dxa"/>
            <w:vAlign w:val="bottom"/>
            <w:shd w:val="clear" w:color="auto" w:fill="0067B3"/>
          </w:tcPr>
          <w:p>
            <w:pPr>
              <w:jc w:val="right"/>
              <w:ind w:right="54"/>
              <w:spacing w:after="0"/>
              <w:rPr>
                <w:sz w:val="20"/>
                <w:szCs w:val="20"/>
                <w:color w:val="auto"/>
              </w:rPr>
            </w:pPr>
            <w:r>
              <w:rPr>
                <w:rFonts w:ascii="Arial" w:cs="Arial" w:eastAsia="Arial" w:hAnsi="Arial"/>
                <w:sz w:val="16"/>
                <w:szCs w:val="16"/>
                <w:b w:val="1"/>
                <w:bCs w:val="1"/>
                <w:color w:val="FFFFFF"/>
              </w:rPr>
              <w:t>Total</w:t>
            </w:r>
          </w:p>
        </w:tc>
        <w:tc>
          <w:tcPr>
            <w:tcW w:w="1220" w:type="dxa"/>
            <w:vAlign w:val="bottom"/>
            <w:shd w:val="clear" w:color="auto" w:fill="0067B3"/>
          </w:tcPr>
          <w:p>
            <w:pPr>
              <w:spacing w:after="0"/>
              <w:rPr>
                <w:sz w:val="17"/>
                <w:szCs w:val="17"/>
                <w:color w:val="auto"/>
              </w:rPr>
            </w:pPr>
          </w:p>
        </w:tc>
        <w:tc>
          <w:tcPr>
            <w:tcW w:w="1200" w:type="dxa"/>
            <w:vAlign w:val="bottom"/>
            <w:shd w:val="clear" w:color="auto" w:fill="0067B3"/>
          </w:tcPr>
          <w:p>
            <w:pPr>
              <w:spacing w:after="0"/>
              <w:rPr>
                <w:sz w:val="17"/>
                <w:szCs w:val="17"/>
                <w:color w:val="auto"/>
              </w:rPr>
            </w:pPr>
          </w:p>
        </w:tc>
      </w:tr>
      <w:tr>
        <w:trPr>
          <w:trHeight w:val="189"/>
        </w:trPr>
        <w:tc>
          <w:tcPr>
            <w:tcW w:w="1140" w:type="dxa"/>
            <w:vAlign w:val="bottom"/>
            <w:shd w:val="clear" w:color="auto" w:fill="0067B3"/>
          </w:tcPr>
          <w:p>
            <w:pPr>
              <w:spacing w:after="0"/>
              <w:rPr>
                <w:sz w:val="16"/>
                <w:szCs w:val="16"/>
                <w:color w:val="auto"/>
              </w:rPr>
            </w:pPr>
          </w:p>
        </w:tc>
        <w:tc>
          <w:tcPr>
            <w:tcW w:w="1300" w:type="dxa"/>
            <w:vAlign w:val="bottom"/>
            <w:shd w:val="clear" w:color="auto" w:fill="0067B3"/>
          </w:tcPr>
          <w:p>
            <w:pPr>
              <w:jc w:val="right"/>
              <w:ind w:right="14"/>
              <w:spacing w:after="0"/>
              <w:rPr>
                <w:sz w:val="20"/>
                <w:szCs w:val="20"/>
                <w:color w:val="auto"/>
              </w:rPr>
            </w:pPr>
            <w:r>
              <w:rPr>
                <w:rFonts w:ascii="Arial" w:cs="Arial" w:eastAsia="Arial" w:hAnsi="Arial"/>
                <w:sz w:val="16"/>
                <w:szCs w:val="16"/>
                <w:b w:val="1"/>
                <w:bCs w:val="1"/>
                <w:color w:val="FFFFFF"/>
              </w:rPr>
              <w:t>Table Total</w:t>
            </w:r>
          </w:p>
        </w:tc>
        <w:tc>
          <w:tcPr>
            <w:tcW w:w="1280" w:type="dxa"/>
            <w:vAlign w:val="bottom"/>
            <w:shd w:val="clear" w:color="auto" w:fill="0067B3"/>
          </w:tcPr>
          <w:p>
            <w:pPr>
              <w:jc w:val="right"/>
              <w:spacing w:after="0"/>
              <w:rPr>
                <w:sz w:val="20"/>
                <w:szCs w:val="20"/>
                <w:color w:val="auto"/>
              </w:rPr>
            </w:pPr>
            <w:r>
              <w:rPr>
                <w:rFonts w:ascii="Arial" w:cs="Arial" w:eastAsia="Arial" w:hAnsi="Arial"/>
                <w:sz w:val="16"/>
                <w:szCs w:val="16"/>
                <w:b w:val="1"/>
                <w:bCs w:val="1"/>
                <w:color w:val="FFFFFF"/>
              </w:rPr>
              <w:t>Actually Paid</w:t>
            </w:r>
          </w:p>
        </w:tc>
        <w:tc>
          <w:tcPr>
            <w:tcW w:w="1280" w:type="dxa"/>
            <w:vAlign w:val="bottom"/>
            <w:shd w:val="clear" w:color="auto" w:fill="0067B3"/>
          </w:tcPr>
          <w:p>
            <w:pPr>
              <w:jc w:val="right"/>
              <w:spacing w:after="0"/>
              <w:rPr>
                <w:sz w:val="20"/>
                <w:szCs w:val="20"/>
                <w:color w:val="auto"/>
              </w:rPr>
            </w:pPr>
            <w:r>
              <w:rPr>
                <w:rFonts w:ascii="Arial" w:cs="Arial" w:eastAsia="Arial" w:hAnsi="Arial"/>
                <w:sz w:val="16"/>
                <w:szCs w:val="16"/>
                <w:b w:val="1"/>
                <w:bCs w:val="1"/>
                <w:color w:val="FFFFFF"/>
              </w:rPr>
              <w:t>for non-</w:t>
            </w:r>
          </w:p>
        </w:tc>
        <w:tc>
          <w:tcPr>
            <w:tcW w:w="1340" w:type="dxa"/>
            <w:vAlign w:val="bottom"/>
            <w:shd w:val="clear" w:color="auto" w:fill="0067B3"/>
          </w:tcPr>
          <w:p>
            <w:pPr>
              <w:jc w:val="right"/>
              <w:ind w:right="35"/>
              <w:spacing w:after="0"/>
              <w:rPr>
                <w:sz w:val="20"/>
                <w:szCs w:val="20"/>
                <w:color w:val="auto"/>
              </w:rPr>
            </w:pPr>
            <w:r>
              <w:rPr>
                <w:rFonts w:ascii="Arial" w:cs="Arial" w:eastAsia="Arial" w:hAnsi="Arial"/>
                <w:sz w:val="16"/>
                <w:szCs w:val="16"/>
                <w:b w:val="1"/>
                <w:bCs w:val="1"/>
                <w:color w:val="FFFFFF"/>
              </w:rPr>
              <w:t>to non-</w:t>
            </w:r>
          </w:p>
        </w:tc>
        <w:tc>
          <w:tcPr>
            <w:tcW w:w="1240" w:type="dxa"/>
            <w:vAlign w:val="bottom"/>
            <w:shd w:val="clear" w:color="auto" w:fill="0067B3"/>
          </w:tcPr>
          <w:p>
            <w:pPr>
              <w:jc w:val="right"/>
              <w:ind w:right="55"/>
              <w:spacing w:after="0"/>
              <w:rPr>
                <w:sz w:val="20"/>
                <w:szCs w:val="20"/>
                <w:color w:val="auto"/>
              </w:rPr>
            </w:pPr>
            <w:r>
              <w:rPr>
                <w:rFonts w:ascii="Arial" w:cs="Arial" w:eastAsia="Arial" w:hAnsi="Arial"/>
                <w:sz w:val="16"/>
                <w:szCs w:val="16"/>
                <w:b w:val="1"/>
                <w:bCs w:val="1"/>
                <w:color w:val="FFFFFF"/>
              </w:rPr>
              <w:t>Shareholder</w:t>
            </w:r>
          </w:p>
        </w:tc>
        <w:tc>
          <w:tcPr>
            <w:tcW w:w="1240" w:type="dxa"/>
            <w:vAlign w:val="bottom"/>
            <w:shd w:val="clear" w:color="auto" w:fill="0067B3"/>
          </w:tcPr>
          <w:p>
            <w:pPr>
              <w:jc w:val="right"/>
              <w:ind w:right="54"/>
              <w:spacing w:after="0"/>
              <w:rPr>
                <w:sz w:val="20"/>
                <w:szCs w:val="20"/>
                <w:color w:val="auto"/>
              </w:rPr>
            </w:pPr>
            <w:r>
              <w:rPr>
                <w:rFonts w:ascii="Arial" w:cs="Arial" w:eastAsia="Arial" w:hAnsi="Arial"/>
                <w:sz w:val="16"/>
                <w:szCs w:val="16"/>
                <w:b w:val="1"/>
                <w:bCs w:val="1"/>
                <w:color w:val="FFFFFF"/>
              </w:rPr>
              <w:t>Shareholder</w:t>
            </w:r>
          </w:p>
        </w:tc>
        <w:tc>
          <w:tcPr>
            <w:tcW w:w="1220" w:type="dxa"/>
            <w:vAlign w:val="bottom"/>
            <w:shd w:val="clear" w:color="auto" w:fill="0067B3"/>
          </w:tcPr>
          <w:p>
            <w:pPr>
              <w:jc w:val="right"/>
              <w:ind w:right="73"/>
              <w:spacing w:after="0"/>
              <w:rPr>
                <w:sz w:val="20"/>
                <w:szCs w:val="20"/>
                <w:color w:val="auto"/>
              </w:rPr>
            </w:pPr>
            <w:r>
              <w:rPr>
                <w:rFonts w:ascii="Arial" w:cs="Arial" w:eastAsia="Arial" w:hAnsi="Arial"/>
                <w:sz w:val="16"/>
                <w:szCs w:val="16"/>
                <w:b w:val="1"/>
                <w:bCs w:val="1"/>
                <w:color w:val="FFFFFF"/>
              </w:rPr>
              <w:t>Net Income</w:t>
            </w:r>
          </w:p>
        </w:tc>
        <w:tc>
          <w:tcPr>
            <w:tcW w:w="1200" w:type="dxa"/>
            <w:vAlign w:val="bottom"/>
            <w:shd w:val="clear" w:color="auto" w:fill="0067B3"/>
          </w:tcPr>
          <w:p>
            <w:pPr>
              <w:jc w:val="right"/>
              <w:spacing w:after="0"/>
              <w:rPr>
                <w:sz w:val="20"/>
                <w:szCs w:val="20"/>
                <w:color w:val="auto"/>
              </w:rPr>
            </w:pPr>
            <w:r>
              <w:rPr>
                <w:rFonts w:ascii="Arial" w:cs="Arial" w:eastAsia="Arial" w:hAnsi="Arial"/>
                <w:sz w:val="16"/>
                <w:szCs w:val="16"/>
                <w:b w:val="1"/>
                <w:bCs w:val="1"/>
                <w:color w:val="FFFFFF"/>
              </w:rPr>
              <w:t>OPBT Margin</w:t>
            </w:r>
          </w:p>
        </w:tc>
      </w:tr>
      <w:tr>
        <w:trPr>
          <w:trHeight w:val="244"/>
        </w:trPr>
        <w:tc>
          <w:tcPr>
            <w:tcW w:w="1140" w:type="dxa"/>
            <w:vAlign w:val="bottom"/>
            <w:shd w:val="clear" w:color="auto" w:fill="0067B3"/>
          </w:tcPr>
          <w:p>
            <w:pPr>
              <w:ind w:left="20"/>
              <w:spacing w:after="0"/>
              <w:rPr>
                <w:sz w:val="20"/>
                <w:szCs w:val="20"/>
                <w:color w:val="auto"/>
              </w:rPr>
            </w:pPr>
            <w:r>
              <w:rPr>
                <w:rFonts w:ascii="Arial" w:cs="Arial" w:eastAsia="Arial" w:hAnsi="Arial"/>
                <w:sz w:val="16"/>
                <w:szCs w:val="16"/>
                <w:b w:val="1"/>
                <w:bCs w:val="1"/>
                <w:color w:val="FFFFFF"/>
              </w:rPr>
              <w:t>Year</w:t>
            </w:r>
            <w:r>
              <w:rPr>
                <w:rFonts w:ascii="Arial" w:cs="Arial" w:eastAsia="Arial" w:hAnsi="Arial"/>
                <w:sz w:val="21"/>
                <w:szCs w:val="21"/>
                <w:b w:val="1"/>
                <w:bCs w:val="1"/>
                <w:color w:val="FFFFFF"/>
                <w:vertAlign w:val="superscript"/>
              </w:rPr>
              <w:t>(1)</w:t>
            </w:r>
          </w:p>
        </w:tc>
        <w:tc>
          <w:tcPr>
            <w:tcW w:w="1300" w:type="dxa"/>
            <w:vAlign w:val="bottom"/>
            <w:shd w:val="clear" w:color="auto" w:fill="0067B3"/>
          </w:tcPr>
          <w:p>
            <w:pPr>
              <w:jc w:val="right"/>
              <w:spacing w:after="0"/>
              <w:rPr>
                <w:sz w:val="20"/>
                <w:szCs w:val="20"/>
                <w:color w:val="auto"/>
              </w:rPr>
            </w:pPr>
            <w:r>
              <w:rPr>
                <w:rFonts w:ascii="Arial" w:cs="Arial" w:eastAsia="Arial" w:hAnsi="Arial"/>
                <w:sz w:val="16"/>
                <w:szCs w:val="16"/>
                <w:b w:val="1"/>
                <w:bCs w:val="1"/>
                <w:color w:val="FFFFFF"/>
              </w:rPr>
              <w:t>for PEO</w:t>
            </w:r>
          </w:p>
        </w:tc>
        <w:tc>
          <w:tcPr>
            <w:tcW w:w="1280" w:type="dxa"/>
            <w:vAlign w:val="bottom"/>
            <w:shd w:val="clear" w:color="auto" w:fill="0067B3"/>
          </w:tcPr>
          <w:p>
            <w:pPr>
              <w:jc w:val="right"/>
              <w:spacing w:after="0"/>
              <w:rPr>
                <w:sz w:val="20"/>
                <w:szCs w:val="20"/>
                <w:color w:val="auto"/>
              </w:rPr>
            </w:pPr>
            <w:r>
              <w:rPr>
                <w:rFonts w:ascii="Arial" w:cs="Arial" w:eastAsia="Arial" w:hAnsi="Arial"/>
                <w:sz w:val="16"/>
                <w:szCs w:val="16"/>
                <w:b w:val="1"/>
                <w:bCs w:val="1"/>
                <w:color w:val="FFFFFF"/>
              </w:rPr>
              <w:t>to PEO</w:t>
            </w:r>
            <w:r>
              <w:rPr>
                <w:rFonts w:ascii="Arial" w:cs="Arial" w:eastAsia="Arial" w:hAnsi="Arial"/>
                <w:sz w:val="21"/>
                <w:szCs w:val="21"/>
                <w:b w:val="1"/>
                <w:bCs w:val="1"/>
                <w:color w:val="FFFFFF"/>
                <w:vertAlign w:val="superscript"/>
              </w:rPr>
              <w:t>(2)</w:t>
            </w:r>
          </w:p>
        </w:tc>
        <w:tc>
          <w:tcPr>
            <w:tcW w:w="1280" w:type="dxa"/>
            <w:vAlign w:val="bottom"/>
            <w:shd w:val="clear" w:color="auto" w:fill="0067B3"/>
          </w:tcPr>
          <w:p>
            <w:pPr>
              <w:jc w:val="right"/>
              <w:spacing w:after="0"/>
              <w:rPr>
                <w:sz w:val="20"/>
                <w:szCs w:val="20"/>
                <w:color w:val="auto"/>
              </w:rPr>
            </w:pPr>
            <w:r>
              <w:rPr>
                <w:rFonts w:ascii="Arial" w:cs="Arial" w:eastAsia="Arial" w:hAnsi="Arial"/>
                <w:sz w:val="16"/>
                <w:szCs w:val="16"/>
                <w:b w:val="1"/>
                <w:bCs w:val="1"/>
                <w:color w:val="FFFFFF"/>
              </w:rPr>
              <w:t>PEO NEOs</w:t>
            </w:r>
          </w:p>
        </w:tc>
        <w:tc>
          <w:tcPr>
            <w:tcW w:w="1340" w:type="dxa"/>
            <w:vAlign w:val="bottom"/>
            <w:shd w:val="clear" w:color="auto" w:fill="0067B3"/>
          </w:tcPr>
          <w:p>
            <w:pPr>
              <w:jc w:val="right"/>
              <w:ind w:right="35"/>
              <w:spacing w:after="0"/>
              <w:rPr>
                <w:sz w:val="20"/>
                <w:szCs w:val="20"/>
                <w:color w:val="auto"/>
              </w:rPr>
            </w:pPr>
            <w:r>
              <w:rPr>
                <w:rFonts w:ascii="Arial" w:cs="Arial" w:eastAsia="Arial" w:hAnsi="Arial"/>
                <w:sz w:val="16"/>
                <w:szCs w:val="16"/>
                <w:b w:val="1"/>
                <w:bCs w:val="1"/>
                <w:color w:val="FFFFFF"/>
              </w:rPr>
              <w:t>PEO NEOs</w:t>
            </w:r>
            <w:r>
              <w:rPr>
                <w:rFonts w:ascii="Arial" w:cs="Arial" w:eastAsia="Arial" w:hAnsi="Arial"/>
                <w:sz w:val="21"/>
                <w:szCs w:val="21"/>
                <w:b w:val="1"/>
                <w:bCs w:val="1"/>
                <w:color w:val="FFFFFF"/>
                <w:vertAlign w:val="superscript"/>
              </w:rPr>
              <w:t>(2)</w:t>
            </w:r>
          </w:p>
        </w:tc>
        <w:tc>
          <w:tcPr>
            <w:tcW w:w="1240" w:type="dxa"/>
            <w:vAlign w:val="bottom"/>
            <w:shd w:val="clear" w:color="auto" w:fill="0067B3"/>
          </w:tcPr>
          <w:p>
            <w:pPr>
              <w:jc w:val="right"/>
              <w:ind w:right="55"/>
              <w:spacing w:after="0"/>
              <w:rPr>
                <w:sz w:val="20"/>
                <w:szCs w:val="20"/>
                <w:color w:val="auto"/>
              </w:rPr>
            </w:pPr>
            <w:r>
              <w:rPr>
                <w:rFonts w:ascii="Arial" w:cs="Arial" w:eastAsia="Arial" w:hAnsi="Arial"/>
                <w:sz w:val="16"/>
                <w:szCs w:val="16"/>
                <w:b w:val="1"/>
                <w:bCs w:val="1"/>
                <w:color w:val="FFFFFF"/>
              </w:rPr>
              <w:t>Return</w:t>
            </w:r>
          </w:p>
        </w:tc>
        <w:tc>
          <w:tcPr>
            <w:tcW w:w="1240" w:type="dxa"/>
            <w:vAlign w:val="bottom"/>
            <w:shd w:val="clear" w:color="auto" w:fill="0067B3"/>
          </w:tcPr>
          <w:p>
            <w:pPr>
              <w:jc w:val="right"/>
              <w:ind w:right="54"/>
              <w:spacing w:after="0"/>
              <w:rPr>
                <w:sz w:val="20"/>
                <w:szCs w:val="20"/>
                <w:color w:val="auto"/>
              </w:rPr>
            </w:pPr>
            <w:r>
              <w:rPr>
                <w:rFonts w:ascii="Arial" w:cs="Arial" w:eastAsia="Arial" w:hAnsi="Arial"/>
                <w:sz w:val="16"/>
                <w:szCs w:val="16"/>
                <w:b w:val="1"/>
                <w:bCs w:val="1"/>
                <w:color w:val="FFFFFF"/>
              </w:rPr>
              <w:t>Return</w:t>
            </w:r>
            <w:r>
              <w:rPr>
                <w:rFonts w:ascii="Arial" w:cs="Arial" w:eastAsia="Arial" w:hAnsi="Arial"/>
                <w:sz w:val="21"/>
                <w:szCs w:val="21"/>
                <w:b w:val="1"/>
                <w:bCs w:val="1"/>
                <w:color w:val="FFFFFF"/>
                <w:vertAlign w:val="superscript"/>
              </w:rPr>
              <w:t>(3)</w:t>
            </w:r>
          </w:p>
        </w:tc>
        <w:tc>
          <w:tcPr>
            <w:tcW w:w="1220" w:type="dxa"/>
            <w:vAlign w:val="bottom"/>
            <w:shd w:val="clear" w:color="auto" w:fill="0067B3"/>
          </w:tcPr>
          <w:p>
            <w:pPr>
              <w:jc w:val="right"/>
              <w:ind w:right="73"/>
              <w:spacing w:after="0"/>
              <w:rPr>
                <w:sz w:val="20"/>
                <w:szCs w:val="20"/>
                <w:color w:val="auto"/>
              </w:rPr>
            </w:pPr>
            <w:r>
              <w:rPr>
                <w:rFonts w:ascii="Arial" w:cs="Arial" w:eastAsia="Arial" w:hAnsi="Arial"/>
                <w:sz w:val="16"/>
                <w:szCs w:val="16"/>
                <w:b w:val="1"/>
                <w:bCs w:val="1"/>
                <w:color w:val="FFFFFF"/>
              </w:rPr>
              <w:t>(in millions)</w:t>
            </w:r>
          </w:p>
        </w:tc>
        <w:tc>
          <w:tcPr>
            <w:tcW w:w="1200" w:type="dxa"/>
            <w:vAlign w:val="bottom"/>
            <w:shd w:val="clear" w:color="auto" w:fill="0067B3"/>
          </w:tcPr>
          <w:p>
            <w:pPr>
              <w:jc w:val="right"/>
              <w:spacing w:after="0" w:line="243" w:lineRule="exact"/>
              <w:rPr>
                <w:sz w:val="20"/>
                <w:szCs w:val="20"/>
                <w:color w:val="auto"/>
              </w:rPr>
            </w:pPr>
            <w:r>
              <w:rPr>
                <w:rFonts w:ascii="Arial" w:cs="Arial" w:eastAsia="Arial" w:hAnsi="Arial"/>
                <w:sz w:val="28"/>
                <w:szCs w:val="28"/>
                <w:b w:val="1"/>
                <w:bCs w:val="1"/>
                <w:color w:val="FFFFFF"/>
                <w:vertAlign w:val="subscript"/>
              </w:rPr>
              <w:t>%</w:t>
            </w:r>
            <w:r>
              <w:rPr>
                <w:rFonts w:ascii="Arial" w:cs="Arial" w:eastAsia="Arial" w:hAnsi="Arial"/>
                <w:sz w:val="10"/>
                <w:szCs w:val="10"/>
                <w:b w:val="1"/>
                <w:bCs w:val="1"/>
                <w:color w:val="FFFFFF"/>
              </w:rPr>
              <w:t>(4)</w:t>
            </w:r>
          </w:p>
        </w:tc>
      </w:tr>
      <w:tr>
        <w:trPr>
          <w:trHeight w:val="250"/>
        </w:trPr>
        <w:tc>
          <w:tcPr>
            <w:tcW w:w="1140" w:type="dxa"/>
            <w:vAlign w:val="bottom"/>
            <w:tcBorders>
              <w:bottom w:val="single" w:sz="8" w:color="E2E6F4"/>
            </w:tcBorders>
            <w:shd w:val="clear" w:color="auto" w:fill="E2E6F4"/>
          </w:tcPr>
          <w:p>
            <w:pPr>
              <w:ind w:left="20"/>
              <w:spacing w:after="0"/>
              <w:rPr>
                <w:sz w:val="20"/>
                <w:szCs w:val="20"/>
                <w:color w:val="auto"/>
              </w:rPr>
            </w:pPr>
            <w:r>
              <w:rPr>
                <w:rFonts w:ascii="Arial" w:cs="Arial" w:eastAsia="Arial" w:hAnsi="Arial"/>
                <w:sz w:val="18"/>
                <w:szCs w:val="18"/>
                <w:color w:val="auto"/>
              </w:rPr>
              <w:t>2025</w:t>
            </w:r>
          </w:p>
        </w:tc>
        <w:tc>
          <w:tcPr>
            <w:tcW w:w="1300" w:type="dxa"/>
            <w:vAlign w:val="bottom"/>
            <w:tcBorders>
              <w:bottom w:val="single" w:sz="8" w:color="E2E6F4"/>
            </w:tcBorders>
            <w:shd w:val="clear" w:color="auto" w:fill="E2E6F4"/>
          </w:tcPr>
          <w:p>
            <w:pPr>
              <w:jc w:val="center"/>
              <w:spacing w:after="0"/>
              <w:rPr>
                <w:sz w:val="20"/>
                <w:szCs w:val="20"/>
                <w:color w:val="auto"/>
              </w:rPr>
            </w:pPr>
            <w:r>
              <w:rPr>
                <w:rFonts w:ascii="Arial" w:cs="Arial" w:eastAsia="Arial" w:hAnsi="Arial"/>
                <w:sz w:val="18"/>
                <w:szCs w:val="18"/>
                <w:color w:val="auto"/>
                <w:w w:val="99"/>
              </w:rPr>
              <w:t>$27,456,265</w:t>
            </w:r>
          </w:p>
        </w:tc>
        <w:tc>
          <w:tcPr>
            <w:tcW w:w="1280" w:type="dxa"/>
            <w:vAlign w:val="bottom"/>
            <w:tcBorders>
              <w:bottom w:val="single" w:sz="8" w:color="E2E6F4"/>
            </w:tcBorders>
            <w:shd w:val="clear" w:color="auto" w:fill="E2E6F4"/>
          </w:tcPr>
          <w:p>
            <w:pPr>
              <w:jc w:val="right"/>
              <w:ind w:right="53"/>
              <w:spacing w:after="0"/>
              <w:rPr>
                <w:sz w:val="20"/>
                <w:szCs w:val="20"/>
                <w:color w:val="auto"/>
              </w:rPr>
            </w:pPr>
            <w:r>
              <w:rPr>
                <w:rFonts w:ascii="Arial" w:cs="Arial" w:eastAsia="Arial" w:hAnsi="Arial"/>
                <w:sz w:val="18"/>
                <w:szCs w:val="18"/>
                <w:color w:val="auto"/>
              </w:rPr>
              <w:t>$54,018,907</w:t>
            </w:r>
          </w:p>
        </w:tc>
        <w:tc>
          <w:tcPr>
            <w:tcW w:w="1280" w:type="dxa"/>
            <w:vAlign w:val="bottom"/>
            <w:tcBorders>
              <w:bottom w:val="single" w:sz="8" w:color="E2E6F4"/>
            </w:tcBorders>
            <w:shd w:val="clear" w:color="auto" w:fill="E2E6F4"/>
          </w:tcPr>
          <w:p>
            <w:pPr>
              <w:jc w:val="right"/>
              <w:ind w:right="35"/>
              <w:spacing w:after="0"/>
              <w:rPr>
                <w:sz w:val="20"/>
                <w:szCs w:val="20"/>
                <w:color w:val="auto"/>
              </w:rPr>
            </w:pPr>
            <w:r>
              <w:rPr>
                <w:rFonts w:ascii="Arial" w:cs="Arial" w:eastAsia="Arial" w:hAnsi="Arial"/>
                <w:sz w:val="18"/>
                <w:szCs w:val="18"/>
                <w:color w:val="auto"/>
              </w:rPr>
              <w:t>$6,704,203</w:t>
            </w:r>
          </w:p>
        </w:tc>
        <w:tc>
          <w:tcPr>
            <w:tcW w:w="1340" w:type="dxa"/>
            <w:vAlign w:val="bottom"/>
            <w:tcBorders>
              <w:bottom w:val="single" w:sz="8" w:color="E2E6F4"/>
            </w:tcBorders>
            <w:shd w:val="clear" w:color="auto" w:fill="E2E6F4"/>
          </w:tcPr>
          <w:p>
            <w:pPr>
              <w:jc w:val="right"/>
              <w:ind w:right="95"/>
              <w:spacing w:after="0"/>
              <w:rPr>
                <w:sz w:val="20"/>
                <w:szCs w:val="20"/>
                <w:color w:val="auto"/>
              </w:rPr>
            </w:pPr>
            <w:r>
              <w:rPr>
                <w:rFonts w:ascii="Arial" w:cs="Arial" w:eastAsia="Arial" w:hAnsi="Arial"/>
                <w:sz w:val="18"/>
                <w:szCs w:val="18"/>
                <w:color w:val="auto"/>
              </w:rPr>
              <w:t>$12,298,348</w:t>
            </w:r>
          </w:p>
        </w:tc>
        <w:tc>
          <w:tcPr>
            <w:tcW w:w="1240" w:type="dxa"/>
            <w:vAlign w:val="bottom"/>
            <w:tcBorders>
              <w:bottom w:val="single" w:sz="8" w:color="E2E6F4"/>
            </w:tcBorders>
            <w:shd w:val="clear" w:color="auto" w:fill="E2E6F4"/>
          </w:tcPr>
          <w:p>
            <w:pPr>
              <w:jc w:val="right"/>
              <w:ind w:right="115"/>
              <w:spacing w:after="0"/>
              <w:rPr>
                <w:sz w:val="20"/>
                <w:szCs w:val="20"/>
                <w:color w:val="auto"/>
              </w:rPr>
            </w:pPr>
            <w:r>
              <w:rPr>
                <w:rFonts w:ascii="Arial" w:cs="Arial" w:eastAsia="Arial" w:hAnsi="Arial"/>
                <w:sz w:val="18"/>
                <w:szCs w:val="18"/>
                <w:color w:val="auto"/>
              </w:rPr>
              <w:t>$215.75</w:t>
            </w:r>
          </w:p>
        </w:tc>
        <w:tc>
          <w:tcPr>
            <w:tcW w:w="1240" w:type="dxa"/>
            <w:vAlign w:val="bottom"/>
            <w:tcBorders>
              <w:bottom w:val="single" w:sz="8" w:color="E2E6F4"/>
            </w:tcBorders>
            <w:shd w:val="clear" w:color="auto" w:fill="E2E6F4"/>
          </w:tcPr>
          <w:p>
            <w:pPr>
              <w:jc w:val="right"/>
              <w:ind w:right="114"/>
              <w:spacing w:after="0"/>
              <w:rPr>
                <w:sz w:val="20"/>
                <w:szCs w:val="20"/>
                <w:color w:val="auto"/>
              </w:rPr>
            </w:pPr>
            <w:r>
              <w:rPr>
                <w:rFonts w:ascii="Arial" w:cs="Arial" w:eastAsia="Arial" w:hAnsi="Arial"/>
                <w:sz w:val="18"/>
                <w:szCs w:val="18"/>
                <w:color w:val="auto"/>
              </w:rPr>
              <w:t>$274.22</w:t>
            </w:r>
          </w:p>
        </w:tc>
        <w:tc>
          <w:tcPr>
            <w:tcW w:w="1220" w:type="dxa"/>
            <w:vAlign w:val="bottom"/>
            <w:tcBorders>
              <w:bottom w:val="single" w:sz="8" w:color="E2E6F4"/>
            </w:tcBorders>
            <w:shd w:val="clear" w:color="auto" w:fill="E2E6F4"/>
          </w:tcPr>
          <w:p>
            <w:pPr>
              <w:jc w:val="right"/>
              <w:ind w:right="133"/>
              <w:spacing w:after="0"/>
              <w:rPr>
                <w:sz w:val="20"/>
                <w:szCs w:val="20"/>
                <w:color w:val="auto"/>
              </w:rPr>
            </w:pPr>
            <w:r>
              <w:rPr>
                <w:rFonts w:ascii="Arial" w:cs="Arial" w:eastAsia="Arial" w:hAnsi="Arial"/>
                <w:sz w:val="18"/>
                <w:szCs w:val="18"/>
                <w:color w:val="auto"/>
              </w:rPr>
              <w:t>$2,267</w:t>
            </w:r>
          </w:p>
        </w:tc>
        <w:tc>
          <w:tcPr>
            <w:tcW w:w="1200" w:type="dxa"/>
            <w:vAlign w:val="bottom"/>
            <w:tcBorders>
              <w:bottom w:val="single" w:sz="8" w:color="E2E6F4"/>
            </w:tcBorders>
            <w:shd w:val="clear" w:color="auto" w:fill="E2E6F4"/>
          </w:tcPr>
          <w:p>
            <w:pPr>
              <w:jc w:val="right"/>
              <w:spacing w:after="0"/>
              <w:rPr>
                <w:sz w:val="20"/>
                <w:szCs w:val="20"/>
                <w:color w:val="auto"/>
              </w:rPr>
            </w:pPr>
            <w:r>
              <w:rPr>
                <w:rFonts w:ascii="Arial" w:cs="Arial" w:eastAsia="Arial" w:hAnsi="Arial"/>
                <w:sz w:val="18"/>
                <w:szCs w:val="18"/>
                <w:color w:val="auto"/>
              </w:rPr>
              <w:t>41.9%</w:t>
            </w:r>
          </w:p>
        </w:tc>
      </w:tr>
      <w:tr>
        <w:trPr>
          <w:trHeight w:val="247"/>
        </w:trPr>
        <w:tc>
          <w:tcPr>
            <w:tcW w:w="1140" w:type="dxa"/>
            <w:vAlign w:val="bottom"/>
          </w:tcPr>
          <w:p>
            <w:pPr>
              <w:ind w:left="20"/>
              <w:spacing w:after="0"/>
              <w:rPr>
                <w:sz w:val="20"/>
                <w:szCs w:val="20"/>
                <w:color w:val="auto"/>
              </w:rPr>
            </w:pPr>
            <w:r>
              <w:rPr>
                <w:rFonts w:ascii="Arial" w:cs="Arial" w:eastAsia="Arial" w:hAnsi="Arial"/>
                <w:sz w:val="18"/>
                <w:szCs w:val="18"/>
                <w:color w:val="auto"/>
              </w:rPr>
              <w:t>2024</w:t>
            </w:r>
          </w:p>
        </w:tc>
        <w:tc>
          <w:tcPr>
            <w:tcW w:w="1300" w:type="dxa"/>
            <w:vAlign w:val="bottom"/>
          </w:tcPr>
          <w:p>
            <w:pPr>
              <w:jc w:val="center"/>
              <w:spacing w:after="0"/>
              <w:rPr>
                <w:sz w:val="20"/>
                <w:szCs w:val="20"/>
                <w:color w:val="auto"/>
              </w:rPr>
            </w:pPr>
            <w:r>
              <w:rPr>
                <w:rFonts w:ascii="Arial" w:cs="Arial" w:eastAsia="Arial" w:hAnsi="Arial"/>
                <w:sz w:val="18"/>
                <w:szCs w:val="18"/>
                <w:color w:val="auto"/>
                <w:w w:val="99"/>
              </w:rPr>
              <w:t>$22,436,615</w:t>
            </w:r>
          </w:p>
        </w:tc>
        <w:tc>
          <w:tcPr>
            <w:tcW w:w="1280" w:type="dxa"/>
            <w:vAlign w:val="bottom"/>
          </w:tcPr>
          <w:p>
            <w:pPr>
              <w:jc w:val="right"/>
              <w:ind w:right="53"/>
              <w:spacing w:after="0"/>
              <w:rPr>
                <w:sz w:val="20"/>
                <w:szCs w:val="20"/>
                <w:color w:val="auto"/>
              </w:rPr>
            </w:pPr>
            <w:r>
              <w:rPr>
                <w:rFonts w:ascii="Arial" w:cs="Arial" w:eastAsia="Arial" w:hAnsi="Arial"/>
                <w:sz w:val="18"/>
                <w:szCs w:val="18"/>
                <w:color w:val="auto"/>
              </w:rPr>
              <w:t>$64,878,229</w:t>
            </w:r>
          </w:p>
        </w:tc>
        <w:tc>
          <w:tcPr>
            <w:tcW w:w="1280" w:type="dxa"/>
            <w:vAlign w:val="bottom"/>
          </w:tcPr>
          <w:p>
            <w:pPr>
              <w:jc w:val="right"/>
              <w:ind w:right="35"/>
              <w:spacing w:after="0"/>
              <w:rPr>
                <w:sz w:val="20"/>
                <w:szCs w:val="20"/>
                <w:color w:val="auto"/>
              </w:rPr>
            </w:pPr>
            <w:r>
              <w:rPr>
                <w:rFonts w:ascii="Arial" w:cs="Arial" w:eastAsia="Arial" w:hAnsi="Arial"/>
                <w:sz w:val="18"/>
                <w:szCs w:val="18"/>
                <w:color w:val="auto"/>
              </w:rPr>
              <w:t>$7,910,670</w:t>
            </w:r>
          </w:p>
        </w:tc>
        <w:tc>
          <w:tcPr>
            <w:tcW w:w="1340" w:type="dxa"/>
            <w:vAlign w:val="bottom"/>
          </w:tcPr>
          <w:p>
            <w:pPr>
              <w:jc w:val="right"/>
              <w:ind w:right="95"/>
              <w:spacing w:after="0"/>
              <w:rPr>
                <w:sz w:val="20"/>
                <w:szCs w:val="20"/>
                <w:color w:val="auto"/>
              </w:rPr>
            </w:pPr>
            <w:r>
              <w:rPr>
                <w:rFonts w:ascii="Arial" w:cs="Arial" w:eastAsia="Arial" w:hAnsi="Arial"/>
                <w:sz w:val="18"/>
                <w:szCs w:val="18"/>
                <w:color w:val="auto"/>
              </w:rPr>
              <w:t>$19,814,793</w:t>
            </w:r>
          </w:p>
        </w:tc>
        <w:tc>
          <w:tcPr>
            <w:tcW w:w="1240" w:type="dxa"/>
            <w:vAlign w:val="bottom"/>
          </w:tcPr>
          <w:p>
            <w:pPr>
              <w:jc w:val="right"/>
              <w:ind w:right="115"/>
              <w:spacing w:after="0"/>
              <w:rPr>
                <w:sz w:val="20"/>
                <w:szCs w:val="20"/>
                <w:color w:val="auto"/>
              </w:rPr>
            </w:pPr>
            <w:r>
              <w:rPr>
                <w:rFonts w:ascii="Arial" w:cs="Arial" w:eastAsia="Arial" w:hAnsi="Arial"/>
                <w:sz w:val="18"/>
                <w:szCs w:val="18"/>
                <w:color w:val="auto"/>
              </w:rPr>
              <w:t>$204.26</w:t>
            </w:r>
          </w:p>
        </w:tc>
        <w:tc>
          <w:tcPr>
            <w:tcW w:w="1240" w:type="dxa"/>
            <w:vAlign w:val="bottom"/>
          </w:tcPr>
          <w:p>
            <w:pPr>
              <w:jc w:val="right"/>
              <w:ind w:right="114"/>
              <w:spacing w:after="0"/>
              <w:rPr>
                <w:sz w:val="20"/>
                <w:szCs w:val="20"/>
                <w:color w:val="auto"/>
              </w:rPr>
            </w:pPr>
            <w:r>
              <w:rPr>
                <w:rFonts w:ascii="Arial" w:cs="Arial" w:eastAsia="Arial" w:hAnsi="Arial"/>
                <w:sz w:val="18"/>
                <w:szCs w:val="18"/>
                <w:color w:val="auto"/>
              </w:rPr>
              <w:t>$181.36</w:t>
            </w:r>
          </w:p>
        </w:tc>
        <w:tc>
          <w:tcPr>
            <w:tcW w:w="1220" w:type="dxa"/>
            <w:vAlign w:val="bottom"/>
          </w:tcPr>
          <w:p>
            <w:pPr>
              <w:jc w:val="right"/>
              <w:ind w:right="133"/>
              <w:spacing w:after="0"/>
              <w:rPr>
                <w:sz w:val="20"/>
                <w:szCs w:val="20"/>
                <w:color w:val="auto"/>
              </w:rPr>
            </w:pPr>
            <w:r>
              <w:rPr>
                <w:rFonts w:ascii="Arial" w:cs="Arial" w:eastAsia="Arial" w:hAnsi="Arial"/>
                <w:sz w:val="18"/>
                <w:szCs w:val="18"/>
                <w:color w:val="auto"/>
              </w:rPr>
              <w:t>$1,635</w:t>
            </w:r>
          </w:p>
        </w:tc>
        <w:tc>
          <w:tcPr>
            <w:tcW w:w="1200" w:type="dxa"/>
            <w:vAlign w:val="bottom"/>
          </w:tcPr>
          <w:p>
            <w:pPr>
              <w:jc w:val="right"/>
              <w:spacing w:after="0"/>
              <w:rPr>
                <w:sz w:val="20"/>
                <w:szCs w:val="20"/>
                <w:color w:val="auto"/>
              </w:rPr>
            </w:pPr>
            <w:r>
              <w:rPr>
                <w:rFonts w:ascii="Arial" w:cs="Arial" w:eastAsia="Arial" w:hAnsi="Arial"/>
                <w:sz w:val="18"/>
                <w:szCs w:val="18"/>
                <w:color w:val="auto"/>
              </w:rPr>
              <w:t>40.9%</w:t>
            </w:r>
          </w:p>
        </w:tc>
      </w:tr>
      <w:tr>
        <w:trPr>
          <w:trHeight w:val="23"/>
        </w:trPr>
        <w:tc>
          <w:tcPr>
            <w:tcW w:w="11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1140" w:type="dxa"/>
            <w:vAlign w:val="bottom"/>
            <w:tcBorders>
              <w:bottom w:val="single" w:sz="8" w:color="E2E6F4"/>
            </w:tcBorders>
            <w:shd w:val="clear" w:color="auto" w:fill="E2E6F4"/>
          </w:tcPr>
          <w:p>
            <w:pPr>
              <w:ind w:left="20"/>
              <w:spacing w:after="0"/>
              <w:rPr>
                <w:sz w:val="20"/>
                <w:szCs w:val="20"/>
                <w:color w:val="auto"/>
              </w:rPr>
            </w:pPr>
            <w:r>
              <w:rPr>
                <w:rFonts w:ascii="Arial" w:cs="Arial" w:eastAsia="Arial" w:hAnsi="Arial"/>
                <w:sz w:val="18"/>
                <w:szCs w:val="18"/>
                <w:color w:val="auto"/>
              </w:rPr>
              <w:t>2023</w:t>
            </w:r>
          </w:p>
        </w:tc>
        <w:tc>
          <w:tcPr>
            <w:tcW w:w="1300" w:type="dxa"/>
            <w:vAlign w:val="bottom"/>
            <w:tcBorders>
              <w:bottom w:val="single" w:sz="8" w:color="E2E6F4"/>
            </w:tcBorders>
            <w:shd w:val="clear" w:color="auto" w:fill="E2E6F4"/>
          </w:tcPr>
          <w:p>
            <w:pPr>
              <w:jc w:val="center"/>
              <w:spacing w:after="0"/>
              <w:rPr>
                <w:sz w:val="20"/>
                <w:szCs w:val="20"/>
                <w:color w:val="auto"/>
              </w:rPr>
            </w:pPr>
            <w:r>
              <w:rPr>
                <w:rFonts w:ascii="Arial" w:cs="Arial" w:eastAsia="Arial" w:hAnsi="Arial"/>
                <w:sz w:val="18"/>
                <w:szCs w:val="18"/>
                <w:color w:val="auto"/>
                <w:w w:val="99"/>
              </w:rPr>
              <w:t>$25,543,635</w:t>
            </w:r>
          </w:p>
        </w:tc>
        <w:tc>
          <w:tcPr>
            <w:tcW w:w="1280" w:type="dxa"/>
            <w:vAlign w:val="bottom"/>
            <w:tcBorders>
              <w:bottom w:val="single" w:sz="8" w:color="E2E6F4"/>
            </w:tcBorders>
            <w:shd w:val="clear" w:color="auto" w:fill="E2E6F4"/>
          </w:tcPr>
          <w:p>
            <w:pPr>
              <w:jc w:val="right"/>
              <w:ind w:right="53"/>
              <w:spacing w:after="0"/>
              <w:rPr>
                <w:sz w:val="20"/>
                <w:szCs w:val="20"/>
                <w:color w:val="auto"/>
              </w:rPr>
            </w:pPr>
            <w:r>
              <w:rPr>
                <w:rFonts w:ascii="Arial" w:cs="Arial" w:eastAsia="Arial" w:hAnsi="Arial"/>
                <w:sz w:val="18"/>
                <w:szCs w:val="18"/>
                <w:color w:val="auto"/>
              </w:rPr>
              <w:t>$27,377,381</w:t>
            </w:r>
          </w:p>
        </w:tc>
        <w:tc>
          <w:tcPr>
            <w:tcW w:w="1280" w:type="dxa"/>
            <w:vAlign w:val="bottom"/>
            <w:tcBorders>
              <w:bottom w:val="single" w:sz="8" w:color="E2E6F4"/>
            </w:tcBorders>
            <w:shd w:val="clear" w:color="auto" w:fill="E2E6F4"/>
          </w:tcPr>
          <w:p>
            <w:pPr>
              <w:jc w:val="right"/>
              <w:ind w:right="35"/>
              <w:spacing w:after="0"/>
              <w:rPr>
                <w:sz w:val="20"/>
                <w:szCs w:val="20"/>
                <w:color w:val="auto"/>
              </w:rPr>
            </w:pPr>
            <w:r>
              <w:rPr>
                <w:rFonts w:ascii="Arial" w:cs="Arial" w:eastAsia="Arial" w:hAnsi="Arial"/>
                <w:sz w:val="18"/>
                <w:szCs w:val="18"/>
                <w:color w:val="auto"/>
              </w:rPr>
              <w:t>$8,288,714</w:t>
            </w:r>
          </w:p>
        </w:tc>
        <w:tc>
          <w:tcPr>
            <w:tcW w:w="1340" w:type="dxa"/>
            <w:vAlign w:val="bottom"/>
            <w:tcBorders>
              <w:bottom w:val="single" w:sz="8" w:color="E2E6F4"/>
            </w:tcBorders>
            <w:shd w:val="clear" w:color="auto" w:fill="E2E6F4"/>
          </w:tcPr>
          <w:p>
            <w:pPr>
              <w:jc w:val="right"/>
              <w:ind w:right="95"/>
              <w:spacing w:after="0"/>
              <w:rPr>
                <w:sz w:val="20"/>
                <w:szCs w:val="20"/>
                <w:color w:val="auto"/>
              </w:rPr>
            </w:pPr>
            <w:r>
              <w:rPr>
                <w:rFonts w:ascii="Arial" w:cs="Arial" w:eastAsia="Arial" w:hAnsi="Arial"/>
                <w:sz w:val="18"/>
                <w:szCs w:val="18"/>
                <w:color w:val="auto"/>
              </w:rPr>
              <w:t>$8,309,933</w:t>
            </w:r>
          </w:p>
        </w:tc>
        <w:tc>
          <w:tcPr>
            <w:tcW w:w="1240" w:type="dxa"/>
            <w:vAlign w:val="bottom"/>
            <w:tcBorders>
              <w:bottom w:val="single" w:sz="8" w:color="E2E6F4"/>
            </w:tcBorders>
            <w:shd w:val="clear" w:color="auto" w:fill="E2E6F4"/>
          </w:tcPr>
          <w:p>
            <w:pPr>
              <w:jc w:val="right"/>
              <w:ind w:right="115"/>
              <w:spacing w:after="0"/>
              <w:rPr>
                <w:sz w:val="20"/>
                <w:szCs w:val="20"/>
                <w:color w:val="auto"/>
              </w:rPr>
            </w:pPr>
            <w:r>
              <w:rPr>
                <w:rFonts w:ascii="Arial" w:cs="Arial" w:eastAsia="Arial" w:hAnsi="Arial"/>
                <w:sz w:val="18"/>
                <w:szCs w:val="18"/>
                <w:color w:val="auto"/>
              </w:rPr>
              <w:t>$142.97</w:t>
            </w:r>
          </w:p>
        </w:tc>
        <w:tc>
          <w:tcPr>
            <w:tcW w:w="1240" w:type="dxa"/>
            <w:vAlign w:val="bottom"/>
            <w:tcBorders>
              <w:bottom w:val="single" w:sz="8" w:color="E2E6F4"/>
            </w:tcBorders>
            <w:shd w:val="clear" w:color="auto" w:fill="E2E6F4"/>
          </w:tcPr>
          <w:p>
            <w:pPr>
              <w:jc w:val="right"/>
              <w:ind w:right="114"/>
              <w:spacing w:after="0"/>
              <w:rPr>
                <w:sz w:val="20"/>
                <w:szCs w:val="20"/>
                <w:color w:val="auto"/>
              </w:rPr>
            </w:pPr>
            <w:r>
              <w:rPr>
                <w:rFonts w:ascii="Arial" w:cs="Arial" w:eastAsia="Arial" w:hAnsi="Arial"/>
                <w:sz w:val="18"/>
                <w:szCs w:val="18"/>
                <w:color w:val="auto"/>
              </w:rPr>
              <w:t>$131.46</w:t>
            </w:r>
          </w:p>
        </w:tc>
        <w:tc>
          <w:tcPr>
            <w:tcW w:w="1220" w:type="dxa"/>
            <w:vAlign w:val="bottom"/>
            <w:tcBorders>
              <w:bottom w:val="single" w:sz="8" w:color="E2E6F4"/>
            </w:tcBorders>
            <w:shd w:val="clear" w:color="auto" w:fill="E2E6F4"/>
          </w:tcPr>
          <w:p>
            <w:pPr>
              <w:jc w:val="right"/>
              <w:ind w:right="133"/>
              <w:spacing w:after="0"/>
              <w:rPr>
                <w:sz w:val="20"/>
                <w:szCs w:val="20"/>
                <w:color w:val="auto"/>
              </w:rPr>
            </w:pPr>
            <w:r>
              <w:rPr>
                <w:rFonts w:ascii="Arial" w:cs="Arial" w:eastAsia="Arial" w:hAnsi="Arial"/>
                <w:sz w:val="18"/>
                <w:szCs w:val="18"/>
                <w:color w:val="auto"/>
              </w:rPr>
              <w:t>$3,315</w:t>
            </w:r>
          </w:p>
        </w:tc>
        <w:tc>
          <w:tcPr>
            <w:tcW w:w="1200" w:type="dxa"/>
            <w:vAlign w:val="bottom"/>
            <w:tcBorders>
              <w:bottom w:val="single" w:sz="8" w:color="E2E6F4"/>
            </w:tcBorders>
            <w:shd w:val="clear" w:color="auto" w:fill="E2E6F4"/>
          </w:tcPr>
          <w:p>
            <w:pPr>
              <w:jc w:val="right"/>
              <w:spacing w:after="0"/>
              <w:rPr>
                <w:sz w:val="20"/>
                <w:szCs w:val="20"/>
                <w:color w:val="auto"/>
              </w:rPr>
            </w:pPr>
            <w:r>
              <w:rPr>
                <w:rFonts w:ascii="Arial" w:cs="Arial" w:eastAsia="Arial" w:hAnsi="Arial"/>
                <w:sz w:val="18"/>
                <w:szCs w:val="18"/>
                <w:color w:val="auto"/>
              </w:rPr>
              <w:t>48.9%</w:t>
            </w:r>
          </w:p>
        </w:tc>
      </w:tr>
      <w:tr>
        <w:trPr>
          <w:trHeight w:val="247"/>
        </w:trPr>
        <w:tc>
          <w:tcPr>
            <w:tcW w:w="1140" w:type="dxa"/>
            <w:vAlign w:val="bottom"/>
          </w:tcPr>
          <w:p>
            <w:pPr>
              <w:ind w:left="20"/>
              <w:spacing w:after="0"/>
              <w:rPr>
                <w:sz w:val="20"/>
                <w:szCs w:val="20"/>
                <w:color w:val="auto"/>
              </w:rPr>
            </w:pPr>
            <w:r>
              <w:rPr>
                <w:rFonts w:ascii="Arial" w:cs="Arial" w:eastAsia="Arial" w:hAnsi="Arial"/>
                <w:sz w:val="18"/>
                <w:szCs w:val="18"/>
                <w:color w:val="auto"/>
              </w:rPr>
              <w:t>2022</w:t>
            </w:r>
          </w:p>
        </w:tc>
        <w:tc>
          <w:tcPr>
            <w:tcW w:w="1300" w:type="dxa"/>
            <w:vAlign w:val="bottom"/>
          </w:tcPr>
          <w:p>
            <w:pPr>
              <w:jc w:val="center"/>
              <w:spacing w:after="0"/>
              <w:rPr>
                <w:sz w:val="20"/>
                <w:szCs w:val="20"/>
                <w:color w:val="auto"/>
              </w:rPr>
            </w:pPr>
            <w:r>
              <w:rPr>
                <w:rFonts w:ascii="Arial" w:cs="Arial" w:eastAsia="Arial" w:hAnsi="Arial"/>
                <w:sz w:val="18"/>
                <w:szCs w:val="18"/>
                <w:color w:val="auto"/>
                <w:w w:val="99"/>
              </w:rPr>
              <w:t>$22,098,295</w:t>
            </w:r>
          </w:p>
        </w:tc>
        <w:tc>
          <w:tcPr>
            <w:tcW w:w="1280" w:type="dxa"/>
            <w:vAlign w:val="bottom"/>
          </w:tcPr>
          <w:p>
            <w:pPr>
              <w:jc w:val="right"/>
              <w:ind w:right="53"/>
              <w:spacing w:after="0"/>
              <w:rPr>
                <w:sz w:val="20"/>
                <w:szCs w:val="20"/>
                <w:color w:val="auto"/>
              </w:rPr>
            </w:pPr>
            <w:r>
              <w:rPr>
                <w:rFonts w:ascii="Arial" w:cs="Arial" w:eastAsia="Arial" w:hAnsi="Arial"/>
                <w:sz w:val="18"/>
                <w:szCs w:val="18"/>
                <w:color w:val="auto"/>
              </w:rPr>
              <w:t>$11,380,249</w:t>
            </w:r>
          </w:p>
        </w:tc>
        <w:tc>
          <w:tcPr>
            <w:tcW w:w="1280" w:type="dxa"/>
            <w:vAlign w:val="bottom"/>
          </w:tcPr>
          <w:p>
            <w:pPr>
              <w:jc w:val="right"/>
              <w:ind w:right="35"/>
              <w:spacing w:after="0"/>
              <w:rPr>
                <w:sz w:val="20"/>
                <w:szCs w:val="20"/>
                <w:color w:val="auto"/>
              </w:rPr>
            </w:pPr>
            <w:r>
              <w:rPr>
                <w:rFonts w:ascii="Arial" w:cs="Arial" w:eastAsia="Arial" w:hAnsi="Arial"/>
                <w:sz w:val="18"/>
                <w:szCs w:val="18"/>
                <w:color w:val="auto"/>
              </w:rPr>
              <w:t>$14,285,882</w:t>
            </w:r>
          </w:p>
        </w:tc>
        <w:tc>
          <w:tcPr>
            <w:tcW w:w="1340" w:type="dxa"/>
            <w:vAlign w:val="bottom"/>
          </w:tcPr>
          <w:p>
            <w:pPr>
              <w:jc w:val="right"/>
              <w:ind w:right="95"/>
              <w:spacing w:after="0"/>
              <w:rPr>
                <w:sz w:val="20"/>
                <w:szCs w:val="20"/>
                <w:color w:val="auto"/>
              </w:rPr>
            </w:pPr>
            <w:r>
              <w:rPr>
                <w:rFonts w:ascii="Arial" w:cs="Arial" w:eastAsia="Arial" w:hAnsi="Arial"/>
                <w:sz w:val="18"/>
                <w:szCs w:val="18"/>
                <w:color w:val="auto"/>
              </w:rPr>
              <w:t>$17,099,323</w:t>
            </w:r>
          </w:p>
        </w:tc>
        <w:tc>
          <w:tcPr>
            <w:tcW w:w="1240" w:type="dxa"/>
            <w:vAlign w:val="bottom"/>
          </w:tcPr>
          <w:p>
            <w:pPr>
              <w:jc w:val="right"/>
              <w:ind w:right="115"/>
              <w:spacing w:after="0"/>
              <w:rPr>
                <w:sz w:val="20"/>
                <w:szCs w:val="20"/>
                <w:color w:val="auto"/>
              </w:rPr>
            </w:pPr>
            <w:r>
              <w:rPr>
                <w:rFonts w:ascii="Arial" w:cs="Arial" w:eastAsia="Arial" w:hAnsi="Arial"/>
                <w:sz w:val="18"/>
                <w:szCs w:val="18"/>
                <w:color w:val="auto"/>
              </w:rPr>
              <w:t>$126.62</w:t>
            </w:r>
          </w:p>
        </w:tc>
        <w:tc>
          <w:tcPr>
            <w:tcW w:w="1240" w:type="dxa"/>
            <w:vAlign w:val="bottom"/>
          </w:tcPr>
          <w:p>
            <w:pPr>
              <w:jc w:val="right"/>
              <w:ind w:right="114"/>
              <w:spacing w:after="0"/>
              <w:rPr>
                <w:sz w:val="20"/>
                <w:szCs w:val="20"/>
                <w:color w:val="auto"/>
              </w:rPr>
            </w:pPr>
            <w:r>
              <w:rPr>
                <w:rFonts w:ascii="Arial" w:cs="Arial" w:eastAsia="Arial" w:hAnsi="Arial"/>
                <w:sz w:val="18"/>
                <w:szCs w:val="18"/>
                <w:color w:val="auto"/>
              </w:rPr>
              <w:t>$122.16</w:t>
            </w:r>
          </w:p>
        </w:tc>
        <w:tc>
          <w:tcPr>
            <w:tcW w:w="1220" w:type="dxa"/>
            <w:vAlign w:val="bottom"/>
          </w:tcPr>
          <w:p>
            <w:pPr>
              <w:jc w:val="right"/>
              <w:ind w:right="133"/>
              <w:spacing w:after="0"/>
              <w:rPr>
                <w:sz w:val="20"/>
                <w:szCs w:val="20"/>
                <w:color w:val="auto"/>
              </w:rPr>
            </w:pPr>
            <w:r>
              <w:rPr>
                <w:rFonts w:ascii="Arial" w:cs="Arial" w:eastAsia="Arial" w:hAnsi="Arial"/>
                <w:sz w:val="18"/>
                <w:szCs w:val="18"/>
                <w:color w:val="auto"/>
              </w:rPr>
              <w:t>$2,749</w:t>
            </w:r>
          </w:p>
        </w:tc>
        <w:tc>
          <w:tcPr>
            <w:tcW w:w="1200" w:type="dxa"/>
            <w:vAlign w:val="bottom"/>
          </w:tcPr>
          <w:p>
            <w:pPr>
              <w:jc w:val="right"/>
              <w:spacing w:after="0"/>
              <w:rPr>
                <w:sz w:val="20"/>
                <w:szCs w:val="20"/>
                <w:color w:val="auto"/>
              </w:rPr>
            </w:pPr>
            <w:r>
              <w:rPr>
                <w:rFonts w:ascii="Arial" w:cs="Arial" w:eastAsia="Arial" w:hAnsi="Arial"/>
                <w:sz w:val="18"/>
                <w:szCs w:val="18"/>
                <w:color w:val="auto"/>
              </w:rPr>
              <w:t>49.4%</w:t>
            </w:r>
          </w:p>
        </w:tc>
      </w:tr>
      <w:tr>
        <w:trPr>
          <w:trHeight w:val="23"/>
        </w:trPr>
        <w:tc>
          <w:tcPr>
            <w:tcW w:w="11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1140" w:type="dxa"/>
            <w:vAlign w:val="bottom"/>
            <w:tcBorders>
              <w:bottom w:val="single" w:sz="8" w:color="E2E6F4"/>
            </w:tcBorders>
            <w:shd w:val="clear" w:color="auto" w:fill="E2E6F4"/>
          </w:tcPr>
          <w:p>
            <w:pPr>
              <w:ind w:left="20"/>
              <w:spacing w:after="0"/>
              <w:rPr>
                <w:sz w:val="20"/>
                <w:szCs w:val="20"/>
                <w:color w:val="auto"/>
              </w:rPr>
            </w:pPr>
            <w:r>
              <w:rPr>
                <w:rFonts w:ascii="Arial" w:cs="Arial" w:eastAsia="Arial" w:hAnsi="Arial"/>
                <w:sz w:val="18"/>
                <w:szCs w:val="18"/>
                <w:color w:val="auto"/>
              </w:rPr>
              <w:t>2021</w:t>
            </w:r>
          </w:p>
        </w:tc>
        <w:tc>
          <w:tcPr>
            <w:tcW w:w="1300" w:type="dxa"/>
            <w:vAlign w:val="bottom"/>
            <w:tcBorders>
              <w:bottom w:val="single" w:sz="8" w:color="E2E6F4"/>
            </w:tcBorders>
            <w:shd w:val="clear" w:color="auto" w:fill="E2E6F4"/>
          </w:tcPr>
          <w:p>
            <w:pPr>
              <w:jc w:val="center"/>
              <w:spacing w:after="0"/>
              <w:rPr>
                <w:sz w:val="20"/>
                <w:szCs w:val="20"/>
                <w:color w:val="auto"/>
              </w:rPr>
            </w:pPr>
            <w:r>
              <w:rPr>
                <w:rFonts w:ascii="Arial" w:cs="Arial" w:eastAsia="Arial" w:hAnsi="Arial"/>
                <w:sz w:val="18"/>
                <w:szCs w:val="18"/>
                <w:color w:val="auto"/>
                <w:w w:val="99"/>
              </w:rPr>
              <w:t>$30,824,323</w:t>
            </w:r>
          </w:p>
        </w:tc>
        <w:tc>
          <w:tcPr>
            <w:tcW w:w="1280" w:type="dxa"/>
            <w:vAlign w:val="bottom"/>
            <w:tcBorders>
              <w:bottom w:val="single" w:sz="8" w:color="E2E6F4"/>
            </w:tcBorders>
            <w:shd w:val="clear" w:color="auto" w:fill="E2E6F4"/>
          </w:tcPr>
          <w:p>
            <w:pPr>
              <w:jc w:val="right"/>
              <w:ind w:right="53"/>
              <w:spacing w:after="0"/>
              <w:rPr>
                <w:sz w:val="20"/>
                <w:szCs w:val="20"/>
                <w:color w:val="auto"/>
              </w:rPr>
            </w:pPr>
            <w:r>
              <w:rPr>
                <w:rFonts w:ascii="Arial" w:cs="Arial" w:eastAsia="Arial" w:hAnsi="Arial"/>
                <w:sz w:val="18"/>
                <w:szCs w:val="18"/>
                <w:color w:val="auto"/>
              </w:rPr>
              <w:t>$59,568,116</w:t>
            </w:r>
          </w:p>
        </w:tc>
        <w:tc>
          <w:tcPr>
            <w:tcW w:w="1280" w:type="dxa"/>
            <w:vAlign w:val="bottom"/>
            <w:tcBorders>
              <w:bottom w:val="single" w:sz="8" w:color="E2E6F4"/>
            </w:tcBorders>
            <w:shd w:val="clear" w:color="auto" w:fill="E2E6F4"/>
          </w:tcPr>
          <w:p>
            <w:pPr>
              <w:jc w:val="right"/>
              <w:ind w:right="35"/>
              <w:spacing w:after="0"/>
              <w:rPr>
                <w:sz w:val="20"/>
                <w:szCs w:val="20"/>
                <w:color w:val="auto"/>
              </w:rPr>
            </w:pPr>
            <w:r>
              <w:rPr>
                <w:rFonts w:ascii="Arial" w:cs="Arial" w:eastAsia="Arial" w:hAnsi="Arial"/>
                <w:sz w:val="18"/>
                <w:szCs w:val="18"/>
                <w:color w:val="auto"/>
              </w:rPr>
              <w:t>$6,010,914</w:t>
            </w:r>
          </w:p>
        </w:tc>
        <w:tc>
          <w:tcPr>
            <w:tcW w:w="1340" w:type="dxa"/>
            <w:vAlign w:val="bottom"/>
            <w:tcBorders>
              <w:bottom w:val="single" w:sz="8" w:color="E2E6F4"/>
            </w:tcBorders>
            <w:shd w:val="clear" w:color="auto" w:fill="E2E6F4"/>
          </w:tcPr>
          <w:p>
            <w:pPr>
              <w:jc w:val="right"/>
              <w:ind w:right="95"/>
              <w:spacing w:after="0"/>
              <w:rPr>
                <w:sz w:val="20"/>
                <w:szCs w:val="20"/>
                <w:color w:val="auto"/>
              </w:rPr>
            </w:pPr>
            <w:r>
              <w:rPr>
                <w:rFonts w:ascii="Arial" w:cs="Arial" w:eastAsia="Arial" w:hAnsi="Arial"/>
                <w:sz w:val="18"/>
                <w:szCs w:val="18"/>
                <w:color w:val="auto"/>
              </w:rPr>
              <w:t>$10,201,627</w:t>
            </w:r>
          </w:p>
        </w:tc>
        <w:tc>
          <w:tcPr>
            <w:tcW w:w="1240" w:type="dxa"/>
            <w:vAlign w:val="bottom"/>
            <w:tcBorders>
              <w:bottom w:val="single" w:sz="8" w:color="E2E6F4"/>
            </w:tcBorders>
            <w:shd w:val="clear" w:color="auto" w:fill="E2E6F4"/>
          </w:tcPr>
          <w:p>
            <w:pPr>
              <w:jc w:val="right"/>
              <w:ind w:right="115"/>
              <w:spacing w:after="0"/>
              <w:rPr>
                <w:sz w:val="20"/>
                <w:szCs w:val="20"/>
                <w:color w:val="auto"/>
              </w:rPr>
            </w:pPr>
            <w:r>
              <w:rPr>
                <w:rFonts w:ascii="Arial" w:cs="Arial" w:eastAsia="Arial" w:hAnsi="Arial"/>
                <w:sz w:val="18"/>
                <w:szCs w:val="18"/>
                <w:color w:val="auto"/>
              </w:rPr>
              <w:t>$148.90</w:t>
            </w:r>
          </w:p>
        </w:tc>
        <w:tc>
          <w:tcPr>
            <w:tcW w:w="1240" w:type="dxa"/>
            <w:vAlign w:val="bottom"/>
            <w:tcBorders>
              <w:bottom w:val="single" w:sz="8" w:color="E2E6F4"/>
            </w:tcBorders>
            <w:shd w:val="clear" w:color="auto" w:fill="E2E6F4"/>
          </w:tcPr>
          <w:p>
            <w:pPr>
              <w:jc w:val="right"/>
              <w:ind w:right="114"/>
              <w:spacing w:after="0"/>
              <w:rPr>
                <w:sz w:val="20"/>
                <w:szCs w:val="20"/>
                <w:color w:val="auto"/>
              </w:rPr>
            </w:pPr>
            <w:r>
              <w:rPr>
                <w:rFonts w:ascii="Arial" w:cs="Arial" w:eastAsia="Arial" w:hAnsi="Arial"/>
                <w:sz w:val="18"/>
                <w:szCs w:val="18"/>
                <w:color w:val="auto"/>
              </w:rPr>
              <w:t>$167.86</w:t>
            </w:r>
          </w:p>
        </w:tc>
        <w:tc>
          <w:tcPr>
            <w:tcW w:w="1220" w:type="dxa"/>
            <w:vAlign w:val="bottom"/>
            <w:tcBorders>
              <w:bottom w:val="single" w:sz="8" w:color="E2E6F4"/>
            </w:tcBorders>
            <w:shd w:val="clear" w:color="auto" w:fill="E2E6F4"/>
          </w:tcPr>
          <w:p>
            <w:pPr>
              <w:jc w:val="right"/>
              <w:ind w:right="133"/>
              <w:spacing w:after="0"/>
              <w:rPr>
                <w:sz w:val="20"/>
                <w:szCs w:val="20"/>
                <w:color w:val="auto"/>
              </w:rPr>
            </w:pPr>
            <w:r>
              <w:rPr>
                <w:rFonts w:ascii="Arial" w:cs="Arial" w:eastAsia="Arial" w:hAnsi="Arial"/>
                <w:sz w:val="18"/>
                <w:szCs w:val="18"/>
                <w:color w:val="auto"/>
              </w:rPr>
              <w:t>$1,390</w:t>
            </w:r>
          </w:p>
        </w:tc>
        <w:tc>
          <w:tcPr>
            <w:tcW w:w="1200" w:type="dxa"/>
            <w:vAlign w:val="bottom"/>
            <w:tcBorders>
              <w:bottom w:val="single" w:sz="8" w:color="E2E6F4"/>
            </w:tcBorders>
            <w:shd w:val="clear" w:color="auto" w:fill="E2E6F4"/>
          </w:tcPr>
          <w:p>
            <w:pPr>
              <w:jc w:val="right"/>
              <w:spacing w:after="0"/>
              <w:rPr>
                <w:sz w:val="20"/>
                <w:szCs w:val="20"/>
                <w:color w:val="auto"/>
              </w:rPr>
            </w:pPr>
            <w:r>
              <w:rPr>
                <w:rFonts w:ascii="Arial" w:cs="Arial" w:eastAsia="Arial" w:hAnsi="Arial"/>
                <w:sz w:val="18"/>
                <w:szCs w:val="18"/>
                <w:color w:val="auto"/>
              </w:rPr>
              <w:t>42.4%</w:t>
            </w:r>
          </w:p>
        </w:tc>
      </w:tr>
      <w:tr>
        <w:trPr>
          <w:trHeight w:val="20"/>
        </w:trPr>
        <w:tc>
          <w:tcPr>
            <w:tcW w:w="1140" w:type="dxa"/>
            <w:vAlign w:val="bottom"/>
            <w:shd w:val="clear" w:color="auto" w:fill="0067B3"/>
          </w:tcPr>
          <w:p>
            <w:pPr>
              <w:spacing w:after="0" w:line="20" w:lineRule="exact"/>
              <w:rPr>
                <w:sz w:val="1"/>
                <w:szCs w:val="1"/>
                <w:color w:val="auto"/>
              </w:rPr>
            </w:pPr>
          </w:p>
        </w:tc>
        <w:tc>
          <w:tcPr>
            <w:tcW w:w="1300" w:type="dxa"/>
            <w:vAlign w:val="bottom"/>
            <w:shd w:val="clear" w:color="auto" w:fill="0067B3"/>
          </w:tcPr>
          <w:p>
            <w:pPr>
              <w:spacing w:after="0" w:line="20" w:lineRule="exact"/>
              <w:rPr>
                <w:sz w:val="1"/>
                <w:szCs w:val="1"/>
                <w:color w:val="auto"/>
              </w:rPr>
            </w:pPr>
          </w:p>
        </w:tc>
        <w:tc>
          <w:tcPr>
            <w:tcW w:w="1280" w:type="dxa"/>
            <w:vAlign w:val="bottom"/>
            <w:shd w:val="clear" w:color="auto" w:fill="0067B3"/>
          </w:tcPr>
          <w:p>
            <w:pPr>
              <w:spacing w:after="0" w:line="20" w:lineRule="exact"/>
              <w:rPr>
                <w:sz w:val="1"/>
                <w:szCs w:val="1"/>
                <w:color w:val="auto"/>
              </w:rPr>
            </w:pPr>
          </w:p>
        </w:tc>
        <w:tc>
          <w:tcPr>
            <w:tcW w:w="1280" w:type="dxa"/>
            <w:vAlign w:val="bottom"/>
            <w:shd w:val="clear" w:color="auto" w:fill="0067B3"/>
          </w:tcPr>
          <w:p>
            <w:pPr>
              <w:spacing w:after="0" w:line="20" w:lineRule="exact"/>
              <w:rPr>
                <w:sz w:val="1"/>
                <w:szCs w:val="1"/>
                <w:color w:val="auto"/>
              </w:rPr>
            </w:pPr>
          </w:p>
        </w:tc>
        <w:tc>
          <w:tcPr>
            <w:tcW w:w="1340" w:type="dxa"/>
            <w:vAlign w:val="bottom"/>
            <w:shd w:val="clear" w:color="auto" w:fill="0067B3"/>
          </w:tcPr>
          <w:p>
            <w:pPr>
              <w:spacing w:after="0" w:line="20" w:lineRule="exact"/>
              <w:rPr>
                <w:sz w:val="1"/>
                <w:szCs w:val="1"/>
                <w:color w:val="auto"/>
              </w:rPr>
            </w:pPr>
          </w:p>
        </w:tc>
        <w:tc>
          <w:tcPr>
            <w:tcW w:w="1240" w:type="dxa"/>
            <w:vAlign w:val="bottom"/>
            <w:shd w:val="clear" w:color="auto" w:fill="0067B3"/>
          </w:tcPr>
          <w:p>
            <w:pPr>
              <w:spacing w:after="0" w:line="20" w:lineRule="exact"/>
              <w:rPr>
                <w:sz w:val="1"/>
                <w:szCs w:val="1"/>
                <w:color w:val="auto"/>
              </w:rPr>
            </w:pPr>
          </w:p>
        </w:tc>
        <w:tc>
          <w:tcPr>
            <w:tcW w:w="1240" w:type="dxa"/>
            <w:vAlign w:val="bottom"/>
            <w:shd w:val="clear" w:color="auto" w:fill="0067B3"/>
          </w:tcPr>
          <w:p>
            <w:pPr>
              <w:spacing w:after="0" w:line="20" w:lineRule="exact"/>
              <w:rPr>
                <w:sz w:val="1"/>
                <w:szCs w:val="1"/>
                <w:color w:val="auto"/>
              </w:rPr>
            </w:pPr>
          </w:p>
        </w:tc>
        <w:tc>
          <w:tcPr>
            <w:tcW w:w="1220" w:type="dxa"/>
            <w:vAlign w:val="bottom"/>
            <w:shd w:val="clear" w:color="auto" w:fill="0067B3"/>
          </w:tcPr>
          <w:p>
            <w:pPr>
              <w:spacing w:after="0" w:line="20" w:lineRule="exact"/>
              <w:rPr>
                <w:sz w:val="1"/>
                <w:szCs w:val="1"/>
                <w:color w:val="auto"/>
              </w:rPr>
            </w:pPr>
          </w:p>
        </w:tc>
        <w:tc>
          <w:tcPr>
            <w:tcW w:w="1200" w:type="dxa"/>
            <w:vAlign w:val="bottom"/>
            <w:shd w:val="clear" w:color="auto" w:fill="0067B3"/>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3956685</wp:posOffset>
            </wp:positionH>
            <wp:positionV relativeFrom="paragraph">
              <wp:posOffset>-1637030</wp:posOffset>
            </wp:positionV>
            <wp:extent cx="1560195" cy="8890"/>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1560195" cy="8890"/>
                    </a:xfrm>
                    <a:prstGeom prst="rect">
                      <a:avLst/>
                    </a:prstGeom>
                    <a:noFill/>
                  </pic:spPr>
                </pic:pic>
              </a:graphicData>
            </a:graphic>
          </wp:anchor>
        </w:drawing>
      </w:r>
    </w:p>
    <w:p>
      <w:pPr>
        <w:spacing w:after="0" w:line="168" w:lineRule="exact"/>
        <w:rPr>
          <w:sz w:val="20"/>
          <w:szCs w:val="20"/>
          <w:color w:val="auto"/>
        </w:rPr>
      </w:pPr>
    </w:p>
    <w:p>
      <w:pPr>
        <w:ind w:left="400" w:right="1960" w:hanging="392"/>
        <w:spacing w:after="0" w:line="296" w:lineRule="auto"/>
        <w:tabs>
          <w:tab w:leader="none" w:pos="221" w:val="left"/>
        </w:tabs>
        <w:numPr>
          <w:ilvl w:val="0"/>
          <w:numId w:val="129"/>
        </w:numPr>
        <w:rPr>
          <w:rFonts w:ascii="Arial" w:cs="Arial" w:eastAsia="Arial" w:hAnsi="Arial"/>
          <w:sz w:val="21"/>
          <w:szCs w:val="21"/>
          <w:color w:val="auto"/>
          <w:vertAlign w:val="superscript"/>
        </w:rPr>
      </w:pPr>
      <w:r>
        <w:rPr>
          <w:rFonts w:ascii="Arial" w:cs="Arial" w:eastAsia="Arial" w:hAnsi="Arial"/>
          <w:sz w:val="16"/>
          <w:szCs w:val="16"/>
          <w:color w:val="auto"/>
        </w:rPr>
        <w:t>Vincent Roche is the PEO for each covered fiscal year. The non-PEO NEOs reflect the following individuals in each fiscal year: 2025: Richard Puccio Jr., Martin Cotter, Vivek Jain, Katsu Nakamura</w:t>
      </w:r>
    </w:p>
    <w:p>
      <w:pPr>
        <w:spacing w:after="0" w:line="1" w:lineRule="exact"/>
        <w:rPr>
          <w:rFonts w:ascii="Arial" w:cs="Arial" w:eastAsia="Arial" w:hAnsi="Arial"/>
          <w:sz w:val="21"/>
          <w:szCs w:val="21"/>
          <w:color w:val="auto"/>
          <w:vertAlign w:val="superscript"/>
        </w:rPr>
      </w:pPr>
    </w:p>
    <w:p>
      <w:pPr>
        <w:ind w:left="400"/>
        <w:spacing w:after="0"/>
        <w:rPr>
          <w:rFonts w:ascii="Arial" w:cs="Arial" w:eastAsia="Arial" w:hAnsi="Arial"/>
          <w:sz w:val="21"/>
          <w:szCs w:val="21"/>
          <w:color w:val="auto"/>
          <w:vertAlign w:val="superscript"/>
        </w:rPr>
      </w:pPr>
      <w:r>
        <w:rPr>
          <w:rFonts w:ascii="Arial" w:cs="Arial" w:eastAsia="Arial" w:hAnsi="Arial"/>
          <w:sz w:val="16"/>
          <w:szCs w:val="16"/>
          <w:color w:val="auto"/>
        </w:rPr>
        <w:t>2024: Richard Puccio Jr., Gregory Bryant, Vivek Jain, Anelise Sacks, James Mollica</w:t>
      </w:r>
    </w:p>
    <w:p>
      <w:pPr>
        <w:spacing w:after="0" w:line="86" w:lineRule="exact"/>
        <w:rPr>
          <w:rFonts w:ascii="Arial" w:cs="Arial" w:eastAsia="Arial" w:hAnsi="Arial"/>
          <w:sz w:val="21"/>
          <w:szCs w:val="21"/>
          <w:color w:val="auto"/>
          <w:vertAlign w:val="superscript"/>
        </w:rPr>
      </w:pPr>
    </w:p>
    <w:p>
      <w:pPr>
        <w:ind w:left="400"/>
        <w:spacing w:after="0"/>
        <w:rPr>
          <w:rFonts w:ascii="Arial" w:cs="Arial" w:eastAsia="Arial" w:hAnsi="Arial"/>
          <w:sz w:val="21"/>
          <w:szCs w:val="21"/>
          <w:color w:val="auto"/>
          <w:vertAlign w:val="superscript"/>
        </w:rPr>
      </w:pPr>
      <w:r>
        <w:rPr>
          <w:rFonts w:ascii="Arial" w:cs="Arial" w:eastAsia="Arial" w:hAnsi="Arial"/>
          <w:sz w:val="16"/>
          <w:szCs w:val="16"/>
          <w:color w:val="auto"/>
        </w:rPr>
        <w:t>2023: Prashanth Mahendra-Rajah, Gregory Bryant, Vivek Jain, Anelise Sacks</w:t>
      </w:r>
    </w:p>
    <w:p>
      <w:pPr>
        <w:spacing w:after="0" w:line="86" w:lineRule="exact"/>
        <w:rPr>
          <w:rFonts w:ascii="Arial" w:cs="Arial" w:eastAsia="Arial" w:hAnsi="Arial"/>
          <w:sz w:val="21"/>
          <w:szCs w:val="21"/>
          <w:color w:val="auto"/>
          <w:vertAlign w:val="superscript"/>
        </w:rPr>
      </w:pPr>
    </w:p>
    <w:p>
      <w:pPr>
        <w:ind w:left="400"/>
        <w:spacing w:after="0"/>
        <w:rPr>
          <w:rFonts w:ascii="Arial" w:cs="Arial" w:eastAsia="Arial" w:hAnsi="Arial"/>
          <w:sz w:val="21"/>
          <w:szCs w:val="21"/>
          <w:color w:val="auto"/>
          <w:vertAlign w:val="superscript"/>
        </w:rPr>
      </w:pPr>
      <w:r>
        <w:rPr>
          <w:rFonts w:ascii="Arial" w:cs="Arial" w:eastAsia="Arial" w:hAnsi="Arial"/>
          <w:sz w:val="16"/>
          <w:szCs w:val="16"/>
          <w:color w:val="auto"/>
        </w:rPr>
        <w:t>2022: Prashanth Mahendra-Rajah, Gregory Bryant, Vivek Jain, Anelise Sacks</w:t>
      </w:r>
    </w:p>
    <w:p>
      <w:pPr>
        <w:spacing w:after="0" w:line="72" w:lineRule="exact"/>
        <w:rPr>
          <w:rFonts w:ascii="Arial" w:cs="Arial" w:eastAsia="Arial" w:hAnsi="Arial"/>
          <w:sz w:val="21"/>
          <w:szCs w:val="21"/>
          <w:color w:val="auto"/>
          <w:vertAlign w:val="superscript"/>
        </w:rPr>
      </w:pPr>
    </w:p>
    <w:p>
      <w:pPr>
        <w:ind w:left="400"/>
        <w:spacing w:after="0"/>
        <w:rPr>
          <w:rFonts w:ascii="Arial" w:cs="Arial" w:eastAsia="Arial" w:hAnsi="Arial"/>
          <w:sz w:val="21"/>
          <w:szCs w:val="21"/>
          <w:color w:val="auto"/>
          <w:vertAlign w:val="superscript"/>
        </w:rPr>
      </w:pPr>
      <w:r>
        <w:rPr>
          <w:rFonts w:ascii="Arial" w:cs="Arial" w:eastAsia="Arial" w:hAnsi="Arial"/>
          <w:sz w:val="16"/>
          <w:szCs w:val="16"/>
          <w:color w:val="auto"/>
        </w:rPr>
        <w:t>2021: Prashanth Mahendra-Rajah, Martin Cotter, John Hassett, Greg Henderson, Anelise Sacks</w:t>
      </w:r>
    </w:p>
    <w:p>
      <w:pPr>
        <w:spacing w:after="0" w:line="86" w:lineRule="exact"/>
        <w:rPr>
          <w:rFonts w:ascii="Arial" w:cs="Arial" w:eastAsia="Arial" w:hAnsi="Arial"/>
          <w:sz w:val="21"/>
          <w:szCs w:val="21"/>
          <w:color w:val="auto"/>
          <w:vertAlign w:val="superscript"/>
        </w:rPr>
      </w:pPr>
    </w:p>
    <w:p>
      <w:pPr>
        <w:ind w:left="200" w:right="380" w:hanging="192"/>
        <w:spacing w:after="0" w:line="227" w:lineRule="auto"/>
        <w:tabs>
          <w:tab w:leader="none" w:pos="215" w:val="left"/>
        </w:tabs>
        <w:numPr>
          <w:ilvl w:val="0"/>
          <w:numId w:val="129"/>
        </w:numPr>
        <w:rPr>
          <w:rFonts w:ascii="Arial" w:cs="Arial" w:eastAsia="Arial" w:hAnsi="Arial"/>
          <w:sz w:val="21"/>
          <w:szCs w:val="21"/>
          <w:color w:val="auto"/>
          <w:vertAlign w:val="superscript"/>
        </w:rPr>
      </w:pPr>
      <w:r>
        <w:rPr>
          <w:rFonts w:ascii="Arial" w:cs="Arial" w:eastAsia="Arial" w:hAnsi="Arial"/>
          <w:sz w:val="16"/>
          <w:szCs w:val="16"/>
          <w:color w:val="auto"/>
        </w:rPr>
        <w:t>“Compensation Actually Paid” to the PEO and non-PEO NEOs reflects adjustments from total compensation reported in the Summary Compensation Table in the table below.</w:t>
      </w:r>
    </w:p>
    <w:p>
      <w:pPr>
        <w:spacing w:after="0" w:line="138" w:lineRule="exact"/>
        <w:rPr>
          <w:sz w:val="20"/>
          <w:szCs w:val="20"/>
          <w:color w:val="auto"/>
        </w:rPr>
      </w:pPr>
    </w:p>
    <w:tbl>
      <w:tblPr>
        <w:tblLayout w:type="fixed"/>
        <w:tblInd w:w="200" w:type="dxa"/>
        <w:tblCellMar>
          <w:top w:w="0" w:type="dxa"/>
          <w:left w:w="0" w:type="dxa"/>
          <w:bottom w:w="0" w:type="dxa"/>
          <w:right w:w="0" w:type="dxa"/>
        </w:tblCellMar>
      </w:tblPr>
      <w:tr>
        <w:trPr>
          <w:trHeight w:val="192"/>
        </w:trPr>
        <w:tc>
          <w:tcPr>
            <w:tcW w:w="2620" w:type="dxa"/>
            <w:vAlign w:val="bottom"/>
            <w:shd w:val="clear" w:color="auto" w:fill="0067B3"/>
          </w:tcPr>
          <w:p>
            <w:pPr>
              <w:spacing w:after="0"/>
              <w:rPr>
                <w:sz w:val="16"/>
                <w:szCs w:val="16"/>
                <w:color w:val="auto"/>
              </w:rPr>
            </w:pPr>
          </w:p>
        </w:tc>
        <w:tc>
          <w:tcPr>
            <w:tcW w:w="1600" w:type="dxa"/>
            <w:vAlign w:val="bottom"/>
            <w:gridSpan w:val="2"/>
            <w:shd w:val="clear" w:color="auto" w:fill="0067B3"/>
          </w:tcPr>
          <w:p>
            <w:pPr>
              <w:ind w:left="640"/>
              <w:spacing w:after="0"/>
              <w:rPr>
                <w:sz w:val="20"/>
                <w:szCs w:val="20"/>
                <w:color w:val="auto"/>
              </w:rPr>
            </w:pPr>
            <w:r>
              <w:rPr>
                <w:rFonts w:ascii="Arial" w:cs="Arial" w:eastAsia="Arial" w:hAnsi="Arial"/>
                <w:sz w:val="13"/>
                <w:szCs w:val="13"/>
                <w:b w:val="1"/>
                <w:bCs w:val="1"/>
                <w:color w:val="FFFFFF"/>
              </w:rPr>
              <w:t>2025</w:t>
            </w:r>
          </w:p>
        </w:tc>
        <w:tc>
          <w:tcPr>
            <w:tcW w:w="1600" w:type="dxa"/>
            <w:vAlign w:val="bottom"/>
            <w:gridSpan w:val="2"/>
            <w:shd w:val="clear" w:color="auto" w:fill="0067B3"/>
          </w:tcPr>
          <w:p>
            <w:pPr>
              <w:jc w:val="right"/>
              <w:ind w:right="634"/>
              <w:spacing w:after="0"/>
              <w:rPr>
                <w:sz w:val="20"/>
                <w:szCs w:val="20"/>
                <w:color w:val="auto"/>
              </w:rPr>
            </w:pPr>
            <w:r>
              <w:rPr>
                <w:rFonts w:ascii="Arial" w:cs="Arial" w:eastAsia="Arial" w:hAnsi="Arial"/>
                <w:sz w:val="13"/>
                <w:szCs w:val="13"/>
                <w:b w:val="1"/>
                <w:bCs w:val="1"/>
                <w:color w:val="FFFFFF"/>
              </w:rPr>
              <w:t>2024</w:t>
            </w:r>
          </w:p>
        </w:tc>
        <w:tc>
          <w:tcPr>
            <w:tcW w:w="1680" w:type="dxa"/>
            <w:vAlign w:val="bottom"/>
            <w:gridSpan w:val="2"/>
            <w:shd w:val="clear" w:color="auto" w:fill="0067B3"/>
          </w:tcPr>
          <w:p>
            <w:pPr>
              <w:jc w:val="right"/>
              <w:ind w:right="634"/>
              <w:spacing w:after="0"/>
              <w:rPr>
                <w:sz w:val="20"/>
                <w:szCs w:val="20"/>
                <w:color w:val="auto"/>
              </w:rPr>
            </w:pPr>
            <w:r>
              <w:rPr>
                <w:rFonts w:ascii="Arial" w:cs="Arial" w:eastAsia="Arial" w:hAnsi="Arial"/>
                <w:sz w:val="13"/>
                <w:szCs w:val="13"/>
                <w:b w:val="1"/>
                <w:bCs w:val="1"/>
                <w:color w:val="FFFFFF"/>
              </w:rPr>
              <w:t>2023</w:t>
            </w:r>
          </w:p>
        </w:tc>
        <w:tc>
          <w:tcPr>
            <w:tcW w:w="1680" w:type="dxa"/>
            <w:vAlign w:val="bottom"/>
            <w:gridSpan w:val="2"/>
            <w:shd w:val="clear" w:color="auto" w:fill="0067B3"/>
          </w:tcPr>
          <w:p>
            <w:pPr>
              <w:jc w:val="right"/>
              <w:ind w:right="635"/>
              <w:spacing w:after="0"/>
              <w:rPr>
                <w:sz w:val="20"/>
                <w:szCs w:val="20"/>
                <w:color w:val="auto"/>
              </w:rPr>
            </w:pPr>
            <w:r>
              <w:rPr>
                <w:rFonts w:ascii="Arial" w:cs="Arial" w:eastAsia="Arial" w:hAnsi="Arial"/>
                <w:sz w:val="13"/>
                <w:szCs w:val="13"/>
                <w:b w:val="1"/>
                <w:bCs w:val="1"/>
                <w:color w:val="FFFFFF"/>
              </w:rPr>
              <w:t>2022</w:t>
            </w:r>
          </w:p>
        </w:tc>
        <w:tc>
          <w:tcPr>
            <w:tcW w:w="1600" w:type="dxa"/>
            <w:vAlign w:val="bottom"/>
            <w:gridSpan w:val="2"/>
            <w:shd w:val="clear" w:color="auto" w:fill="0067B3"/>
          </w:tcPr>
          <w:p>
            <w:pPr>
              <w:ind w:left="680"/>
              <w:spacing w:after="0"/>
              <w:rPr>
                <w:sz w:val="20"/>
                <w:szCs w:val="20"/>
                <w:color w:val="auto"/>
              </w:rPr>
            </w:pPr>
            <w:r>
              <w:rPr>
                <w:rFonts w:ascii="Arial" w:cs="Arial" w:eastAsia="Arial" w:hAnsi="Arial"/>
                <w:sz w:val="13"/>
                <w:szCs w:val="13"/>
                <w:b w:val="1"/>
                <w:bCs w:val="1"/>
                <w:color w:val="FFFFFF"/>
              </w:rPr>
              <w:t>2021</w:t>
            </w:r>
          </w:p>
        </w:tc>
      </w:tr>
      <w:tr>
        <w:trPr>
          <w:trHeight w:val="182"/>
        </w:trPr>
        <w:tc>
          <w:tcPr>
            <w:tcW w:w="2620" w:type="dxa"/>
            <w:vAlign w:val="bottom"/>
            <w:shd w:val="clear" w:color="auto" w:fill="0067B3"/>
          </w:tcPr>
          <w:p>
            <w:pPr>
              <w:spacing w:after="0"/>
              <w:rPr>
                <w:sz w:val="15"/>
                <w:szCs w:val="15"/>
                <w:color w:val="auto"/>
              </w:rPr>
            </w:pPr>
          </w:p>
        </w:tc>
        <w:tc>
          <w:tcPr>
            <w:tcW w:w="820" w:type="dxa"/>
            <w:vAlign w:val="bottom"/>
            <w:shd w:val="clear" w:color="auto" w:fill="0067B3"/>
          </w:tcPr>
          <w:p>
            <w:pPr>
              <w:spacing w:after="0"/>
              <w:rPr>
                <w:sz w:val="15"/>
                <w:szCs w:val="15"/>
                <w:color w:val="auto"/>
              </w:rPr>
            </w:pPr>
          </w:p>
        </w:tc>
        <w:tc>
          <w:tcPr>
            <w:tcW w:w="780" w:type="dxa"/>
            <w:vAlign w:val="bottom"/>
            <w:shd w:val="clear" w:color="auto" w:fill="0067B3"/>
          </w:tcPr>
          <w:p>
            <w:pPr>
              <w:jc w:val="right"/>
              <w:spacing w:after="0"/>
              <w:rPr>
                <w:sz w:val="20"/>
                <w:szCs w:val="20"/>
                <w:color w:val="auto"/>
              </w:rPr>
            </w:pPr>
            <w:r>
              <w:rPr>
                <w:rFonts w:ascii="Arial" w:cs="Arial" w:eastAsia="Arial" w:hAnsi="Arial"/>
                <w:sz w:val="13"/>
                <w:szCs w:val="13"/>
                <w:b w:val="1"/>
                <w:bCs w:val="1"/>
                <w:color w:val="FFFFFF"/>
              </w:rPr>
              <w:t>Average of</w:t>
            </w:r>
          </w:p>
        </w:tc>
        <w:tc>
          <w:tcPr>
            <w:tcW w:w="800" w:type="dxa"/>
            <w:vAlign w:val="bottom"/>
            <w:shd w:val="clear" w:color="auto" w:fill="0067B3"/>
          </w:tcPr>
          <w:p>
            <w:pPr>
              <w:spacing w:after="0"/>
              <w:rPr>
                <w:sz w:val="15"/>
                <w:szCs w:val="15"/>
                <w:color w:val="auto"/>
              </w:rPr>
            </w:pPr>
          </w:p>
        </w:tc>
        <w:tc>
          <w:tcPr>
            <w:tcW w:w="800" w:type="dxa"/>
            <w:vAlign w:val="bottom"/>
            <w:shd w:val="clear" w:color="auto" w:fill="0067B3"/>
          </w:tcPr>
          <w:p>
            <w:pPr>
              <w:jc w:val="right"/>
              <w:spacing w:after="0"/>
              <w:rPr>
                <w:sz w:val="20"/>
                <w:szCs w:val="20"/>
                <w:color w:val="auto"/>
              </w:rPr>
            </w:pPr>
            <w:r>
              <w:rPr>
                <w:rFonts w:ascii="Arial" w:cs="Arial" w:eastAsia="Arial" w:hAnsi="Arial"/>
                <w:sz w:val="13"/>
                <w:szCs w:val="13"/>
                <w:b w:val="1"/>
                <w:bCs w:val="1"/>
                <w:color w:val="FFFFFF"/>
              </w:rPr>
              <w:t>Average of</w:t>
            </w:r>
          </w:p>
        </w:tc>
        <w:tc>
          <w:tcPr>
            <w:tcW w:w="880" w:type="dxa"/>
            <w:vAlign w:val="bottom"/>
            <w:shd w:val="clear" w:color="auto" w:fill="0067B3"/>
          </w:tcPr>
          <w:p>
            <w:pPr>
              <w:spacing w:after="0"/>
              <w:rPr>
                <w:sz w:val="15"/>
                <w:szCs w:val="15"/>
                <w:color w:val="auto"/>
              </w:rPr>
            </w:pPr>
          </w:p>
        </w:tc>
        <w:tc>
          <w:tcPr>
            <w:tcW w:w="800" w:type="dxa"/>
            <w:vAlign w:val="bottom"/>
            <w:shd w:val="clear" w:color="auto" w:fill="0067B3"/>
          </w:tcPr>
          <w:p>
            <w:pPr>
              <w:ind w:left="100"/>
              <w:spacing w:after="0"/>
              <w:rPr>
                <w:sz w:val="20"/>
                <w:szCs w:val="20"/>
                <w:color w:val="auto"/>
              </w:rPr>
            </w:pPr>
            <w:r>
              <w:rPr>
                <w:rFonts w:ascii="Arial" w:cs="Arial" w:eastAsia="Arial" w:hAnsi="Arial"/>
                <w:sz w:val="13"/>
                <w:szCs w:val="13"/>
                <w:b w:val="1"/>
                <w:bCs w:val="1"/>
                <w:color w:val="FFFFFF"/>
              </w:rPr>
              <w:t>Average of</w:t>
            </w:r>
          </w:p>
        </w:tc>
        <w:tc>
          <w:tcPr>
            <w:tcW w:w="860" w:type="dxa"/>
            <w:vAlign w:val="bottom"/>
            <w:shd w:val="clear" w:color="auto" w:fill="0067B3"/>
          </w:tcPr>
          <w:p>
            <w:pPr>
              <w:spacing w:after="0"/>
              <w:rPr>
                <w:sz w:val="15"/>
                <w:szCs w:val="15"/>
                <w:color w:val="auto"/>
              </w:rPr>
            </w:pPr>
          </w:p>
        </w:tc>
        <w:tc>
          <w:tcPr>
            <w:tcW w:w="820" w:type="dxa"/>
            <w:vAlign w:val="bottom"/>
            <w:shd w:val="clear" w:color="auto" w:fill="0067B3"/>
          </w:tcPr>
          <w:p>
            <w:pPr>
              <w:jc w:val="right"/>
              <w:spacing w:after="0"/>
              <w:rPr>
                <w:sz w:val="20"/>
                <w:szCs w:val="20"/>
                <w:color w:val="auto"/>
              </w:rPr>
            </w:pPr>
            <w:r>
              <w:rPr>
                <w:rFonts w:ascii="Arial" w:cs="Arial" w:eastAsia="Arial" w:hAnsi="Arial"/>
                <w:sz w:val="13"/>
                <w:szCs w:val="13"/>
                <w:b w:val="1"/>
                <w:bCs w:val="1"/>
                <w:color w:val="FFFFFF"/>
              </w:rPr>
              <w:t>Average of</w:t>
            </w:r>
          </w:p>
        </w:tc>
        <w:tc>
          <w:tcPr>
            <w:tcW w:w="860" w:type="dxa"/>
            <w:vAlign w:val="bottom"/>
            <w:shd w:val="clear" w:color="auto" w:fill="0067B3"/>
          </w:tcPr>
          <w:p>
            <w:pPr>
              <w:spacing w:after="0"/>
              <w:rPr>
                <w:sz w:val="15"/>
                <w:szCs w:val="15"/>
                <w:color w:val="auto"/>
              </w:rPr>
            </w:pPr>
          </w:p>
        </w:tc>
        <w:tc>
          <w:tcPr>
            <w:tcW w:w="740" w:type="dxa"/>
            <w:vAlign w:val="bottom"/>
            <w:shd w:val="clear" w:color="auto" w:fill="0067B3"/>
          </w:tcPr>
          <w:p>
            <w:pPr>
              <w:jc w:val="right"/>
              <w:spacing w:after="0"/>
              <w:rPr>
                <w:sz w:val="20"/>
                <w:szCs w:val="20"/>
                <w:color w:val="auto"/>
              </w:rPr>
            </w:pPr>
            <w:r>
              <w:rPr>
                <w:rFonts w:ascii="Arial" w:cs="Arial" w:eastAsia="Arial" w:hAnsi="Arial"/>
                <w:sz w:val="13"/>
                <w:szCs w:val="13"/>
                <w:b w:val="1"/>
                <w:bCs w:val="1"/>
                <w:color w:val="FFFFFF"/>
              </w:rPr>
              <w:t>Average of</w:t>
            </w:r>
          </w:p>
        </w:tc>
      </w:tr>
      <w:tr>
        <w:trPr>
          <w:trHeight w:val="148"/>
        </w:trPr>
        <w:tc>
          <w:tcPr>
            <w:tcW w:w="2620" w:type="dxa"/>
            <w:vAlign w:val="bottom"/>
            <w:shd w:val="clear" w:color="auto" w:fill="0067B3"/>
          </w:tcPr>
          <w:p>
            <w:pPr>
              <w:spacing w:after="0"/>
              <w:rPr>
                <w:sz w:val="12"/>
                <w:szCs w:val="12"/>
                <w:color w:val="auto"/>
              </w:rPr>
            </w:pPr>
          </w:p>
        </w:tc>
        <w:tc>
          <w:tcPr>
            <w:tcW w:w="820" w:type="dxa"/>
            <w:vAlign w:val="bottom"/>
            <w:shd w:val="clear" w:color="auto" w:fill="0067B3"/>
          </w:tcPr>
          <w:p>
            <w:pPr>
              <w:spacing w:after="0"/>
              <w:rPr>
                <w:sz w:val="12"/>
                <w:szCs w:val="12"/>
                <w:color w:val="auto"/>
              </w:rPr>
            </w:pPr>
          </w:p>
        </w:tc>
        <w:tc>
          <w:tcPr>
            <w:tcW w:w="780" w:type="dxa"/>
            <w:vAlign w:val="bottom"/>
            <w:shd w:val="clear" w:color="auto" w:fill="0067B3"/>
          </w:tcPr>
          <w:p>
            <w:pPr>
              <w:jc w:val="right"/>
              <w:spacing w:after="0"/>
              <w:rPr>
                <w:sz w:val="20"/>
                <w:szCs w:val="20"/>
                <w:color w:val="auto"/>
              </w:rPr>
            </w:pPr>
            <w:r>
              <w:rPr>
                <w:rFonts w:ascii="Arial" w:cs="Arial" w:eastAsia="Arial" w:hAnsi="Arial"/>
                <w:sz w:val="13"/>
                <w:szCs w:val="13"/>
                <w:b w:val="1"/>
                <w:bCs w:val="1"/>
                <w:color w:val="FFFFFF"/>
              </w:rPr>
              <w:t>non-PEO</w:t>
            </w:r>
          </w:p>
        </w:tc>
        <w:tc>
          <w:tcPr>
            <w:tcW w:w="800" w:type="dxa"/>
            <w:vAlign w:val="bottom"/>
            <w:shd w:val="clear" w:color="auto" w:fill="0067B3"/>
          </w:tcPr>
          <w:p>
            <w:pPr>
              <w:spacing w:after="0"/>
              <w:rPr>
                <w:sz w:val="12"/>
                <w:szCs w:val="12"/>
                <w:color w:val="auto"/>
              </w:rPr>
            </w:pPr>
          </w:p>
        </w:tc>
        <w:tc>
          <w:tcPr>
            <w:tcW w:w="800" w:type="dxa"/>
            <w:vAlign w:val="bottom"/>
            <w:shd w:val="clear" w:color="auto" w:fill="0067B3"/>
          </w:tcPr>
          <w:p>
            <w:pPr>
              <w:jc w:val="right"/>
              <w:spacing w:after="0"/>
              <w:rPr>
                <w:sz w:val="20"/>
                <w:szCs w:val="20"/>
                <w:color w:val="auto"/>
              </w:rPr>
            </w:pPr>
            <w:r>
              <w:rPr>
                <w:rFonts w:ascii="Arial" w:cs="Arial" w:eastAsia="Arial" w:hAnsi="Arial"/>
                <w:sz w:val="13"/>
                <w:szCs w:val="13"/>
                <w:b w:val="1"/>
                <w:bCs w:val="1"/>
                <w:color w:val="FFFFFF"/>
              </w:rPr>
              <w:t>non-PEO</w:t>
            </w:r>
          </w:p>
        </w:tc>
        <w:tc>
          <w:tcPr>
            <w:tcW w:w="880" w:type="dxa"/>
            <w:vAlign w:val="bottom"/>
            <w:shd w:val="clear" w:color="auto" w:fill="0067B3"/>
          </w:tcPr>
          <w:p>
            <w:pPr>
              <w:spacing w:after="0"/>
              <w:rPr>
                <w:sz w:val="12"/>
                <w:szCs w:val="12"/>
                <w:color w:val="auto"/>
              </w:rPr>
            </w:pPr>
          </w:p>
        </w:tc>
        <w:tc>
          <w:tcPr>
            <w:tcW w:w="800" w:type="dxa"/>
            <w:vAlign w:val="bottom"/>
            <w:shd w:val="clear" w:color="auto" w:fill="0067B3"/>
          </w:tcPr>
          <w:p>
            <w:pPr>
              <w:jc w:val="right"/>
              <w:spacing w:after="0"/>
              <w:rPr>
                <w:sz w:val="20"/>
                <w:szCs w:val="20"/>
                <w:color w:val="auto"/>
              </w:rPr>
            </w:pPr>
            <w:r>
              <w:rPr>
                <w:rFonts w:ascii="Arial" w:cs="Arial" w:eastAsia="Arial" w:hAnsi="Arial"/>
                <w:sz w:val="13"/>
                <w:szCs w:val="13"/>
                <w:b w:val="1"/>
                <w:bCs w:val="1"/>
                <w:color w:val="FFFFFF"/>
              </w:rPr>
              <w:t>non-PEO</w:t>
            </w:r>
          </w:p>
        </w:tc>
        <w:tc>
          <w:tcPr>
            <w:tcW w:w="860" w:type="dxa"/>
            <w:vAlign w:val="bottom"/>
            <w:shd w:val="clear" w:color="auto" w:fill="0067B3"/>
          </w:tcPr>
          <w:p>
            <w:pPr>
              <w:spacing w:after="0"/>
              <w:rPr>
                <w:sz w:val="12"/>
                <w:szCs w:val="12"/>
                <w:color w:val="auto"/>
              </w:rPr>
            </w:pPr>
          </w:p>
        </w:tc>
        <w:tc>
          <w:tcPr>
            <w:tcW w:w="820" w:type="dxa"/>
            <w:vAlign w:val="bottom"/>
            <w:shd w:val="clear" w:color="auto" w:fill="0067B3"/>
          </w:tcPr>
          <w:p>
            <w:pPr>
              <w:jc w:val="right"/>
              <w:spacing w:after="0"/>
              <w:rPr>
                <w:sz w:val="20"/>
                <w:szCs w:val="20"/>
                <w:color w:val="auto"/>
              </w:rPr>
            </w:pPr>
            <w:r>
              <w:rPr>
                <w:rFonts w:ascii="Arial" w:cs="Arial" w:eastAsia="Arial" w:hAnsi="Arial"/>
                <w:sz w:val="13"/>
                <w:szCs w:val="13"/>
                <w:b w:val="1"/>
                <w:bCs w:val="1"/>
                <w:color w:val="FFFFFF"/>
              </w:rPr>
              <w:t>non-PEO</w:t>
            </w:r>
          </w:p>
        </w:tc>
        <w:tc>
          <w:tcPr>
            <w:tcW w:w="860" w:type="dxa"/>
            <w:vAlign w:val="bottom"/>
            <w:shd w:val="clear" w:color="auto" w:fill="0067B3"/>
          </w:tcPr>
          <w:p>
            <w:pPr>
              <w:spacing w:after="0"/>
              <w:rPr>
                <w:sz w:val="12"/>
                <w:szCs w:val="12"/>
                <w:color w:val="auto"/>
              </w:rPr>
            </w:pPr>
          </w:p>
        </w:tc>
        <w:tc>
          <w:tcPr>
            <w:tcW w:w="740" w:type="dxa"/>
            <w:vAlign w:val="bottom"/>
            <w:shd w:val="clear" w:color="auto" w:fill="0067B3"/>
          </w:tcPr>
          <w:p>
            <w:pPr>
              <w:jc w:val="right"/>
              <w:spacing w:after="0"/>
              <w:rPr>
                <w:sz w:val="20"/>
                <w:szCs w:val="20"/>
                <w:color w:val="auto"/>
              </w:rPr>
            </w:pPr>
            <w:r>
              <w:rPr>
                <w:rFonts w:ascii="Arial" w:cs="Arial" w:eastAsia="Arial" w:hAnsi="Arial"/>
                <w:sz w:val="13"/>
                <w:szCs w:val="13"/>
                <w:b w:val="1"/>
                <w:bCs w:val="1"/>
                <w:color w:val="FFFFFF"/>
              </w:rPr>
              <w:t>non-PEO</w:t>
            </w:r>
          </w:p>
        </w:tc>
      </w:tr>
      <w:tr>
        <w:trPr>
          <w:trHeight w:val="148"/>
        </w:trPr>
        <w:tc>
          <w:tcPr>
            <w:tcW w:w="2620" w:type="dxa"/>
            <w:vAlign w:val="bottom"/>
            <w:shd w:val="clear" w:color="auto" w:fill="0067B3"/>
          </w:tcPr>
          <w:p>
            <w:pPr>
              <w:spacing w:after="0"/>
              <w:rPr>
                <w:sz w:val="12"/>
                <w:szCs w:val="12"/>
                <w:color w:val="auto"/>
              </w:rPr>
            </w:pPr>
          </w:p>
        </w:tc>
        <w:tc>
          <w:tcPr>
            <w:tcW w:w="820" w:type="dxa"/>
            <w:vAlign w:val="bottom"/>
            <w:shd w:val="clear" w:color="auto" w:fill="0067B3"/>
          </w:tcPr>
          <w:p>
            <w:pPr>
              <w:jc w:val="right"/>
              <w:spacing w:after="0"/>
              <w:rPr>
                <w:sz w:val="20"/>
                <w:szCs w:val="20"/>
                <w:color w:val="auto"/>
              </w:rPr>
            </w:pPr>
            <w:r>
              <w:rPr>
                <w:rFonts w:ascii="Arial" w:cs="Arial" w:eastAsia="Arial" w:hAnsi="Arial"/>
                <w:sz w:val="13"/>
                <w:szCs w:val="13"/>
                <w:b w:val="1"/>
                <w:bCs w:val="1"/>
                <w:color w:val="FFFFFF"/>
              </w:rPr>
              <w:t>PEO</w:t>
            </w:r>
          </w:p>
        </w:tc>
        <w:tc>
          <w:tcPr>
            <w:tcW w:w="780" w:type="dxa"/>
            <w:vAlign w:val="bottom"/>
            <w:shd w:val="clear" w:color="auto" w:fill="0067B3"/>
          </w:tcPr>
          <w:p>
            <w:pPr>
              <w:jc w:val="right"/>
              <w:spacing w:after="0"/>
              <w:rPr>
                <w:sz w:val="20"/>
                <w:szCs w:val="20"/>
                <w:color w:val="auto"/>
              </w:rPr>
            </w:pPr>
            <w:r>
              <w:rPr>
                <w:rFonts w:ascii="Arial" w:cs="Arial" w:eastAsia="Arial" w:hAnsi="Arial"/>
                <w:sz w:val="13"/>
                <w:szCs w:val="13"/>
                <w:b w:val="1"/>
                <w:bCs w:val="1"/>
                <w:color w:val="FFFFFF"/>
              </w:rPr>
              <w:t>NEOs</w:t>
            </w:r>
          </w:p>
        </w:tc>
        <w:tc>
          <w:tcPr>
            <w:tcW w:w="800" w:type="dxa"/>
            <w:vAlign w:val="bottom"/>
            <w:shd w:val="clear" w:color="auto" w:fill="0067B3"/>
          </w:tcPr>
          <w:p>
            <w:pPr>
              <w:jc w:val="right"/>
              <w:spacing w:after="0"/>
              <w:rPr>
                <w:sz w:val="20"/>
                <w:szCs w:val="20"/>
                <w:color w:val="auto"/>
              </w:rPr>
            </w:pPr>
            <w:r>
              <w:rPr>
                <w:rFonts w:ascii="Arial" w:cs="Arial" w:eastAsia="Arial" w:hAnsi="Arial"/>
                <w:sz w:val="13"/>
                <w:szCs w:val="13"/>
                <w:b w:val="1"/>
                <w:bCs w:val="1"/>
                <w:color w:val="FFFFFF"/>
              </w:rPr>
              <w:t>PEO</w:t>
            </w:r>
          </w:p>
        </w:tc>
        <w:tc>
          <w:tcPr>
            <w:tcW w:w="800" w:type="dxa"/>
            <w:vAlign w:val="bottom"/>
            <w:shd w:val="clear" w:color="auto" w:fill="0067B3"/>
          </w:tcPr>
          <w:p>
            <w:pPr>
              <w:jc w:val="right"/>
              <w:spacing w:after="0"/>
              <w:rPr>
                <w:sz w:val="20"/>
                <w:szCs w:val="20"/>
                <w:color w:val="auto"/>
              </w:rPr>
            </w:pPr>
            <w:r>
              <w:rPr>
                <w:rFonts w:ascii="Arial" w:cs="Arial" w:eastAsia="Arial" w:hAnsi="Arial"/>
                <w:sz w:val="13"/>
                <w:szCs w:val="13"/>
                <w:b w:val="1"/>
                <w:bCs w:val="1"/>
                <w:color w:val="FFFFFF"/>
              </w:rPr>
              <w:t>NEOs</w:t>
            </w:r>
          </w:p>
        </w:tc>
        <w:tc>
          <w:tcPr>
            <w:tcW w:w="880" w:type="dxa"/>
            <w:vAlign w:val="bottom"/>
            <w:shd w:val="clear" w:color="auto" w:fill="0067B3"/>
          </w:tcPr>
          <w:p>
            <w:pPr>
              <w:jc w:val="right"/>
              <w:spacing w:after="0"/>
              <w:rPr>
                <w:sz w:val="20"/>
                <w:szCs w:val="20"/>
                <w:color w:val="auto"/>
              </w:rPr>
            </w:pPr>
            <w:r>
              <w:rPr>
                <w:rFonts w:ascii="Arial" w:cs="Arial" w:eastAsia="Arial" w:hAnsi="Arial"/>
                <w:sz w:val="13"/>
                <w:szCs w:val="13"/>
                <w:b w:val="1"/>
                <w:bCs w:val="1"/>
                <w:color w:val="FFFFFF"/>
              </w:rPr>
              <w:t>PEO</w:t>
            </w:r>
          </w:p>
        </w:tc>
        <w:tc>
          <w:tcPr>
            <w:tcW w:w="800" w:type="dxa"/>
            <w:vAlign w:val="bottom"/>
            <w:shd w:val="clear" w:color="auto" w:fill="0067B3"/>
          </w:tcPr>
          <w:p>
            <w:pPr>
              <w:jc w:val="right"/>
              <w:spacing w:after="0"/>
              <w:rPr>
                <w:sz w:val="20"/>
                <w:szCs w:val="20"/>
                <w:color w:val="auto"/>
              </w:rPr>
            </w:pPr>
            <w:r>
              <w:rPr>
                <w:rFonts w:ascii="Arial" w:cs="Arial" w:eastAsia="Arial" w:hAnsi="Arial"/>
                <w:sz w:val="13"/>
                <w:szCs w:val="13"/>
                <w:b w:val="1"/>
                <w:bCs w:val="1"/>
                <w:color w:val="FFFFFF"/>
              </w:rPr>
              <w:t>NEOs</w:t>
            </w:r>
          </w:p>
        </w:tc>
        <w:tc>
          <w:tcPr>
            <w:tcW w:w="860" w:type="dxa"/>
            <w:vAlign w:val="bottom"/>
            <w:shd w:val="clear" w:color="auto" w:fill="0067B3"/>
          </w:tcPr>
          <w:p>
            <w:pPr>
              <w:jc w:val="right"/>
              <w:spacing w:after="0"/>
              <w:rPr>
                <w:sz w:val="20"/>
                <w:szCs w:val="20"/>
                <w:color w:val="auto"/>
              </w:rPr>
            </w:pPr>
            <w:r>
              <w:rPr>
                <w:rFonts w:ascii="Arial" w:cs="Arial" w:eastAsia="Arial" w:hAnsi="Arial"/>
                <w:sz w:val="13"/>
                <w:szCs w:val="13"/>
                <w:b w:val="1"/>
                <w:bCs w:val="1"/>
                <w:color w:val="FFFFFF"/>
              </w:rPr>
              <w:t>PEO</w:t>
            </w:r>
          </w:p>
        </w:tc>
        <w:tc>
          <w:tcPr>
            <w:tcW w:w="820" w:type="dxa"/>
            <w:vAlign w:val="bottom"/>
            <w:shd w:val="clear" w:color="auto" w:fill="0067B3"/>
          </w:tcPr>
          <w:p>
            <w:pPr>
              <w:jc w:val="right"/>
              <w:spacing w:after="0"/>
              <w:rPr>
                <w:sz w:val="20"/>
                <w:szCs w:val="20"/>
                <w:color w:val="auto"/>
              </w:rPr>
            </w:pPr>
            <w:r>
              <w:rPr>
                <w:rFonts w:ascii="Arial" w:cs="Arial" w:eastAsia="Arial" w:hAnsi="Arial"/>
                <w:sz w:val="13"/>
                <w:szCs w:val="13"/>
                <w:b w:val="1"/>
                <w:bCs w:val="1"/>
                <w:color w:val="FFFFFF"/>
              </w:rPr>
              <w:t>NEOs</w:t>
            </w:r>
          </w:p>
        </w:tc>
        <w:tc>
          <w:tcPr>
            <w:tcW w:w="860" w:type="dxa"/>
            <w:vAlign w:val="bottom"/>
            <w:shd w:val="clear" w:color="auto" w:fill="0067B3"/>
          </w:tcPr>
          <w:p>
            <w:pPr>
              <w:jc w:val="right"/>
              <w:spacing w:after="0"/>
              <w:rPr>
                <w:sz w:val="20"/>
                <w:szCs w:val="20"/>
                <w:color w:val="auto"/>
              </w:rPr>
            </w:pPr>
            <w:r>
              <w:rPr>
                <w:rFonts w:ascii="Arial" w:cs="Arial" w:eastAsia="Arial" w:hAnsi="Arial"/>
                <w:sz w:val="13"/>
                <w:szCs w:val="13"/>
                <w:b w:val="1"/>
                <w:bCs w:val="1"/>
                <w:color w:val="FFFFFF"/>
              </w:rPr>
              <w:t>PEO</w:t>
            </w:r>
          </w:p>
        </w:tc>
        <w:tc>
          <w:tcPr>
            <w:tcW w:w="740" w:type="dxa"/>
            <w:vAlign w:val="bottom"/>
            <w:shd w:val="clear" w:color="auto" w:fill="0067B3"/>
          </w:tcPr>
          <w:p>
            <w:pPr>
              <w:jc w:val="right"/>
              <w:spacing w:after="0"/>
              <w:rPr>
                <w:sz w:val="20"/>
                <w:szCs w:val="20"/>
                <w:color w:val="auto"/>
              </w:rPr>
            </w:pPr>
            <w:r>
              <w:rPr>
                <w:rFonts w:ascii="Arial" w:cs="Arial" w:eastAsia="Arial" w:hAnsi="Arial"/>
                <w:sz w:val="13"/>
                <w:szCs w:val="13"/>
                <w:b w:val="1"/>
                <w:bCs w:val="1"/>
                <w:color w:val="FFFFFF"/>
              </w:rPr>
              <w:t>NEOs</w:t>
            </w:r>
          </w:p>
        </w:tc>
      </w:tr>
      <w:tr>
        <w:trPr>
          <w:trHeight w:val="187"/>
        </w:trPr>
        <w:tc>
          <w:tcPr>
            <w:tcW w:w="2620" w:type="dxa"/>
            <w:vAlign w:val="bottom"/>
            <w:tcBorders>
              <w:bottom w:val="single" w:sz="8" w:color="0067B3"/>
            </w:tcBorders>
            <w:shd w:val="clear" w:color="auto" w:fill="0067B3"/>
          </w:tcPr>
          <w:p>
            <w:pPr>
              <w:spacing w:after="0"/>
              <w:rPr>
                <w:sz w:val="16"/>
                <w:szCs w:val="16"/>
                <w:color w:val="auto"/>
              </w:rPr>
            </w:pPr>
          </w:p>
        </w:tc>
        <w:tc>
          <w:tcPr>
            <w:tcW w:w="820" w:type="dxa"/>
            <w:vAlign w:val="bottom"/>
            <w:tcBorders>
              <w:bottom w:val="single" w:sz="8" w:color="0067B3"/>
            </w:tcBorders>
            <w:shd w:val="clear" w:color="auto" w:fill="0067B3"/>
          </w:tcPr>
          <w:p>
            <w:pPr>
              <w:ind w:left="640"/>
              <w:spacing w:after="0"/>
              <w:rPr>
                <w:sz w:val="20"/>
                <w:szCs w:val="20"/>
                <w:color w:val="auto"/>
              </w:rPr>
            </w:pPr>
            <w:r>
              <w:rPr>
                <w:rFonts w:ascii="Arial" w:cs="Arial" w:eastAsia="Arial" w:hAnsi="Arial"/>
                <w:sz w:val="13"/>
                <w:szCs w:val="13"/>
                <w:b w:val="1"/>
                <w:bCs w:val="1"/>
                <w:color w:val="FFFFFF"/>
              </w:rPr>
              <w:t>($)</w:t>
            </w:r>
          </w:p>
        </w:tc>
        <w:tc>
          <w:tcPr>
            <w:tcW w:w="780" w:type="dxa"/>
            <w:vAlign w:val="bottom"/>
            <w:tcBorders>
              <w:bottom w:val="single" w:sz="8" w:color="0067B3"/>
            </w:tcBorders>
            <w:shd w:val="clear" w:color="auto" w:fill="0067B3"/>
          </w:tcPr>
          <w:p>
            <w:pPr>
              <w:jc w:val="right"/>
              <w:spacing w:after="0"/>
              <w:rPr>
                <w:sz w:val="20"/>
                <w:szCs w:val="20"/>
                <w:color w:val="auto"/>
              </w:rPr>
            </w:pPr>
            <w:r>
              <w:rPr>
                <w:rFonts w:ascii="Arial" w:cs="Arial" w:eastAsia="Arial" w:hAnsi="Arial"/>
                <w:sz w:val="13"/>
                <w:szCs w:val="13"/>
                <w:b w:val="1"/>
                <w:bCs w:val="1"/>
                <w:color w:val="FFFFFF"/>
              </w:rPr>
              <w:t>($)</w:t>
            </w:r>
          </w:p>
        </w:tc>
        <w:tc>
          <w:tcPr>
            <w:tcW w:w="800" w:type="dxa"/>
            <w:vAlign w:val="bottom"/>
            <w:tcBorders>
              <w:bottom w:val="single" w:sz="8" w:color="0067B3"/>
            </w:tcBorders>
            <w:shd w:val="clear" w:color="auto" w:fill="0067B3"/>
          </w:tcPr>
          <w:p>
            <w:pPr>
              <w:jc w:val="right"/>
              <w:spacing w:after="0"/>
              <w:rPr>
                <w:sz w:val="20"/>
                <w:szCs w:val="20"/>
                <w:color w:val="auto"/>
              </w:rPr>
            </w:pPr>
            <w:r>
              <w:rPr>
                <w:rFonts w:ascii="Arial" w:cs="Arial" w:eastAsia="Arial" w:hAnsi="Arial"/>
                <w:sz w:val="13"/>
                <w:szCs w:val="13"/>
                <w:b w:val="1"/>
                <w:bCs w:val="1"/>
                <w:color w:val="FFFFFF"/>
              </w:rPr>
              <w:t>($)</w:t>
            </w:r>
          </w:p>
        </w:tc>
        <w:tc>
          <w:tcPr>
            <w:tcW w:w="800" w:type="dxa"/>
            <w:vAlign w:val="bottom"/>
            <w:tcBorders>
              <w:bottom w:val="single" w:sz="8" w:color="0067B3"/>
            </w:tcBorders>
            <w:shd w:val="clear" w:color="auto" w:fill="0067B3"/>
          </w:tcPr>
          <w:p>
            <w:pPr>
              <w:jc w:val="right"/>
              <w:spacing w:after="0"/>
              <w:rPr>
                <w:sz w:val="20"/>
                <w:szCs w:val="20"/>
                <w:color w:val="auto"/>
              </w:rPr>
            </w:pPr>
            <w:r>
              <w:rPr>
                <w:rFonts w:ascii="Arial" w:cs="Arial" w:eastAsia="Arial" w:hAnsi="Arial"/>
                <w:sz w:val="13"/>
                <w:szCs w:val="13"/>
                <w:b w:val="1"/>
                <w:bCs w:val="1"/>
                <w:color w:val="FFFFFF"/>
              </w:rPr>
              <w:t>($)</w:t>
            </w:r>
          </w:p>
        </w:tc>
        <w:tc>
          <w:tcPr>
            <w:tcW w:w="880" w:type="dxa"/>
            <w:vAlign w:val="bottom"/>
            <w:tcBorders>
              <w:bottom w:val="single" w:sz="8" w:color="0067B3"/>
            </w:tcBorders>
            <w:shd w:val="clear" w:color="auto" w:fill="0067B3"/>
          </w:tcPr>
          <w:p>
            <w:pPr>
              <w:jc w:val="right"/>
              <w:spacing w:after="0"/>
              <w:rPr>
                <w:sz w:val="20"/>
                <w:szCs w:val="20"/>
                <w:color w:val="auto"/>
              </w:rPr>
            </w:pPr>
            <w:r>
              <w:rPr>
                <w:rFonts w:ascii="Arial" w:cs="Arial" w:eastAsia="Arial" w:hAnsi="Arial"/>
                <w:sz w:val="13"/>
                <w:szCs w:val="13"/>
                <w:b w:val="1"/>
                <w:bCs w:val="1"/>
                <w:color w:val="FFFFFF"/>
              </w:rPr>
              <w:t>($)</w:t>
            </w:r>
          </w:p>
        </w:tc>
        <w:tc>
          <w:tcPr>
            <w:tcW w:w="800" w:type="dxa"/>
            <w:vAlign w:val="bottom"/>
            <w:tcBorders>
              <w:bottom w:val="single" w:sz="8" w:color="0067B3"/>
            </w:tcBorders>
            <w:shd w:val="clear" w:color="auto" w:fill="0067B3"/>
          </w:tcPr>
          <w:p>
            <w:pPr>
              <w:jc w:val="right"/>
              <w:spacing w:after="0"/>
              <w:rPr>
                <w:sz w:val="20"/>
                <w:szCs w:val="20"/>
                <w:color w:val="auto"/>
              </w:rPr>
            </w:pPr>
            <w:r>
              <w:rPr>
                <w:rFonts w:ascii="Arial" w:cs="Arial" w:eastAsia="Arial" w:hAnsi="Arial"/>
                <w:sz w:val="13"/>
                <w:szCs w:val="13"/>
                <w:b w:val="1"/>
                <w:bCs w:val="1"/>
                <w:color w:val="FFFFFF"/>
              </w:rPr>
              <w:t>($)</w:t>
            </w:r>
          </w:p>
        </w:tc>
        <w:tc>
          <w:tcPr>
            <w:tcW w:w="860" w:type="dxa"/>
            <w:vAlign w:val="bottom"/>
            <w:tcBorders>
              <w:bottom w:val="single" w:sz="8" w:color="0067B3"/>
            </w:tcBorders>
            <w:shd w:val="clear" w:color="auto" w:fill="0067B3"/>
          </w:tcPr>
          <w:p>
            <w:pPr>
              <w:jc w:val="right"/>
              <w:spacing w:after="0"/>
              <w:rPr>
                <w:sz w:val="20"/>
                <w:szCs w:val="20"/>
                <w:color w:val="auto"/>
              </w:rPr>
            </w:pPr>
            <w:r>
              <w:rPr>
                <w:rFonts w:ascii="Arial" w:cs="Arial" w:eastAsia="Arial" w:hAnsi="Arial"/>
                <w:sz w:val="13"/>
                <w:szCs w:val="13"/>
                <w:b w:val="1"/>
                <w:bCs w:val="1"/>
                <w:color w:val="FFFFFF"/>
              </w:rPr>
              <w:t>($)</w:t>
            </w:r>
          </w:p>
        </w:tc>
        <w:tc>
          <w:tcPr>
            <w:tcW w:w="820" w:type="dxa"/>
            <w:vAlign w:val="bottom"/>
            <w:tcBorders>
              <w:bottom w:val="single" w:sz="8" w:color="0067B3"/>
            </w:tcBorders>
            <w:shd w:val="clear" w:color="auto" w:fill="0067B3"/>
          </w:tcPr>
          <w:p>
            <w:pPr>
              <w:jc w:val="right"/>
              <w:spacing w:after="0"/>
              <w:rPr>
                <w:sz w:val="20"/>
                <w:szCs w:val="20"/>
                <w:color w:val="auto"/>
              </w:rPr>
            </w:pPr>
            <w:r>
              <w:rPr>
                <w:rFonts w:ascii="Arial" w:cs="Arial" w:eastAsia="Arial" w:hAnsi="Arial"/>
                <w:sz w:val="13"/>
                <w:szCs w:val="13"/>
                <w:b w:val="1"/>
                <w:bCs w:val="1"/>
                <w:color w:val="FFFFFF"/>
              </w:rPr>
              <w:t>($)</w:t>
            </w:r>
          </w:p>
        </w:tc>
        <w:tc>
          <w:tcPr>
            <w:tcW w:w="860" w:type="dxa"/>
            <w:vAlign w:val="bottom"/>
            <w:tcBorders>
              <w:bottom w:val="single" w:sz="8" w:color="0067B3"/>
            </w:tcBorders>
            <w:shd w:val="clear" w:color="auto" w:fill="0067B3"/>
          </w:tcPr>
          <w:p>
            <w:pPr>
              <w:ind w:left="680"/>
              <w:spacing w:after="0"/>
              <w:rPr>
                <w:sz w:val="20"/>
                <w:szCs w:val="20"/>
                <w:color w:val="auto"/>
              </w:rPr>
            </w:pPr>
            <w:r>
              <w:rPr>
                <w:rFonts w:ascii="Arial" w:cs="Arial" w:eastAsia="Arial" w:hAnsi="Arial"/>
                <w:sz w:val="13"/>
                <w:szCs w:val="13"/>
                <w:b w:val="1"/>
                <w:bCs w:val="1"/>
                <w:color w:val="FFFFFF"/>
              </w:rPr>
              <w:t>($)</w:t>
            </w:r>
          </w:p>
        </w:tc>
        <w:tc>
          <w:tcPr>
            <w:tcW w:w="740" w:type="dxa"/>
            <w:vAlign w:val="bottom"/>
            <w:tcBorders>
              <w:bottom w:val="single" w:sz="8" w:color="0067B3"/>
            </w:tcBorders>
            <w:shd w:val="clear" w:color="auto" w:fill="0067B3"/>
          </w:tcPr>
          <w:p>
            <w:pPr>
              <w:jc w:val="right"/>
              <w:spacing w:after="0"/>
              <w:rPr>
                <w:sz w:val="20"/>
                <w:szCs w:val="20"/>
                <w:color w:val="auto"/>
              </w:rPr>
            </w:pPr>
            <w:r>
              <w:rPr>
                <w:rFonts w:ascii="Arial" w:cs="Arial" w:eastAsia="Arial" w:hAnsi="Arial"/>
                <w:sz w:val="13"/>
                <w:szCs w:val="13"/>
                <w:b w:val="1"/>
                <w:bCs w:val="1"/>
                <w:color w:val="FFFFFF"/>
              </w:rPr>
              <w:t>($)</w:t>
            </w:r>
          </w:p>
        </w:tc>
      </w:tr>
      <w:tr>
        <w:trPr>
          <w:trHeight w:val="216"/>
        </w:trPr>
        <w:tc>
          <w:tcPr>
            <w:tcW w:w="2620" w:type="dxa"/>
            <w:vAlign w:val="bottom"/>
            <w:shd w:val="clear" w:color="auto" w:fill="E2E6F4"/>
          </w:tcPr>
          <w:p>
            <w:pPr>
              <w:ind w:left="20"/>
              <w:spacing w:after="0"/>
              <w:rPr>
                <w:sz w:val="20"/>
                <w:szCs w:val="20"/>
                <w:color w:val="auto"/>
              </w:rPr>
            </w:pPr>
            <w:r>
              <w:rPr>
                <w:rFonts w:ascii="Arial" w:cs="Arial" w:eastAsia="Arial" w:hAnsi="Arial"/>
                <w:sz w:val="13"/>
                <w:szCs w:val="13"/>
                <w:b w:val="1"/>
                <w:bCs w:val="1"/>
                <w:color w:val="auto"/>
              </w:rPr>
              <w:t>Summary Compensation Table Total</w:t>
            </w:r>
          </w:p>
        </w:tc>
        <w:tc>
          <w:tcPr>
            <w:tcW w:w="820" w:type="dxa"/>
            <w:vAlign w:val="bottom"/>
            <w:shd w:val="clear" w:color="auto" w:fill="E2E6F4"/>
          </w:tcPr>
          <w:p>
            <w:pPr>
              <w:jc w:val="right"/>
              <w:ind w:right="14"/>
              <w:spacing w:after="0"/>
              <w:rPr>
                <w:sz w:val="20"/>
                <w:szCs w:val="20"/>
                <w:color w:val="auto"/>
              </w:rPr>
            </w:pPr>
            <w:r>
              <w:rPr>
                <w:rFonts w:ascii="Arial" w:cs="Arial" w:eastAsia="Arial" w:hAnsi="Arial"/>
                <w:sz w:val="13"/>
                <w:szCs w:val="13"/>
                <w:color w:val="auto"/>
              </w:rPr>
              <w:t>27,456,265</w:t>
            </w:r>
          </w:p>
        </w:tc>
        <w:tc>
          <w:tcPr>
            <w:tcW w:w="780" w:type="dxa"/>
            <w:vAlign w:val="bottom"/>
            <w:shd w:val="clear" w:color="auto" w:fill="E2E6F4"/>
          </w:tcPr>
          <w:p>
            <w:pPr>
              <w:jc w:val="right"/>
              <w:ind w:right="35"/>
              <w:spacing w:after="0"/>
              <w:rPr>
                <w:sz w:val="20"/>
                <w:szCs w:val="20"/>
                <w:color w:val="auto"/>
              </w:rPr>
            </w:pPr>
            <w:r>
              <w:rPr>
                <w:rFonts w:ascii="Arial" w:cs="Arial" w:eastAsia="Arial" w:hAnsi="Arial"/>
                <w:sz w:val="13"/>
                <w:szCs w:val="13"/>
                <w:color w:val="auto"/>
              </w:rPr>
              <w:t>6,704,203</w:t>
            </w:r>
          </w:p>
        </w:tc>
        <w:tc>
          <w:tcPr>
            <w:tcW w:w="800" w:type="dxa"/>
            <w:vAlign w:val="bottom"/>
            <w:shd w:val="clear" w:color="auto" w:fill="E2E6F4"/>
          </w:tcPr>
          <w:p>
            <w:pPr>
              <w:jc w:val="right"/>
              <w:ind w:right="14"/>
              <w:spacing w:after="0"/>
              <w:rPr>
                <w:sz w:val="20"/>
                <w:szCs w:val="20"/>
                <w:color w:val="auto"/>
              </w:rPr>
            </w:pPr>
            <w:r>
              <w:rPr>
                <w:rFonts w:ascii="Arial" w:cs="Arial" w:eastAsia="Arial" w:hAnsi="Arial"/>
                <w:sz w:val="13"/>
                <w:szCs w:val="13"/>
                <w:color w:val="auto"/>
              </w:rPr>
              <w:t>22,436,615</w:t>
            </w:r>
          </w:p>
        </w:tc>
        <w:tc>
          <w:tcPr>
            <w:tcW w:w="800" w:type="dxa"/>
            <w:vAlign w:val="bottom"/>
            <w:shd w:val="clear" w:color="auto" w:fill="E2E6F4"/>
          </w:tcPr>
          <w:p>
            <w:pPr>
              <w:jc w:val="right"/>
              <w:ind w:right="34"/>
              <w:spacing w:after="0"/>
              <w:rPr>
                <w:sz w:val="20"/>
                <w:szCs w:val="20"/>
                <w:color w:val="auto"/>
              </w:rPr>
            </w:pPr>
            <w:r>
              <w:rPr>
                <w:rFonts w:ascii="Arial" w:cs="Arial" w:eastAsia="Arial" w:hAnsi="Arial"/>
                <w:sz w:val="13"/>
                <w:szCs w:val="13"/>
                <w:color w:val="auto"/>
              </w:rPr>
              <w:t>7,910,670</w:t>
            </w:r>
          </w:p>
        </w:tc>
        <w:tc>
          <w:tcPr>
            <w:tcW w:w="880" w:type="dxa"/>
            <w:vAlign w:val="bottom"/>
            <w:shd w:val="clear" w:color="auto" w:fill="E2E6F4"/>
          </w:tcPr>
          <w:p>
            <w:pPr>
              <w:jc w:val="right"/>
              <w:ind w:right="34"/>
              <w:spacing w:after="0"/>
              <w:rPr>
                <w:sz w:val="20"/>
                <w:szCs w:val="20"/>
                <w:color w:val="auto"/>
              </w:rPr>
            </w:pPr>
            <w:r>
              <w:rPr>
                <w:rFonts w:ascii="Arial" w:cs="Arial" w:eastAsia="Arial" w:hAnsi="Arial"/>
                <w:sz w:val="13"/>
                <w:szCs w:val="13"/>
                <w:color w:val="auto"/>
              </w:rPr>
              <w:t>25,543,635</w:t>
            </w:r>
          </w:p>
        </w:tc>
        <w:tc>
          <w:tcPr>
            <w:tcW w:w="800" w:type="dxa"/>
            <w:vAlign w:val="bottom"/>
            <w:shd w:val="clear" w:color="auto" w:fill="E2E6F4"/>
          </w:tcPr>
          <w:p>
            <w:pPr>
              <w:ind w:left="80"/>
              <w:spacing w:after="0"/>
              <w:rPr>
                <w:sz w:val="20"/>
                <w:szCs w:val="20"/>
                <w:color w:val="auto"/>
              </w:rPr>
            </w:pPr>
            <w:r>
              <w:rPr>
                <w:rFonts w:ascii="Arial" w:cs="Arial" w:eastAsia="Arial" w:hAnsi="Arial"/>
                <w:sz w:val="13"/>
                <w:szCs w:val="13"/>
                <w:color w:val="auto"/>
              </w:rPr>
              <w:t>8,288,714</w:t>
            </w:r>
          </w:p>
        </w:tc>
        <w:tc>
          <w:tcPr>
            <w:tcW w:w="860" w:type="dxa"/>
            <w:vAlign w:val="bottom"/>
            <w:shd w:val="clear" w:color="auto" w:fill="E2E6F4"/>
          </w:tcPr>
          <w:p>
            <w:pPr>
              <w:jc w:val="right"/>
              <w:ind w:right="14"/>
              <w:spacing w:after="0"/>
              <w:rPr>
                <w:sz w:val="20"/>
                <w:szCs w:val="20"/>
                <w:color w:val="auto"/>
              </w:rPr>
            </w:pPr>
            <w:r>
              <w:rPr>
                <w:rFonts w:ascii="Arial" w:cs="Arial" w:eastAsia="Arial" w:hAnsi="Arial"/>
                <w:sz w:val="13"/>
                <w:szCs w:val="13"/>
                <w:color w:val="auto"/>
              </w:rPr>
              <w:t>22,098,295</w:t>
            </w:r>
          </w:p>
        </w:tc>
        <w:tc>
          <w:tcPr>
            <w:tcW w:w="820" w:type="dxa"/>
            <w:vAlign w:val="bottom"/>
            <w:shd w:val="clear" w:color="auto" w:fill="E2E6F4"/>
          </w:tcPr>
          <w:p>
            <w:pPr>
              <w:jc w:val="right"/>
              <w:ind w:right="35"/>
              <w:spacing w:after="0"/>
              <w:rPr>
                <w:sz w:val="20"/>
                <w:szCs w:val="20"/>
                <w:color w:val="auto"/>
              </w:rPr>
            </w:pPr>
            <w:r>
              <w:rPr>
                <w:rFonts w:ascii="Arial" w:cs="Arial" w:eastAsia="Arial" w:hAnsi="Arial"/>
                <w:sz w:val="13"/>
                <w:szCs w:val="13"/>
                <w:color w:val="auto"/>
              </w:rPr>
              <w:t>14,285,882</w:t>
            </w:r>
          </w:p>
        </w:tc>
        <w:tc>
          <w:tcPr>
            <w:tcW w:w="860" w:type="dxa"/>
            <w:vAlign w:val="bottom"/>
            <w:shd w:val="clear" w:color="auto" w:fill="E2E6F4"/>
          </w:tcPr>
          <w:p>
            <w:pPr>
              <w:jc w:val="right"/>
              <w:ind w:right="14"/>
              <w:spacing w:after="0"/>
              <w:rPr>
                <w:sz w:val="20"/>
                <w:szCs w:val="20"/>
                <w:color w:val="auto"/>
              </w:rPr>
            </w:pPr>
            <w:r>
              <w:rPr>
                <w:rFonts w:ascii="Arial" w:cs="Arial" w:eastAsia="Arial" w:hAnsi="Arial"/>
                <w:sz w:val="13"/>
                <w:szCs w:val="13"/>
                <w:color w:val="auto"/>
              </w:rPr>
              <w:t>30,824,323</w:t>
            </w:r>
          </w:p>
        </w:tc>
        <w:tc>
          <w:tcPr>
            <w:tcW w:w="740" w:type="dxa"/>
            <w:vAlign w:val="bottom"/>
            <w:shd w:val="clear" w:color="auto" w:fill="E2E6F4"/>
          </w:tcPr>
          <w:p>
            <w:pPr>
              <w:jc w:val="right"/>
              <w:spacing w:after="0"/>
              <w:rPr>
                <w:sz w:val="20"/>
                <w:szCs w:val="20"/>
                <w:color w:val="auto"/>
              </w:rPr>
            </w:pPr>
            <w:r>
              <w:rPr>
                <w:rFonts w:ascii="Arial" w:cs="Arial" w:eastAsia="Arial" w:hAnsi="Arial"/>
                <w:sz w:val="13"/>
                <w:szCs w:val="13"/>
                <w:color w:val="auto"/>
              </w:rPr>
              <w:t>6,010,914</w:t>
            </w:r>
          </w:p>
        </w:tc>
      </w:tr>
      <w:tr>
        <w:trPr>
          <w:trHeight w:val="191"/>
        </w:trPr>
        <w:tc>
          <w:tcPr>
            <w:tcW w:w="2620" w:type="dxa"/>
            <w:vAlign w:val="bottom"/>
          </w:tcPr>
          <w:p>
            <w:pPr>
              <w:ind w:left="20"/>
              <w:spacing w:after="0"/>
              <w:rPr>
                <w:sz w:val="20"/>
                <w:szCs w:val="20"/>
                <w:color w:val="auto"/>
              </w:rPr>
            </w:pPr>
            <w:r>
              <w:rPr>
                <w:rFonts w:ascii="Arial" w:cs="Arial" w:eastAsia="Arial" w:hAnsi="Arial"/>
                <w:sz w:val="13"/>
                <w:szCs w:val="13"/>
                <w:i w:val="1"/>
                <w:iCs w:val="1"/>
                <w:color w:val="auto"/>
              </w:rPr>
              <w:t>Adjustments for Stock and Option Awards:</w:t>
            </w:r>
          </w:p>
        </w:tc>
        <w:tc>
          <w:tcPr>
            <w:tcW w:w="8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740" w:type="dxa"/>
            <w:vAlign w:val="bottom"/>
          </w:tcPr>
          <w:p>
            <w:pPr>
              <w:spacing w:after="0"/>
              <w:rPr>
                <w:sz w:val="16"/>
                <w:szCs w:val="16"/>
                <w:color w:val="auto"/>
              </w:rPr>
            </w:pPr>
          </w:p>
        </w:tc>
      </w:tr>
      <w:tr>
        <w:trPr>
          <w:trHeight w:val="25"/>
        </w:trPr>
        <w:tc>
          <w:tcPr>
            <w:tcW w:w="2620" w:type="dxa"/>
            <w:vAlign w:val="bottom"/>
          </w:tcPr>
          <w:p>
            <w:pPr>
              <w:spacing w:after="0"/>
              <w:rPr>
                <w:sz w:val="2"/>
                <w:szCs w:val="2"/>
                <w:color w:val="auto"/>
              </w:rPr>
            </w:pPr>
          </w:p>
        </w:tc>
        <w:tc>
          <w:tcPr>
            <w:tcW w:w="2400" w:type="dxa"/>
            <w:vAlign w:val="bottom"/>
            <w:gridSpan w:val="3"/>
          </w:tcPr>
          <w:p>
            <w:pPr>
              <w:spacing w:after="0"/>
              <w:rPr>
                <w:sz w:val="2"/>
                <w:szCs w:val="2"/>
                <w:color w:val="auto"/>
              </w:rPr>
            </w:pPr>
          </w:p>
        </w:tc>
        <w:tc>
          <w:tcPr>
            <w:tcW w:w="800" w:type="dxa"/>
            <w:vAlign w:val="bottom"/>
          </w:tcPr>
          <w:p>
            <w:pPr>
              <w:spacing w:after="0"/>
              <w:rPr>
                <w:sz w:val="2"/>
                <w:szCs w:val="2"/>
                <w:color w:val="auto"/>
              </w:rPr>
            </w:pPr>
          </w:p>
        </w:tc>
        <w:tc>
          <w:tcPr>
            <w:tcW w:w="880" w:type="dxa"/>
            <w:vAlign w:val="bottom"/>
          </w:tcPr>
          <w:p>
            <w:pPr>
              <w:spacing w:after="0"/>
              <w:rPr>
                <w:sz w:val="2"/>
                <w:szCs w:val="2"/>
                <w:color w:val="auto"/>
              </w:rPr>
            </w:pPr>
          </w:p>
        </w:tc>
        <w:tc>
          <w:tcPr>
            <w:tcW w:w="800" w:type="dxa"/>
            <w:vAlign w:val="bottom"/>
          </w:tcPr>
          <w:p>
            <w:pPr>
              <w:spacing w:after="0"/>
              <w:rPr>
                <w:sz w:val="2"/>
                <w:szCs w:val="2"/>
                <w:color w:val="auto"/>
              </w:rPr>
            </w:pPr>
          </w:p>
        </w:tc>
        <w:tc>
          <w:tcPr>
            <w:tcW w:w="1680" w:type="dxa"/>
            <w:vAlign w:val="bottom"/>
            <w:gridSpan w:val="2"/>
          </w:tcPr>
          <w:p>
            <w:pPr>
              <w:spacing w:after="0"/>
              <w:rPr>
                <w:sz w:val="2"/>
                <w:szCs w:val="2"/>
                <w:color w:val="auto"/>
              </w:rPr>
            </w:pPr>
          </w:p>
        </w:tc>
        <w:tc>
          <w:tcPr>
            <w:tcW w:w="1600" w:type="dxa"/>
            <w:vAlign w:val="bottom"/>
            <w:gridSpan w:val="2"/>
          </w:tcPr>
          <w:p>
            <w:pPr>
              <w:spacing w:after="0"/>
              <w:rPr>
                <w:sz w:val="2"/>
                <w:szCs w:val="2"/>
                <w:color w:val="auto"/>
              </w:rPr>
            </w:pPr>
          </w:p>
        </w:tc>
      </w:tr>
      <w:tr>
        <w:trPr>
          <w:trHeight w:val="176"/>
        </w:trPr>
        <w:tc>
          <w:tcPr>
            <w:tcW w:w="2620" w:type="dxa"/>
            <w:vAlign w:val="bottom"/>
            <w:shd w:val="clear" w:color="auto" w:fill="E2E6F4"/>
          </w:tcPr>
          <w:p>
            <w:pPr>
              <w:ind w:left="20"/>
              <w:spacing w:after="0"/>
              <w:rPr>
                <w:sz w:val="20"/>
                <w:szCs w:val="20"/>
                <w:color w:val="auto"/>
              </w:rPr>
            </w:pPr>
            <w:r>
              <w:rPr>
                <w:rFonts w:ascii="Arial" w:cs="Arial" w:eastAsia="Arial" w:hAnsi="Arial"/>
                <w:sz w:val="13"/>
                <w:szCs w:val="13"/>
                <w:color w:val="auto"/>
              </w:rPr>
              <w:t>Subtraction: Value of "Stock Awards" and</w:t>
            </w:r>
          </w:p>
        </w:tc>
        <w:tc>
          <w:tcPr>
            <w:tcW w:w="2400" w:type="dxa"/>
            <w:vAlign w:val="bottom"/>
            <w:gridSpan w:val="3"/>
            <w:shd w:val="clear" w:color="auto" w:fill="E2E6F4"/>
          </w:tcPr>
          <w:p>
            <w:pPr>
              <w:jc w:val="right"/>
              <w:spacing w:after="0"/>
              <w:rPr>
                <w:sz w:val="20"/>
                <w:szCs w:val="20"/>
                <w:color w:val="auto"/>
              </w:rPr>
            </w:pPr>
            <w:r>
              <w:rPr>
                <w:rFonts w:ascii="Arial" w:cs="Arial" w:eastAsia="Arial" w:hAnsi="Arial"/>
                <w:sz w:val="13"/>
                <w:szCs w:val="13"/>
                <w:color w:val="auto"/>
              </w:rPr>
              <w:t>(22,002,279) (4,775,688) (19,999,288)</w:t>
            </w:r>
          </w:p>
        </w:tc>
        <w:tc>
          <w:tcPr>
            <w:tcW w:w="800" w:type="dxa"/>
            <w:vAlign w:val="bottom"/>
            <w:shd w:val="clear" w:color="auto" w:fill="E2E6F4"/>
          </w:tcPr>
          <w:p>
            <w:pPr>
              <w:jc w:val="right"/>
              <w:spacing w:after="0"/>
              <w:rPr>
                <w:sz w:val="20"/>
                <w:szCs w:val="20"/>
                <w:color w:val="auto"/>
              </w:rPr>
            </w:pPr>
            <w:r>
              <w:rPr>
                <w:rFonts w:ascii="Arial" w:cs="Arial" w:eastAsia="Arial" w:hAnsi="Arial"/>
                <w:sz w:val="13"/>
                <w:szCs w:val="13"/>
                <w:color w:val="auto"/>
              </w:rPr>
              <w:t>(6,930,814)</w:t>
            </w:r>
          </w:p>
        </w:tc>
        <w:tc>
          <w:tcPr>
            <w:tcW w:w="880" w:type="dxa"/>
            <w:vAlign w:val="bottom"/>
            <w:shd w:val="clear" w:color="auto" w:fill="E2E6F4"/>
          </w:tcPr>
          <w:p>
            <w:pPr>
              <w:jc w:val="right"/>
              <w:spacing w:after="0"/>
              <w:rPr>
                <w:sz w:val="20"/>
                <w:szCs w:val="20"/>
                <w:color w:val="auto"/>
              </w:rPr>
            </w:pPr>
            <w:r>
              <w:rPr>
                <w:rFonts w:ascii="Arial" w:cs="Arial" w:eastAsia="Arial" w:hAnsi="Arial"/>
                <w:sz w:val="13"/>
                <w:szCs w:val="13"/>
                <w:color w:val="auto"/>
              </w:rPr>
              <w:t>(19,997,672)</w:t>
            </w:r>
          </w:p>
        </w:tc>
        <w:tc>
          <w:tcPr>
            <w:tcW w:w="800" w:type="dxa"/>
            <w:vAlign w:val="bottom"/>
            <w:shd w:val="clear" w:color="auto" w:fill="E2E6F4"/>
          </w:tcPr>
          <w:p>
            <w:pPr>
              <w:jc w:val="right"/>
              <w:ind w:right="14"/>
              <w:spacing w:after="0"/>
              <w:rPr>
                <w:sz w:val="20"/>
                <w:szCs w:val="20"/>
                <w:color w:val="auto"/>
              </w:rPr>
            </w:pPr>
            <w:r>
              <w:rPr>
                <w:rFonts w:ascii="Arial" w:cs="Arial" w:eastAsia="Arial" w:hAnsi="Arial"/>
                <w:sz w:val="13"/>
                <w:szCs w:val="13"/>
                <w:color w:val="auto"/>
              </w:rPr>
              <w:t>(5,961,815)</w:t>
            </w:r>
          </w:p>
        </w:tc>
        <w:tc>
          <w:tcPr>
            <w:tcW w:w="1680" w:type="dxa"/>
            <w:vAlign w:val="bottom"/>
            <w:gridSpan w:val="2"/>
            <w:shd w:val="clear" w:color="auto" w:fill="E2E6F4"/>
          </w:tcPr>
          <w:p>
            <w:pPr>
              <w:jc w:val="right"/>
              <w:spacing w:after="0"/>
              <w:rPr>
                <w:sz w:val="20"/>
                <w:szCs w:val="20"/>
                <w:color w:val="auto"/>
              </w:rPr>
            </w:pPr>
            <w:r>
              <w:rPr>
                <w:rFonts w:ascii="Arial" w:cs="Arial" w:eastAsia="Arial" w:hAnsi="Arial"/>
                <w:sz w:val="13"/>
                <w:szCs w:val="13"/>
                <w:color w:val="auto"/>
              </w:rPr>
              <w:t>(15,000,172) (11,675,243)</w:t>
            </w:r>
          </w:p>
        </w:tc>
        <w:tc>
          <w:tcPr>
            <w:tcW w:w="1600" w:type="dxa"/>
            <w:vAlign w:val="bottom"/>
            <w:gridSpan w:val="2"/>
            <w:shd w:val="clear" w:color="auto" w:fill="E2E6F4"/>
          </w:tcPr>
          <w:p>
            <w:pPr>
              <w:jc w:val="right"/>
              <w:spacing w:after="0"/>
              <w:rPr>
                <w:sz w:val="20"/>
                <w:szCs w:val="20"/>
                <w:color w:val="auto"/>
              </w:rPr>
            </w:pPr>
            <w:r>
              <w:rPr>
                <w:rFonts w:ascii="Arial" w:cs="Arial" w:eastAsia="Arial" w:hAnsi="Arial"/>
                <w:sz w:val="13"/>
                <w:szCs w:val="13"/>
                <w:color w:val="auto"/>
              </w:rPr>
              <w:t>(25,709,208) (4,227,970)</w:t>
            </w:r>
          </w:p>
        </w:tc>
      </w:tr>
      <w:tr>
        <w:trPr>
          <w:trHeight w:val="162"/>
        </w:trPr>
        <w:tc>
          <w:tcPr>
            <w:tcW w:w="2620" w:type="dxa"/>
            <w:vAlign w:val="bottom"/>
            <w:shd w:val="clear" w:color="auto" w:fill="E2E6F4"/>
          </w:tcPr>
          <w:p>
            <w:pPr>
              <w:ind w:left="20"/>
              <w:spacing w:after="0"/>
              <w:rPr>
                <w:sz w:val="20"/>
                <w:szCs w:val="20"/>
                <w:color w:val="auto"/>
              </w:rPr>
            </w:pPr>
            <w:r>
              <w:rPr>
                <w:rFonts w:ascii="Arial" w:cs="Arial" w:eastAsia="Arial" w:hAnsi="Arial"/>
                <w:sz w:val="13"/>
                <w:szCs w:val="13"/>
                <w:color w:val="auto"/>
              </w:rPr>
              <w:t>"Option Awards" reported in Summary</w:t>
            </w:r>
          </w:p>
        </w:tc>
        <w:tc>
          <w:tcPr>
            <w:tcW w:w="820" w:type="dxa"/>
            <w:vAlign w:val="bottom"/>
            <w:shd w:val="clear" w:color="auto" w:fill="E2E6F4"/>
          </w:tcPr>
          <w:p>
            <w:pPr>
              <w:spacing w:after="0"/>
              <w:rPr>
                <w:sz w:val="14"/>
                <w:szCs w:val="14"/>
                <w:color w:val="auto"/>
              </w:rPr>
            </w:pPr>
          </w:p>
        </w:tc>
        <w:tc>
          <w:tcPr>
            <w:tcW w:w="780" w:type="dxa"/>
            <w:vAlign w:val="bottom"/>
            <w:shd w:val="clear" w:color="auto" w:fill="E2E6F4"/>
          </w:tcPr>
          <w:p>
            <w:pPr>
              <w:spacing w:after="0"/>
              <w:rPr>
                <w:sz w:val="14"/>
                <w:szCs w:val="14"/>
                <w:color w:val="auto"/>
              </w:rPr>
            </w:pPr>
          </w:p>
        </w:tc>
        <w:tc>
          <w:tcPr>
            <w:tcW w:w="800" w:type="dxa"/>
            <w:vAlign w:val="bottom"/>
            <w:shd w:val="clear" w:color="auto" w:fill="E2E6F4"/>
          </w:tcPr>
          <w:p>
            <w:pPr>
              <w:spacing w:after="0"/>
              <w:rPr>
                <w:sz w:val="14"/>
                <w:szCs w:val="14"/>
                <w:color w:val="auto"/>
              </w:rPr>
            </w:pPr>
          </w:p>
        </w:tc>
        <w:tc>
          <w:tcPr>
            <w:tcW w:w="800" w:type="dxa"/>
            <w:vAlign w:val="bottom"/>
            <w:shd w:val="clear" w:color="auto" w:fill="E2E6F4"/>
          </w:tcPr>
          <w:p>
            <w:pPr>
              <w:spacing w:after="0"/>
              <w:rPr>
                <w:sz w:val="14"/>
                <w:szCs w:val="14"/>
                <w:color w:val="auto"/>
              </w:rPr>
            </w:pPr>
          </w:p>
        </w:tc>
        <w:tc>
          <w:tcPr>
            <w:tcW w:w="880" w:type="dxa"/>
            <w:vAlign w:val="bottom"/>
            <w:shd w:val="clear" w:color="auto" w:fill="E2E6F4"/>
          </w:tcPr>
          <w:p>
            <w:pPr>
              <w:spacing w:after="0"/>
              <w:rPr>
                <w:sz w:val="14"/>
                <w:szCs w:val="14"/>
                <w:color w:val="auto"/>
              </w:rPr>
            </w:pPr>
          </w:p>
        </w:tc>
        <w:tc>
          <w:tcPr>
            <w:tcW w:w="800" w:type="dxa"/>
            <w:vAlign w:val="bottom"/>
            <w:shd w:val="clear" w:color="auto" w:fill="E2E6F4"/>
          </w:tcPr>
          <w:p>
            <w:pPr>
              <w:spacing w:after="0"/>
              <w:rPr>
                <w:sz w:val="14"/>
                <w:szCs w:val="14"/>
                <w:color w:val="auto"/>
              </w:rPr>
            </w:pPr>
          </w:p>
        </w:tc>
        <w:tc>
          <w:tcPr>
            <w:tcW w:w="860" w:type="dxa"/>
            <w:vAlign w:val="bottom"/>
            <w:shd w:val="clear" w:color="auto" w:fill="E2E6F4"/>
          </w:tcPr>
          <w:p>
            <w:pPr>
              <w:spacing w:after="0"/>
              <w:rPr>
                <w:sz w:val="14"/>
                <w:szCs w:val="14"/>
                <w:color w:val="auto"/>
              </w:rPr>
            </w:pPr>
          </w:p>
        </w:tc>
        <w:tc>
          <w:tcPr>
            <w:tcW w:w="820" w:type="dxa"/>
            <w:vAlign w:val="bottom"/>
            <w:shd w:val="clear" w:color="auto" w:fill="E2E6F4"/>
          </w:tcPr>
          <w:p>
            <w:pPr>
              <w:spacing w:after="0"/>
              <w:rPr>
                <w:sz w:val="14"/>
                <w:szCs w:val="14"/>
                <w:color w:val="auto"/>
              </w:rPr>
            </w:pPr>
          </w:p>
        </w:tc>
        <w:tc>
          <w:tcPr>
            <w:tcW w:w="860" w:type="dxa"/>
            <w:vAlign w:val="bottom"/>
            <w:shd w:val="clear" w:color="auto" w:fill="E2E6F4"/>
          </w:tcPr>
          <w:p>
            <w:pPr>
              <w:spacing w:after="0"/>
              <w:rPr>
                <w:sz w:val="14"/>
                <w:szCs w:val="14"/>
                <w:color w:val="auto"/>
              </w:rPr>
            </w:pPr>
          </w:p>
        </w:tc>
        <w:tc>
          <w:tcPr>
            <w:tcW w:w="740" w:type="dxa"/>
            <w:vAlign w:val="bottom"/>
            <w:shd w:val="clear" w:color="auto" w:fill="E2E6F4"/>
          </w:tcPr>
          <w:p>
            <w:pPr>
              <w:spacing w:after="0"/>
              <w:rPr>
                <w:sz w:val="14"/>
                <w:szCs w:val="14"/>
                <w:color w:val="auto"/>
              </w:rPr>
            </w:pPr>
          </w:p>
        </w:tc>
      </w:tr>
      <w:tr>
        <w:trPr>
          <w:trHeight w:val="182"/>
        </w:trPr>
        <w:tc>
          <w:tcPr>
            <w:tcW w:w="2620" w:type="dxa"/>
            <w:vAlign w:val="bottom"/>
            <w:tcBorders>
              <w:bottom w:val="single" w:sz="8" w:color="E2E6F4"/>
            </w:tcBorders>
            <w:shd w:val="clear" w:color="auto" w:fill="E2E6F4"/>
          </w:tcPr>
          <w:p>
            <w:pPr>
              <w:ind w:left="20"/>
              <w:spacing w:after="0"/>
              <w:rPr>
                <w:sz w:val="20"/>
                <w:szCs w:val="20"/>
                <w:color w:val="auto"/>
              </w:rPr>
            </w:pPr>
            <w:r>
              <w:rPr>
                <w:rFonts w:ascii="Arial" w:cs="Arial" w:eastAsia="Arial" w:hAnsi="Arial"/>
                <w:sz w:val="13"/>
                <w:szCs w:val="13"/>
                <w:color w:val="auto"/>
              </w:rPr>
              <w:t>Compensation Table</w:t>
            </w:r>
          </w:p>
        </w:tc>
        <w:tc>
          <w:tcPr>
            <w:tcW w:w="820" w:type="dxa"/>
            <w:vAlign w:val="bottom"/>
            <w:tcBorders>
              <w:bottom w:val="single" w:sz="8" w:color="E2E6F4"/>
            </w:tcBorders>
            <w:shd w:val="clear" w:color="auto" w:fill="E2E6F4"/>
          </w:tcPr>
          <w:p>
            <w:pPr>
              <w:spacing w:after="0"/>
              <w:rPr>
                <w:sz w:val="15"/>
                <w:szCs w:val="15"/>
                <w:color w:val="auto"/>
              </w:rPr>
            </w:pPr>
          </w:p>
        </w:tc>
        <w:tc>
          <w:tcPr>
            <w:tcW w:w="780" w:type="dxa"/>
            <w:vAlign w:val="bottom"/>
            <w:tcBorders>
              <w:bottom w:val="single" w:sz="8" w:color="E2E6F4"/>
            </w:tcBorders>
            <w:shd w:val="clear" w:color="auto" w:fill="E2E6F4"/>
          </w:tcPr>
          <w:p>
            <w:pPr>
              <w:spacing w:after="0"/>
              <w:rPr>
                <w:sz w:val="15"/>
                <w:szCs w:val="15"/>
                <w:color w:val="auto"/>
              </w:rPr>
            </w:pPr>
          </w:p>
        </w:tc>
        <w:tc>
          <w:tcPr>
            <w:tcW w:w="800" w:type="dxa"/>
            <w:vAlign w:val="bottom"/>
            <w:tcBorders>
              <w:bottom w:val="single" w:sz="8" w:color="E2E6F4"/>
            </w:tcBorders>
            <w:shd w:val="clear" w:color="auto" w:fill="E2E6F4"/>
          </w:tcPr>
          <w:p>
            <w:pPr>
              <w:spacing w:after="0"/>
              <w:rPr>
                <w:sz w:val="15"/>
                <w:szCs w:val="15"/>
                <w:color w:val="auto"/>
              </w:rPr>
            </w:pPr>
          </w:p>
        </w:tc>
        <w:tc>
          <w:tcPr>
            <w:tcW w:w="800" w:type="dxa"/>
            <w:vAlign w:val="bottom"/>
            <w:tcBorders>
              <w:bottom w:val="single" w:sz="8" w:color="E2E6F4"/>
            </w:tcBorders>
            <w:shd w:val="clear" w:color="auto" w:fill="E2E6F4"/>
          </w:tcPr>
          <w:p>
            <w:pPr>
              <w:spacing w:after="0"/>
              <w:rPr>
                <w:sz w:val="15"/>
                <w:szCs w:val="15"/>
                <w:color w:val="auto"/>
              </w:rPr>
            </w:pPr>
          </w:p>
        </w:tc>
        <w:tc>
          <w:tcPr>
            <w:tcW w:w="880" w:type="dxa"/>
            <w:vAlign w:val="bottom"/>
            <w:tcBorders>
              <w:bottom w:val="single" w:sz="8" w:color="E2E6F4"/>
            </w:tcBorders>
            <w:shd w:val="clear" w:color="auto" w:fill="E2E6F4"/>
          </w:tcPr>
          <w:p>
            <w:pPr>
              <w:spacing w:after="0"/>
              <w:rPr>
                <w:sz w:val="15"/>
                <w:szCs w:val="15"/>
                <w:color w:val="auto"/>
              </w:rPr>
            </w:pPr>
          </w:p>
        </w:tc>
        <w:tc>
          <w:tcPr>
            <w:tcW w:w="800" w:type="dxa"/>
            <w:vAlign w:val="bottom"/>
            <w:tcBorders>
              <w:bottom w:val="single" w:sz="8" w:color="E2E6F4"/>
            </w:tcBorders>
            <w:shd w:val="clear" w:color="auto" w:fill="E2E6F4"/>
          </w:tcPr>
          <w:p>
            <w:pPr>
              <w:spacing w:after="0"/>
              <w:rPr>
                <w:sz w:val="15"/>
                <w:szCs w:val="15"/>
                <w:color w:val="auto"/>
              </w:rPr>
            </w:pPr>
          </w:p>
        </w:tc>
        <w:tc>
          <w:tcPr>
            <w:tcW w:w="860" w:type="dxa"/>
            <w:vAlign w:val="bottom"/>
            <w:tcBorders>
              <w:bottom w:val="single" w:sz="8" w:color="E2E6F4"/>
            </w:tcBorders>
            <w:shd w:val="clear" w:color="auto" w:fill="E2E6F4"/>
          </w:tcPr>
          <w:p>
            <w:pPr>
              <w:spacing w:after="0"/>
              <w:rPr>
                <w:sz w:val="15"/>
                <w:szCs w:val="15"/>
                <w:color w:val="auto"/>
              </w:rPr>
            </w:pPr>
          </w:p>
        </w:tc>
        <w:tc>
          <w:tcPr>
            <w:tcW w:w="820" w:type="dxa"/>
            <w:vAlign w:val="bottom"/>
            <w:tcBorders>
              <w:bottom w:val="single" w:sz="8" w:color="E2E6F4"/>
            </w:tcBorders>
            <w:shd w:val="clear" w:color="auto" w:fill="E2E6F4"/>
          </w:tcPr>
          <w:p>
            <w:pPr>
              <w:spacing w:after="0"/>
              <w:rPr>
                <w:sz w:val="15"/>
                <w:szCs w:val="15"/>
                <w:color w:val="auto"/>
              </w:rPr>
            </w:pPr>
          </w:p>
        </w:tc>
        <w:tc>
          <w:tcPr>
            <w:tcW w:w="860" w:type="dxa"/>
            <w:vAlign w:val="bottom"/>
            <w:tcBorders>
              <w:bottom w:val="single" w:sz="8" w:color="E2E6F4"/>
            </w:tcBorders>
            <w:shd w:val="clear" w:color="auto" w:fill="E2E6F4"/>
          </w:tcPr>
          <w:p>
            <w:pPr>
              <w:spacing w:after="0"/>
              <w:rPr>
                <w:sz w:val="15"/>
                <w:szCs w:val="15"/>
                <w:color w:val="auto"/>
              </w:rPr>
            </w:pPr>
          </w:p>
        </w:tc>
        <w:tc>
          <w:tcPr>
            <w:tcW w:w="740" w:type="dxa"/>
            <w:vAlign w:val="bottom"/>
            <w:tcBorders>
              <w:bottom w:val="single" w:sz="8" w:color="E2E6F4"/>
            </w:tcBorders>
            <w:shd w:val="clear" w:color="auto" w:fill="E2E6F4"/>
          </w:tcPr>
          <w:p>
            <w:pPr>
              <w:spacing w:after="0"/>
              <w:rPr>
                <w:sz w:val="15"/>
                <w:szCs w:val="15"/>
                <w:color w:val="auto"/>
              </w:rPr>
            </w:pPr>
          </w:p>
        </w:tc>
      </w:tr>
      <w:tr>
        <w:trPr>
          <w:trHeight w:val="176"/>
        </w:trPr>
        <w:tc>
          <w:tcPr>
            <w:tcW w:w="2620" w:type="dxa"/>
            <w:vAlign w:val="bottom"/>
          </w:tcPr>
          <w:p>
            <w:pPr>
              <w:ind w:left="20"/>
              <w:spacing w:after="0"/>
              <w:rPr>
                <w:sz w:val="20"/>
                <w:szCs w:val="20"/>
                <w:color w:val="auto"/>
              </w:rPr>
            </w:pPr>
            <w:r>
              <w:rPr>
                <w:rFonts w:ascii="Arial" w:cs="Arial" w:eastAsia="Arial" w:hAnsi="Arial"/>
                <w:sz w:val="13"/>
                <w:szCs w:val="13"/>
                <w:color w:val="auto"/>
              </w:rPr>
              <w:t>Addition: Year-end fair value of equity</w:t>
            </w:r>
          </w:p>
        </w:tc>
        <w:tc>
          <w:tcPr>
            <w:tcW w:w="820" w:type="dxa"/>
            <w:vAlign w:val="bottom"/>
          </w:tcPr>
          <w:p>
            <w:pPr>
              <w:jc w:val="right"/>
              <w:ind w:right="14"/>
              <w:spacing w:after="0"/>
              <w:rPr>
                <w:sz w:val="20"/>
                <w:szCs w:val="20"/>
                <w:color w:val="auto"/>
              </w:rPr>
            </w:pPr>
            <w:r>
              <w:rPr>
                <w:rFonts w:ascii="Arial" w:cs="Arial" w:eastAsia="Arial" w:hAnsi="Arial"/>
                <w:sz w:val="13"/>
                <w:szCs w:val="13"/>
                <w:color w:val="auto"/>
              </w:rPr>
              <w:t>45,756,195</w:t>
            </w:r>
          </w:p>
        </w:tc>
        <w:tc>
          <w:tcPr>
            <w:tcW w:w="780" w:type="dxa"/>
            <w:vAlign w:val="bottom"/>
          </w:tcPr>
          <w:p>
            <w:pPr>
              <w:jc w:val="right"/>
              <w:ind w:right="35"/>
              <w:spacing w:after="0"/>
              <w:rPr>
                <w:sz w:val="20"/>
                <w:szCs w:val="20"/>
                <w:color w:val="auto"/>
              </w:rPr>
            </w:pPr>
            <w:r>
              <w:rPr>
                <w:rFonts w:ascii="Arial" w:cs="Arial" w:eastAsia="Arial" w:hAnsi="Arial"/>
                <w:sz w:val="13"/>
                <w:szCs w:val="13"/>
                <w:color w:val="auto"/>
              </w:rPr>
              <w:t>9,545,161</w:t>
            </w:r>
          </w:p>
        </w:tc>
        <w:tc>
          <w:tcPr>
            <w:tcW w:w="800" w:type="dxa"/>
            <w:vAlign w:val="bottom"/>
          </w:tcPr>
          <w:p>
            <w:pPr>
              <w:jc w:val="right"/>
              <w:ind w:right="14"/>
              <w:spacing w:after="0"/>
              <w:rPr>
                <w:sz w:val="20"/>
                <w:szCs w:val="20"/>
                <w:color w:val="auto"/>
              </w:rPr>
            </w:pPr>
            <w:r>
              <w:rPr>
                <w:rFonts w:ascii="Arial" w:cs="Arial" w:eastAsia="Arial" w:hAnsi="Arial"/>
                <w:sz w:val="13"/>
                <w:szCs w:val="13"/>
                <w:color w:val="auto"/>
              </w:rPr>
              <w:t>21,619,188</w:t>
            </w:r>
          </w:p>
        </w:tc>
        <w:tc>
          <w:tcPr>
            <w:tcW w:w="800" w:type="dxa"/>
            <w:vAlign w:val="bottom"/>
          </w:tcPr>
          <w:p>
            <w:pPr>
              <w:jc w:val="right"/>
              <w:ind w:right="34"/>
              <w:spacing w:after="0"/>
              <w:rPr>
                <w:sz w:val="20"/>
                <w:szCs w:val="20"/>
                <w:color w:val="auto"/>
              </w:rPr>
            </w:pPr>
            <w:r>
              <w:rPr>
                <w:rFonts w:ascii="Arial" w:cs="Arial" w:eastAsia="Arial" w:hAnsi="Arial"/>
                <w:sz w:val="13"/>
                <w:szCs w:val="13"/>
                <w:color w:val="auto"/>
              </w:rPr>
              <w:t>7,651,058</w:t>
            </w:r>
          </w:p>
        </w:tc>
        <w:tc>
          <w:tcPr>
            <w:tcW w:w="880" w:type="dxa"/>
            <w:vAlign w:val="bottom"/>
          </w:tcPr>
          <w:p>
            <w:pPr>
              <w:jc w:val="right"/>
              <w:ind w:right="34"/>
              <w:spacing w:after="0"/>
              <w:rPr>
                <w:sz w:val="20"/>
                <w:szCs w:val="20"/>
                <w:color w:val="auto"/>
              </w:rPr>
            </w:pPr>
            <w:r>
              <w:rPr>
                <w:rFonts w:ascii="Arial" w:cs="Arial" w:eastAsia="Arial" w:hAnsi="Arial"/>
                <w:sz w:val="13"/>
                <w:szCs w:val="13"/>
                <w:color w:val="auto"/>
              </w:rPr>
              <w:t>10,652,649</w:t>
            </w:r>
          </w:p>
        </w:tc>
        <w:tc>
          <w:tcPr>
            <w:tcW w:w="800" w:type="dxa"/>
            <w:vAlign w:val="bottom"/>
          </w:tcPr>
          <w:p>
            <w:pPr>
              <w:ind w:left="80"/>
              <w:spacing w:after="0"/>
              <w:rPr>
                <w:sz w:val="20"/>
                <w:szCs w:val="20"/>
                <w:color w:val="auto"/>
              </w:rPr>
            </w:pPr>
            <w:r>
              <w:rPr>
                <w:rFonts w:ascii="Arial" w:cs="Arial" w:eastAsia="Arial" w:hAnsi="Arial"/>
                <w:sz w:val="13"/>
                <w:szCs w:val="13"/>
                <w:color w:val="auto"/>
              </w:rPr>
              <w:t>3,394,259</w:t>
            </w:r>
          </w:p>
        </w:tc>
        <w:tc>
          <w:tcPr>
            <w:tcW w:w="860" w:type="dxa"/>
            <w:vAlign w:val="bottom"/>
          </w:tcPr>
          <w:p>
            <w:pPr>
              <w:jc w:val="right"/>
              <w:ind w:right="14"/>
              <w:spacing w:after="0"/>
              <w:rPr>
                <w:sz w:val="20"/>
                <w:szCs w:val="20"/>
                <w:color w:val="auto"/>
              </w:rPr>
            </w:pPr>
            <w:r>
              <w:rPr>
                <w:rFonts w:ascii="Arial" w:cs="Arial" w:eastAsia="Arial" w:hAnsi="Arial"/>
                <w:sz w:val="13"/>
                <w:szCs w:val="13"/>
                <w:color w:val="auto"/>
              </w:rPr>
              <w:t>17,591,835</w:t>
            </w:r>
          </w:p>
        </w:tc>
        <w:tc>
          <w:tcPr>
            <w:tcW w:w="820" w:type="dxa"/>
            <w:vAlign w:val="bottom"/>
          </w:tcPr>
          <w:p>
            <w:pPr>
              <w:jc w:val="right"/>
              <w:ind w:right="35"/>
              <w:spacing w:after="0"/>
              <w:rPr>
                <w:sz w:val="20"/>
                <w:szCs w:val="20"/>
                <w:color w:val="auto"/>
              </w:rPr>
            </w:pPr>
            <w:r>
              <w:rPr>
                <w:rFonts w:ascii="Arial" w:cs="Arial" w:eastAsia="Arial" w:hAnsi="Arial"/>
                <w:sz w:val="13"/>
                <w:szCs w:val="13"/>
                <w:color w:val="auto"/>
              </w:rPr>
              <w:t>13,943,196</w:t>
            </w:r>
          </w:p>
        </w:tc>
        <w:tc>
          <w:tcPr>
            <w:tcW w:w="860" w:type="dxa"/>
            <w:vAlign w:val="bottom"/>
          </w:tcPr>
          <w:p>
            <w:pPr>
              <w:jc w:val="right"/>
              <w:ind w:right="14"/>
              <w:spacing w:after="0"/>
              <w:rPr>
                <w:sz w:val="20"/>
                <w:szCs w:val="20"/>
                <w:color w:val="auto"/>
              </w:rPr>
            </w:pPr>
            <w:r>
              <w:rPr>
                <w:rFonts w:ascii="Arial" w:cs="Arial" w:eastAsia="Arial" w:hAnsi="Arial"/>
                <w:sz w:val="13"/>
                <w:szCs w:val="13"/>
                <w:color w:val="auto"/>
              </w:rPr>
              <w:t>37,910,145</w:t>
            </w:r>
          </w:p>
        </w:tc>
        <w:tc>
          <w:tcPr>
            <w:tcW w:w="740" w:type="dxa"/>
            <w:vAlign w:val="bottom"/>
          </w:tcPr>
          <w:p>
            <w:pPr>
              <w:jc w:val="right"/>
              <w:spacing w:after="0"/>
              <w:rPr>
                <w:sz w:val="20"/>
                <w:szCs w:val="20"/>
                <w:color w:val="auto"/>
              </w:rPr>
            </w:pPr>
            <w:r>
              <w:rPr>
                <w:rFonts w:ascii="Arial" w:cs="Arial" w:eastAsia="Arial" w:hAnsi="Arial"/>
                <w:sz w:val="13"/>
                <w:szCs w:val="13"/>
                <w:color w:val="auto"/>
              </w:rPr>
              <w:t>5,760,968</w:t>
            </w:r>
          </w:p>
        </w:tc>
      </w:tr>
      <w:tr>
        <w:trPr>
          <w:trHeight w:val="162"/>
        </w:trPr>
        <w:tc>
          <w:tcPr>
            <w:tcW w:w="2620" w:type="dxa"/>
            <w:vAlign w:val="bottom"/>
          </w:tcPr>
          <w:p>
            <w:pPr>
              <w:ind w:left="20"/>
              <w:spacing w:after="0"/>
              <w:rPr>
                <w:sz w:val="20"/>
                <w:szCs w:val="20"/>
                <w:color w:val="auto"/>
              </w:rPr>
            </w:pPr>
            <w:r>
              <w:rPr>
                <w:rFonts w:ascii="Arial" w:cs="Arial" w:eastAsia="Arial" w:hAnsi="Arial"/>
                <w:sz w:val="13"/>
                <w:szCs w:val="13"/>
                <w:color w:val="auto"/>
              </w:rPr>
              <w:t>awards granted during the covered fiscal</w:t>
            </w:r>
          </w:p>
        </w:tc>
        <w:tc>
          <w:tcPr>
            <w:tcW w:w="8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62"/>
        </w:trPr>
        <w:tc>
          <w:tcPr>
            <w:tcW w:w="2620" w:type="dxa"/>
            <w:vAlign w:val="bottom"/>
          </w:tcPr>
          <w:p>
            <w:pPr>
              <w:ind w:left="20"/>
              <w:spacing w:after="0"/>
              <w:rPr>
                <w:sz w:val="20"/>
                <w:szCs w:val="20"/>
                <w:color w:val="auto"/>
              </w:rPr>
            </w:pPr>
            <w:r>
              <w:rPr>
                <w:rFonts w:ascii="Arial" w:cs="Arial" w:eastAsia="Arial" w:hAnsi="Arial"/>
                <w:sz w:val="13"/>
                <w:szCs w:val="13"/>
                <w:color w:val="auto"/>
              </w:rPr>
              <w:t>year that were outstanding and unvested</w:t>
            </w:r>
          </w:p>
        </w:tc>
        <w:tc>
          <w:tcPr>
            <w:tcW w:w="8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76"/>
        </w:trPr>
        <w:tc>
          <w:tcPr>
            <w:tcW w:w="2620" w:type="dxa"/>
            <w:vAlign w:val="bottom"/>
          </w:tcPr>
          <w:p>
            <w:pPr>
              <w:ind w:left="20"/>
              <w:spacing w:after="0"/>
              <w:rPr>
                <w:sz w:val="20"/>
                <w:szCs w:val="20"/>
                <w:color w:val="auto"/>
              </w:rPr>
            </w:pPr>
            <w:r>
              <w:rPr>
                <w:rFonts w:ascii="Arial" w:cs="Arial" w:eastAsia="Arial" w:hAnsi="Arial"/>
                <w:sz w:val="13"/>
                <w:szCs w:val="13"/>
                <w:color w:val="auto"/>
              </w:rPr>
              <w:t>at the covered fiscal year end</w:t>
            </w:r>
          </w:p>
        </w:tc>
        <w:tc>
          <w:tcPr>
            <w:tcW w:w="8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740" w:type="dxa"/>
            <w:vAlign w:val="bottom"/>
          </w:tcPr>
          <w:p>
            <w:pPr>
              <w:spacing w:after="0"/>
              <w:rPr>
                <w:sz w:val="15"/>
                <w:szCs w:val="15"/>
                <w:color w:val="auto"/>
              </w:rPr>
            </w:pPr>
          </w:p>
        </w:tc>
      </w:tr>
      <w:tr>
        <w:trPr>
          <w:trHeight w:val="25"/>
        </w:trPr>
        <w:tc>
          <w:tcPr>
            <w:tcW w:w="2620" w:type="dxa"/>
            <w:vAlign w:val="bottom"/>
          </w:tcPr>
          <w:p>
            <w:pPr>
              <w:spacing w:after="0"/>
              <w:rPr>
                <w:sz w:val="2"/>
                <w:szCs w:val="2"/>
                <w:color w:val="auto"/>
              </w:rPr>
            </w:pPr>
          </w:p>
        </w:tc>
        <w:tc>
          <w:tcPr>
            <w:tcW w:w="820" w:type="dxa"/>
            <w:vAlign w:val="bottom"/>
          </w:tcPr>
          <w:p>
            <w:pPr>
              <w:spacing w:after="0"/>
              <w:rPr>
                <w:sz w:val="2"/>
                <w:szCs w:val="2"/>
                <w:color w:val="auto"/>
              </w:rPr>
            </w:pPr>
          </w:p>
        </w:tc>
        <w:tc>
          <w:tcPr>
            <w:tcW w:w="780" w:type="dxa"/>
            <w:vAlign w:val="bottom"/>
          </w:tcPr>
          <w:p>
            <w:pPr>
              <w:spacing w:after="0"/>
              <w:rPr>
                <w:sz w:val="2"/>
                <w:szCs w:val="2"/>
                <w:color w:val="auto"/>
              </w:rPr>
            </w:pPr>
          </w:p>
        </w:tc>
        <w:tc>
          <w:tcPr>
            <w:tcW w:w="800" w:type="dxa"/>
            <w:vAlign w:val="bottom"/>
          </w:tcPr>
          <w:p>
            <w:pPr>
              <w:spacing w:after="0"/>
              <w:rPr>
                <w:sz w:val="2"/>
                <w:szCs w:val="2"/>
                <w:color w:val="auto"/>
              </w:rPr>
            </w:pPr>
          </w:p>
        </w:tc>
        <w:tc>
          <w:tcPr>
            <w:tcW w:w="800" w:type="dxa"/>
            <w:vAlign w:val="bottom"/>
          </w:tcPr>
          <w:p>
            <w:pPr>
              <w:spacing w:after="0"/>
              <w:rPr>
                <w:sz w:val="2"/>
                <w:szCs w:val="2"/>
                <w:color w:val="auto"/>
              </w:rPr>
            </w:pPr>
          </w:p>
        </w:tc>
        <w:tc>
          <w:tcPr>
            <w:tcW w:w="880" w:type="dxa"/>
            <w:vAlign w:val="bottom"/>
          </w:tcPr>
          <w:p>
            <w:pPr>
              <w:spacing w:after="0"/>
              <w:rPr>
                <w:sz w:val="2"/>
                <w:szCs w:val="2"/>
                <w:color w:val="auto"/>
              </w:rPr>
            </w:pPr>
          </w:p>
        </w:tc>
        <w:tc>
          <w:tcPr>
            <w:tcW w:w="800" w:type="dxa"/>
            <w:vAlign w:val="bottom"/>
          </w:tcPr>
          <w:p>
            <w:pPr>
              <w:spacing w:after="0"/>
              <w:rPr>
                <w:sz w:val="2"/>
                <w:szCs w:val="2"/>
                <w:color w:val="auto"/>
              </w:rPr>
            </w:pPr>
          </w:p>
        </w:tc>
        <w:tc>
          <w:tcPr>
            <w:tcW w:w="860" w:type="dxa"/>
            <w:vAlign w:val="bottom"/>
          </w:tcPr>
          <w:p>
            <w:pPr>
              <w:spacing w:after="0"/>
              <w:rPr>
                <w:sz w:val="2"/>
                <w:szCs w:val="2"/>
                <w:color w:val="auto"/>
              </w:rPr>
            </w:pPr>
          </w:p>
        </w:tc>
        <w:tc>
          <w:tcPr>
            <w:tcW w:w="820" w:type="dxa"/>
            <w:vAlign w:val="bottom"/>
          </w:tcPr>
          <w:p>
            <w:pPr>
              <w:spacing w:after="0"/>
              <w:rPr>
                <w:sz w:val="2"/>
                <w:szCs w:val="2"/>
                <w:color w:val="auto"/>
              </w:rPr>
            </w:pPr>
          </w:p>
        </w:tc>
        <w:tc>
          <w:tcPr>
            <w:tcW w:w="860" w:type="dxa"/>
            <w:vAlign w:val="bottom"/>
          </w:tcPr>
          <w:p>
            <w:pPr>
              <w:spacing w:after="0"/>
              <w:rPr>
                <w:sz w:val="2"/>
                <w:szCs w:val="2"/>
                <w:color w:val="auto"/>
              </w:rPr>
            </w:pPr>
          </w:p>
        </w:tc>
        <w:tc>
          <w:tcPr>
            <w:tcW w:w="740" w:type="dxa"/>
            <w:vAlign w:val="bottom"/>
          </w:tcPr>
          <w:p>
            <w:pPr>
              <w:spacing w:after="0"/>
              <w:rPr>
                <w:sz w:val="2"/>
                <w:szCs w:val="2"/>
                <w:color w:val="auto"/>
              </w:rPr>
            </w:pPr>
          </w:p>
        </w:tc>
      </w:tr>
      <w:tr>
        <w:trPr>
          <w:trHeight w:val="176"/>
        </w:trPr>
        <w:tc>
          <w:tcPr>
            <w:tcW w:w="2620" w:type="dxa"/>
            <w:vAlign w:val="bottom"/>
            <w:shd w:val="clear" w:color="auto" w:fill="E2E6F4"/>
          </w:tcPr>
          <w:p>
            <w:pPr>
              <w:ind w:left="20"/>
              <w:spacing w:after="0"/>
              <w:rPr>
                <w:sz w:val="20"/>
                <w:szCs w:val="20"/>
                <w:color w:val="auto"/>
              </w:rPr>
            </w:pPr>
            <w:r>
              <w:rPr>
                <w:rFonts w:ascii="Arial" w:cs="Arial" w:eastAsia="Arial" w:hAnsi="Arial"/>
                <w:sz w:val="13"/>
                <w:szCs w:val="13"/>
                <w:color w:val="auto"/>
              </w:rPr>
              <w:t>Addition (Subtraction): Year-over-year</w:t>
            </w:r>
          </w:p>
        </w:tc>
        <w:tc>
          <w:tcPr>
            <w:tcW w:w="820" w:type="dxa"/>
            <w:vAlign w:val="bottom"/>
            <w:shd w:val="clear" w:color="auto" w:fill="E2E6F4"/>
          </w:tcPr>
          <w:p>
            <w:pPr>
              <w:jc w:val="right"/>
              <w:ind w:right="14"/>
              <w:spacing w:after="0"/>
              <w:rPr>
                <w:sz w:val="20"/>
                <w:szCs w:val="20"/>
                <w:color w:val="auto"/>
              </w:rPr>
            </w:pPr>
            <w:r>
              <w:rPr>
                <w:rFonts w:ascii="Arial" w:cs="Arial" w:eastAsia="Arial" w:hAnsi="Arial"/>
                <w:sz w:val="13"/>
                <w:szCs w:val="13"/>
                <w:color w:val="auto"/>
              </w:rPr>
              <w:t>7,385,810</w:t>
            </w:r>
          </w:p>
        </w:tc>
        <w:tc>
          <w:tcPr>
            <w:tcW w:w="780" w:type="dxa"/>
            <w:vAlign w:val="bottom"/>
            <w:shd w:val="clear" w:color="auto" w:fill="E2E6F4"/>
          </w:tcPr>
          <w:p>
            <w:pPr>
              <w:jc w:val="right"/>
              <w:ind w:right="35"/>
              <w:spacing w:after="0"/>
              <w:rPr>
                <w:sz w:val="20"/>
                <w:szCs w:val="20"/>
                <w:color w:val="auto"/>
              </w:rPr>
            </w:pPr>
            <w:r>
              <w:rPr>
                <w:rFonts w:ascii="Arial" w:cs="Arial" w:eastAsia="Arial" w:hAnsi="Arial"/>
                <w:sz w:val="13"/>
                <w:szCs w:val="13"/>
                <w:color w:val="auto"/>
              </w:rPr>
              <w:t>1,314,575</w:t>
            </w:r>
          </w:p>
        </w:tc>
        <w:tc>
          <w:tcPr>
            <w:tcW w:w="800" w:type="dxa"/>
            <w:vAlign w:val="bottom"/>
            <w:shd w:val="clear" w:color="auto" w:fill="E2E6F4"/>
          </w:tcPr>
          <w:p>
            <w:pPr>
              <w:jc w:val="right"/>
              <w:ind w:right="14"/>
              <w:spacing w:after="0"/>
              <w:rPr>
                <w:sz w:val="20"/>
                <w:szCs w:val="20"/>
                <w:color w:val="auto"/>
              </w:rPr>
            </w:pPr>
            <w:r>
              <w:rPr>
                <w:rFonts w:ascii="Arial" w:cs="Arial" w:eastAsia="Arial" w:hAnsi="Arial"/>
                <w:sz w:val="13"/>
                <w:szCs w:val="13"/>
                <w:color w:val="auto"/>
              </w:rPr>
              <w:t>32,815,641</w:t>
            </w:r>
          </w:p>
        </w:tc>
        <w:tc>
          <w:tcPr>
            <w:tcW w:w="800" w:type="dxa"/>
            <w:vAlign w:val="bottom"/>
            <w:shd w:val="clear" w:color="auto" w:fill="E2E6F4"/>
          </w:tcPr>
          <w:p>
            <w:pPr>
              <w:jc w:val="right"/>
              <w:ind w:right="34"/>
              <w:spacing w:after="0"/>
              <w:rPr>
                <w:sz w:val="20"/>
                <w:szCs w:val="20"/>
                <w:color w:val="auto"/>
              </w:rPr>
            </w:pPr>
            <w:r>
              <w:rPr>
                <w:rFonts w:ascii="Arial" w:cs="Arial" w:eastAsia="Arial" w:hAnsi="Arial"/>
                <w:sz w:val="13"/>
                <w:szCs w:val="13"/>
                <w:color w:val="auto"/>
              </w:rPr>
              <w:t>3,698,421</w:t>
            </w:r>
          </w:p>
        </w:tc>
        <w:tc>
          <w:tcPr>
            <w:tcW w:w="880" w:type="dxa"/>
            <w:vAlign w:val="bottom"/>
            <w:shd w:val="clear" w:color="auto" w:fill="E2E6F4"/>
          </w:tcPr>
          <w:p>
            <w:pPr>
              <w:jc w:val="right"/>
              <w:ind w:right="34"/>
              <w:spacing w:after="0"/>
              <w:rPr>
                <w:sz w:val="20"/>
                <w:szCs w:val="20"/>
                <w:color w:val="auto"/>
              </w:rPr>
            </w:pPr>
            <w:r>
              <w:rPr>
                <w:rFonts w:ascii="Arial" w:cs="Arial" w:eastAsia="Arial" w:hAnsi="Arial"/>
                <w:sz w:val="13"/>
                <w:szCs w:val="13"/>
                <w:color w:val="auto"/>
              </w:rPr>
              <w:t>3,797,427</w:t>
            </w:r>
          </w:p>
        </w:tc>
        <w:tc>
          <w:tcPr>
            <w:tcW w:w="800" w:type="dxa"/>
            <w:vAlign w:val="bottom"/>
            <w:shd w:val="clear" w:color="auto" w:fill="E2E6F4"/>
          </w:tcPr>
          <w:p>
            <w:pPr>
              <w:ind w:left="80"/>
              <w:spacing w:after="0"/>
              <w:rPr>
                <w:sz w:val="20"/>
                <w:szCs w:val="20"/>
                <w:color w:val="auto"/>
              </w:rPr>
            </w:pPr>
            <w:r>
              <w:rPr>
                <w:rFonts w:ascii="Arial" w:cs="Arial" w:eastAsia="Arial" w:hAnsi="Arial"/>
                <w:sz w:val="13"/>
                <w:szCs w:val="13"/>
                <w:color w:val="auto"/>
              </w:rPr>
              <w:t>1,460,174</w:t>
            </w:r>
          </w:p>
        </w:tc>
        <w:tc>
          <w:tcPr>
            <w:tcW w:w="860" w:type="dxa"/>
            <w:vAlign w:val="bottom"/>
            <w:shd w:val="clear" w:color="auto" w:fill="E2E6F4"/>
          </w:tcPr>
          <w:p>
            <w:pPr>
              <w:jc w:val="right"/>
              <w:spacing w:after="0"/>
              <w:rPr>
                <w:sz w:val="20"/>
                <w:szCs w:val="20"/>
                <w:color w:val="auto"/>
              </w:rPr>
            </w:pPr>
            <w:r>
              <w:rPr>
                <w:rFonts w:ascii="Arial" w:cs="Arial" w:eastAsia="Arial" w:hAnsi="Arial"/>
                <w:sz w:val="13"/>
                <w:szCs w:val="13"/>
                <w:color w:val="auto"/>
              </w:rPr>
              <w:t>(10,818,041)</w:t>
            </w:r>
          </w:p>
        </w:tc>
        <w:tc>
          <w:tcPr>
            <w:tcW w:w="820" w:type="dxa"/>
            <w:vAlign w:val="bottom"/>
            <w:shd w:val="clear" w:color="auto" w:fill="E2E6F4"/>
          </w:tcPr>
          <w:p>
            <w:pPr>
              <w:jc w:val="right"/>
              <w:ind w:right="35"/>
              <w:spacing w:after="0"/>
              <w:rPr>
                <w:sz w:val="20"/>
                <w:szCs w:val="20"/>
                <w:color w:val="auto"/>
              </w:rPr>
            </w:pPr>
            <w:r>
              <w:rPr>
                <w:rFonts w:ascii="Arial" w:cs="Arial" w:eastAsia="Arial" w:hAnsi="Arial"/>
                <w:sz w:val="13"/>
                <w:szCs w:val="13"/>
                <w:color w:val="auto"/>
              </w:rPr>
              <w:t>676,479</w:t>
            </w:r>
          </w:p>
        </w:tc>
        <w:tc>
          <w:tcPr>
            <w:tcW w:w="860" w:type="dxa"/>
            <w:vAlign w:val="bottom"/>
            <w:shd w:val="clear" w:color="auto" w:fill="E2E6F4"/>
          </w:tcPr>
          <w:p>
            <w:pPr>
              <w:jc w:val="right"/>
              <w:ind w:right="14"/>
              <w:spacing w:after="0"/>
              <w:rPr>
                <w:sz w:val="20"/>
                <w:szCs w:val="20"/>
                <w:color w:val="auto"/>
              </w:rPr>
            </w:pPr>
            <w:r>
              <w:rPr>
                <w:rFonts w:ascii="Arial" w:cs="Arial" w:eastAsia="Arial" w:hAnsi="Arial"/>
                <w:sz w:val="13"/>
                <w:szCs w:val="13"/>
                <w:color w:val="auto"/>
              </w:rPr>
              <w:t>13,210,982</w:t>
            </w:r>
          </w:p>
        </w:tc>
        <w:tc>
          <w:tcPr>
            <w:tcW w:w="740" w:type="dxa"/>
            <w:vAlign w:val="bottom"/>
            <w:shd w:val="clear" w:color="auto" w:fill="E2E6F4"/>
          </w:tcPr>
          <w:p>
            <w:pPr>
              <w:jc w:val="right"/>
              <w:spacing w:after="0"/>
              <w:rPr>
                <w:sz w:val="20"/>
                <w:szCs w:val="20"/>
                <w:color w:val="auto"/>
              </w:rPr>
            </w:pPr>
            <w:r>
              <w:rPr>
                <w:rFonts w:ascii="Arial" w:cs="Arial" w:eastAsia="Arial" w:hAnsi="Arial"/>
                <w:sz w:val="13"/>
                <w:szCs w:val="13"/>
                <w:color w:val="auto"/>
              </w:rPr>
              <w:t>2,119,798</w:t>
            </w:r>
          </w:p>
        </w:tc>
      </w:tr>
      <w:tr>
        <w:trPr>
          <w:trHeight w:val="162"/>
        </w:trPr>
        <w:tc>
          <w:tcPr>
            <w:tcW w:w="2620" w:type="dxa"/>
            <w:vAlign w:val="bottom"/>
            <w:shd w:val="clear" w:color="auto" w:fill="E2E6F4"/>
          </w:tcPr>
          <w:p>
            <w:pPr>
              <w:ind w:left="20"/>
              <w:spacing w:after="0"/>
              <w:rPr>
                <w:sz w:val="20"/>
                <w:szCs w:val="20"/>
                <w:color w:val="auto"/>
              </w:rPr>
            </w:pPr>
            <w:r>
              <w:rPr>
                <w:rFonts w:ascii="Arial" w:cs="Arial" w:eastAsia="Arial" w:hAnsi="Arial"/>
                <w:sz w:val="13"/>
                <w:szCs w:val="13"/>
                <w:color w:val="auto"/>
              </w:rPr>
              <w:t>change in fair value at covered fiscal year</w:t>
            </w:r>
          </w:p>
        </w:tc>
        <w:tc>
          <w:tcPr>
            <w:tcW w:w="820" w:type="dxa"/>
            <w:vAlign w:val="bottom"/>
            <w:shd w:val="clear" w:color="auto" w:fill="E2E6F4"/>
          </w:tcPr>
          <w:p>
            <w:pPr>
              <w:spacing w:after="0"/>
              <w:rPr>
                <w:sz w:val="14"/>
                <w:szCs w:val="14"/>
                <w:color w:val="auto"/>
              </w:rPr>
            </w:pPr>
          </w:p>
        </w:tc>
        <w:tc>
          <w:tcPr>
            <w:tcW w:w="780" w:type="dxa"/>
            <w:vAlign w:val="bottom"/>
            <w:shd w:val="clear" w:color="auto" w:fill="E2E6F4"/>
          </w:tcPr>
          <w:p>
            <w:pPr>
              <w:spacing w:after="0"/>
              <w:rPr>
                <w:sz w:val="14"/>
                <w:szCs w:val="14"/>
                <w:color w:val="auto"/>
              </w:rPr>
            </w:pPr>
          </w:p>
        </w:tc>
        <w:tc>
          <w:tcPr>
            <w:tcW w:w="800" w:type="dxa"/>
            <w:vAlign w:val="bottom"/>
            <w:shd w:val="clear" w:color="auto" w:fill="E2E6F4"/>
          </w:tcPr>
          <w:p>
            <w:pPr>
              <w:spacing w:after="0"/>
              <w:rPr>
                <w:sz w:val="14"/>
                <w:szCs w:val="14"/>
                <w:color w:val="auto"/>
              </w:rPr>
            </w:pPr>
          </w:p>
        </w:tc>
        <w:tc>
          <w:tcPr>
            <w:tcW w:w="800" w:type="dxa"/>
            <w:vAlign w:val="bottom"/>
            <w:shd w:val="clear" w:color="auto" w:fill="E2E6F4"/>
          </w:tcPr>
          <w:p>
            <w:pPr>
              <w:spacing w:after="0"/>
              <w:rPr>
                <w:sz w:val="14"/>
                <w:szCs w:val="14"/>
                <w:color w:val="auto"/>
              </w:rPr>
            </w:pPr>
          </w:p>
        </w:tc>
        <w:tc>
          <w:tcPr>
            <w:tcW w:w="880" w:type="dxa"/>
            <w:vAlign w:val="bottom"/>
            <w:shd w:val="clear" w:color="auto" w:fill="E2E6F4"/>
          </w:tcPr>
          <w:p>
            <w:pPr>
              <w:spacing w:after="0"/>
              <w:rPr>
                <w:sz w:val="14"/>
                <w:szCs w:val="14"/>
                <w:color w:val="auto"/>
              </w:rPr>
            </w:pPr>
          </w:p>
        </w:tc>
        <w:tc>
          <w:tcPr>
            <w:tcW w:w="800" w:type="dxa"/>
            <w:vAlign w:val="bottom"/>
            <w:shd w:val="clear" w:color="auto" w:fill="E2E6F4"/>
          </w:tcPr>
          <w:p>
            <w:pPr>
              <w:spacing w:after="0"/>
              <w:rPr>
                <w:sz w:val="14"/>
                <w:szCs w:val="14"/>
                <w:color w:val="auto"/>
              </w:rPr>
            </w:pPr>
          </w:p>
        </w:tc>
        <w:tc>
          <w:tcPr>
            <w:tcW w:w="860" w:type="dxa"/>
            <w:vAlign w:val="bottom"/>
            <w:shd w:val="clear" w:color="auto" w:fill="E2E6F4"/>
          </w:tcPr>
          <w:p>
            <w:pPr>
              <w:spacing w:after="0"/>
              <w:rPr>
                <w:sz w:val="14"/>
                <w:szCs w:val="14"/>
                <w:color w:val="auto"/>
              </w:rPr>
            </w:pPr>
          </w:p>
        </w:tc>
        <w:tc>
          <w:tcPr>
            <w:tcW w:w="820" w:type="dxa"/>
            <w:vAlign w:val="bottom"/>
            <w:shd w:val="clear" w:color="auto" w:fill="E2E6F4"/>
          </w:tcPr>
          <w:p>
            <w:pPr>
              <w:spacing w:after="0"/>
              <w:rPr>
                <w:sz w:val="14"/>
                <w:szCs w:val="14"/>
                <w:color w:val="auto"/>
              </w:rPr>
            </w:pPr>
          </w:p>
        </w:tc>
        <w:tc>
          <w:tcPr>
            <w:tcW w:w="860" w:type="dxa"/>
            <w:vAlign w:val="bottom"/>
            <w:shd w:val="clear" w:color="auto" w:fill="E2E6F4"/>
          </w:tcPr>
          <w:p>
            <w:pPr>
              <w:spacing w:after="0"/>
              <w:rPr>
                <w:sz w:val="14"/>
                <w:szCs w:val="14"/>
                <w:color w:val="auto"/>
              </w:rPr>
            </w:pPr>
          </w:p>
        </w:tc>
        <w:tc>
          <w:tcPr>
            <w:tcW w:w="740" w:type="dxa"/>
            <w:vAlign w:val="bottom"/>
            <w:shd w:val="clear" w:color="auto" w:fill="E2E6F4"/>
          </w:tcPr>
          <w:p>
            <w:pPr>
              <w:spacing w:after="0"/>
              <w:rPr>
                <w:sz w:val="14"/>
                <w:szCs w:val="14"/>
                <w:color w:val="auto"/>
              </w:rPr>
            </w:pPr>
          </w:p>
        </w:tc>
      </w:tr>
      <w:tr>
        <w:trPr>
          <w:trHeight w:val="162"/>
        </w:trPr>
        <w:tc>
          <w:tcPr>
            <w:tcW w:w="2620" w:type="dxa"/>
            <w:vAlign w:val="bottom"/>
            <w:shd w:val="clear" w:color="auto" w:fill="E2E6F4"/>
          </w:tcPr>
          <w:p>
            <w:pPr>
              <w:ind w:left="20"/>
              <w:spacing w:after="0"/>
              <w:rPr>
                <w:sz w:val="20"/>
                <w:szCs w:val="20"/>
                <w:color w:val="auto"/>
              </w:rPr>
            </w:pPr>
            <w:r>
              <w:rPr>
                <w:rFonts w:ascii="Arial" w:cs="Arial" w:eastAsia="Arial" w:hAnsi="Arial"/>
                <w:sz w:val="13"/>
                <w:szCs w:val="13"/>
                <w:color w:val="auto"/>
              </w:rPr>
              <w:t>end of equity awards granted in prior fiscal</w:t>
            </w:r>
          </w:p>
        </w:tc>
        <w:tc>
          <w:tcPr>
            <w:tcW w:w="820" w:type="dxa"/>
            <w:vAlign w:val="bottom"/>
            <w:shd w:val="clear" w:color="auto" w:fill="E2E6F4"/>
          </w:tcPr>
          <w:p>
            <w:pPr>
              <w:spacing w:after="0"/>
              <w:rPr>
                <w:sz w:val="14"/>
                <w:szCs w:val="14"/>
                <w:color w:val="auto"/>
              </w:rPr>
            </w:pPr>
          </w:p>
        </w:tc>
        <w:tc>
          <w:tcPr>
            <w:tcW w:w="780" w:type="dxa"/>
            <w:vAlign w:val="bottom"/>
            <w:shd w:val="clear" w:color="auto" w:fill="E2E6F4"/>
          </w:tcPr>
          <w:p>
            <w:pPr>
              <w:spacing w:after="0"/>
              <w:rPr>
                <w:sz w:val="14"/>
                <w:szCs w:val="14"/>
                <w:color w:val="auto"/>
              </w:rPr>
            </w:pPr>
          </w:p>
        </w:tc>
        <w:tc>
          <w:tcPr>
            <w:tcW w:w="800" w:type="dxa"/>
            <w:vAlign w:val="bottom"/>
            <w:shd w:val="clear" w:color="auto" w:fill="E2E6F4"/>
          </w:tcPr>
          <w:p>
            <w:pPr>
              <w:spacing w:after="0"/>
              <w:rPr>
                <w:sz w:val="14"/>
                <w:szCs w:val="14"/>
                <w:color w:val="auto"/>
              </w:rPr>
            </w:pPr>
          </w:p>
        </w:tc>
        <w:tc>
          <w:tcPr>
            <w:tcW w:w="800" w:type="dxa"/>
            <w:vAlign w:val="bottom"/>
            <w:shd w:val="clear" w:color="auto" w:fill="E2E6F4"/>
          </w:tcPr>
          <w:p>
            <w:pPr>
              <w:spacing w:after="0"/>
              <w:rPr>
                <w:sz w:val="14"/>
                <w:szCs w:val="14"/>
                <w:color w:val="auto"/>
              </w:rPr>
            </w:pPr>
          </w:p>
        </w:tc>
        <w:tc>
          <w:tcPr>
            <w:tcW w:w="880" w:type="dxa"/>
            <w:vAlign w:val="bottom"/>
            <w:shd w:val="clear" w:color="auto" w:fill="E2E6F4"/>
          </w:tcPr>
          <w:p>
            <w:pPr>
              <w:spacing w:after="0"/>
              <w:rPr>
                <w:sz w:val="14"/>
                <w:szCs w:val="14"/>
                <w:color w:val="auto"/>
              </w:rPr>
            </w:pPr>
          </w:p>
        </w:tc>
        <w:tc>
          <w:tcPr>
            <w:tcW w:w="800" w:type="dxa"/>
            <w:vAlign w:val="bottom"/>
            <w:shd w:val="clear" w:color="auto" w:fill="E2E6F4"/>
          </w:tcPr>
          <w:p>
            <w:pPr>
              <w:spacing w:after="0"/>
              <w:rPr>
                <w:sz w:val="14"/>
                <w:szCs w:val="14"/>
                <w:color w:val="auto"/>
              </w:rPr>
            </w:pPr>
          </w:p>
        </w:tc>
        <w:tc>
          <w:tcPr>
            <w:tcW w:w="860" w:type="dxa"/>
            <w:vAlign w:val="bottom"/>
            <w:shd w:val="clear" w:color="auto" w:fill="E2E6F4"/>
          </w:tcPr>
          <w:p>
            <w:pPr>
              <w:spacing w:after="0"/>
              <w:rPr>
                <w:sz w:val="14"/>
                <w:szCs w:val="14"/>
                <w:color w:val="auto"/>
              </w:rPr>
            </w:pPr>
          </w:p>
        </w:tc>
        <w:tc>
          <w:tcPr>
            <w:tcW w:w="820" w:type="dxa"/>
            <w:vAlign w:val="bottom"/>
            <w:shd w:val="clear" w:color="auto" w:fill="E2E6F4"/>
          </w:tcPr>
          <w:p>
            <w:pPr>
              <w:spacing w:after="0"/>
              <w:rPr>
                <w:sz w:val="14"/>
                <w:szCs w:val="14"/>
                <w:color w:val="auto"/>
              </w:rPr>
            </w:pPr>
          </w:p>
        </w:tc>
        <w:tc>
          <w:tcPr>
            <w:tcW w:w="860" w:type="dxa"/>
            <w:vAlign w:val="bottom"/>
            <w:shd w:val="clear" w:color="auto" w:fill="E2E6F4"/>
          </w:tcPr>
          <w:p>
            <w:pPr>
              <w:spacing w:after="0"/>
              <w:rPr>
                <w:sz w:val="14"/>
                <w:szCs w:val="14"/>
                <w:color w:val="auto"/>
              </w:rPr>
            </w:pPr>
          </w:p>
        </w:tc>
        <w:tc>
          <w:tcPr>
            <w:tcW w:w="740" w:type="dxa"/>
            <w:vAlign w:val="bottom"/>
            <w:shd w:val="clear" w:color="auto" w:fill="E2E6F4"/>
          </w:tcPr>
          <w:p>
            <w:pPr>
              <w:spacing w:after="0"/>
              <w:rPr>
                <w:sz w:val="14"/>
                <w:szCs w:val="14"/>
                <w:color w:val="auto"/>
              </w:rPr>
            </w:pPr>
          </w:p>
        </w:tc>
      </w:tr>
      <w:tr>
        <w:trPr>
          <w:trHeight w:val="162"/>
        </w:trPr>
        <w:tc>
          <w:tcPr>
            <w:tcW w:w="2620" w:type="dxa"/>
            <w:vAlign w:val="bottom"/>
            <w:shd w:val="clear" w:color="auto" w:fill="E2E6F4"/>
          </w:tcPr>
          <w:p>
            <w:pPr>
              <w:ind w:left="20"/>
              <w:spacing w:after="0"/>
              <w:rPr>
                <w:sz w:val="20"/>
                <w:szCs w:val="20"/>
                <w:color w:val="auto"/>
              </w:rPr>
            </w:pPr>
            <w:r>
              <w:rPr>
                <w:rFonts w:ascii="Arial" w:cs="Arial" w:eastAsia="Arial" w:hAnsi="Arial"/>
                <w:sz w:val="13"/>
                <w:szCs w:val="13"/>
                <w:color w:val="auto"/>
              </w:rPr>
              <w:t>years that were outstanding and unvested</w:t>
            </w:r>
          </w:p>
        </w:tc>
        <w:tc>
          <w:tcPr>
            <w:tcW w:w="820" w:type="dxa"/>
            <w:vAlign w:val="bottom"/>
            <w:shd w:val="clear" w:color="auto" w:fill="E2E6F4"/>
          </w:tcPr>
          <w:p>
            <w:pPr>
              <w:spacing w:after="0"/>
              <w:rPr>
                <w:sz w:val="14"/>
                <w:szCs w:val="14"/>
                <w:color w:val="auto"/>
              </w:rPr>
            </w:pPr>
          </w:p>
        </w:tc>
        <w:tc>
          <w:tcPr>
            <w:tcW w:w="780" w:type="dxa"/>
            <w:vAlign w:val="bottom"/>
            <w:shd w:val="clear" w:color="auto" w:fill="E2E6F4"/>
          </w:tcPr>
          <w:p>
            <w:pPr>
              <w:spacing w:after="0"/>
              <w:rPr>
                <w:sz w:val="14"/>
                <w:szCs w:val="14"/>
                <w:color w:val="auto"/>
              </w:rPr>
            </w:pPr>
          </w:p>
        </w:tc>
        <w:tc>
          <w:tcPr>
            <w:tcW w:w="800" w:type="dxa"/>
            <w:vAlign w:val="bottom"/>
            <w:shd w:val="clear" w:color="auto" w:fill="E2E6F4"/>
          </w:tcPr>
          <w:p>
            <w:pPr>
              <w:spacing w:after="0"/>
              <w:rPr>
                <w:sz w:val="14"/>
                <w:szCs w:val="14"/>
                <w:color w:val="auto"/>
              </w:rPr>
            </w:pPr>
          </w:p>
        </w:tc>
        <w:tc>
          <w:tcPr>
            <w:tcW w:w="800" w:type="dxa"/>
            <w:vAlign w:val="bottom"/>
            <w:shd w:val="clear" w:color="auto" w:fill="E2E6F4"/>
          </w:tcPr>
          <w:p>
            <w:pPr>
              <w:spacing w:after="0"/>
              <w:rPr>
                <w:sz w:val="14"/>
                <w:szCs w:val="14"/>
                <w:color w:val="auto"/>
              </w:rPr>
            </w:pPr>
          </w:p>
        </w:tc>
        <w:tc>
          <w:tcPr>
            <w:tcW w:w="880" w:type="dxa"/>
            <w:vAlign w:val="bottom"/>
            <w:shd w:val="clear" w:color="auto" w:fill="E2E6F4"/>
          </w:tcPr>
          <w:p>
            <w:pPr>
              <w:spacing w:after="0"/>
              <w:rPr>
                <w:sz w:val="14"/>
                <w:szCs w:val="14"/>
                <w:color w:val="auto"/>
              </w:rPr>
            </w:pPr>
          </w:p>
        </w:tc>
        <w:tc>
          <w:tcPr>
            <w:tcW w:w="800" w:type="dxa"/>
            <w:vAlign w:val="bottom"/>
            <w:shd w:val="clear" w:color="auto" w:fill="E2E6F4"/>
          </w:tcPr>
          <w:p>
            <w:pPr>
              <w:spacing w:after="0"/>
              <w:rPr>
                <w:sz w:val="14"/>
                <w:szCs w:val="14"/>
                <w:color w:val="auto"/>
              </w:rPr>
            </w:pPr>
          </w:p>
        </w:tc>
        <w:tc>
          <w:tcPr>
            <w:tcW w:w="860" w:type="dxa"/>
            <w:vAlign w:val="bottom"/>
            <w:shd w:val="clear" w:color="auto" w:fill="E2E6F4"/>
          </w:tcPr>
          <w:p>
            <w:pPr>
              <w:spacing w:after="0"/>
              <w:rPr>
                <w:sz w:val="14"/>
                <w:szCs w:val="14"/>
                <w:color w:val="auto"/>
              </w:rPr>
            </w:pPr>
          </w:p>
        </w:tc>
        <w:tc>
          <w:tcPr>
            <w:tcW w:w="820" w:type="dxa"/>
            <w:vAlign w:val="bottom"/>
            <w:shd w:val="clear" w:color="auto" w:fill="E2E6F4"/>
          </w:tcPr>
          <w:p>
            <w:pPr>
              <w:spacing w:after="0"/>
              <w:rPr>
                <w:sz w:val="14"/>
                <w:szCs w:val="14"/>
                <w:color w:val="auto"/>
              </w:rPr>
            </w:pPr>
          </w:p>
        </w:tc>
        <w:tc>
          <w:tcPr>
            <w:tcW w:w="860" w:type="dxa"/>
            <w:vAlign w:val="bottom"/>
            <w:shd w:val="clear" w:color="auto" w:fill="E2E6F4"/>
          </w:tcPr>
          <w:p>
            <w:pPr>
              <w:spacing w:after="0"/>
              <w:rPr>
                <w:sz w:val="14"/>
                <w:szCs w:val="14"/>
                <w:color w:val="auto"/>
              </w:rPr>
            </w:pPr>
          </w:p>
        </w:tc>
        <w:tc>
          <w:tcPr>
            <w:tcW w:w="740" w:type="dxa"/>
            <w:vAlign w:val="bottom"/>
            <w:shd w:val="clear" w:color="auto" w:fill="E2E6F4"/>
          </w:tcPr>
          <w:p>
            <w:pPr>
              <w:spacing w:after="0"/>
              <w:rPr>
                <w:sz w:val="14"/>
                <w:szCs w:val="14"/>
                <w:color w:val="auto"/>
              </w:rPr>
            </w:pPr>
          </w:p>
        </w:tc>
      </w:tr>
      <w:tr>
        <w:trPr>
          <w:trHeight w:val="182"/>
        </w:trPr>
        <w:tc>
          <w:tcPr>
            <w:tcW w:w="2620" w:type="dxa"/>
            <w:vAlign w:val="bottom"/>
            <w:tcBorders>
              <w:bottom w:val="single" w:sz="8" w:color="E2E6F4"/>
            </w:tcBorders>
            <w:shd w:val="clear" w:color="auto" w:fill="E2E6F4"/>
          </w:tcPr>
          <w:p>
            <w:pPr>
              <w:ind w:left="20"/>
              <w:spacing w:after="0"/>
              <w:rPr>
                <w:sz w:val="20"/>
                <w:szCs w:val="20"/>
                <w:color w:val="auto"/>
              </w:rPr>
            </w:pPr>
            <w:r>
              <w:rPr>
                <w:rFonts w:ascii="Arial" w:cs="Arial" w:eastAsia="Arial" w:hAnsi="Arial"/>
                <w:sz w:val="13"/>
                <w:szCs w:val="13"/>
                <w:color w:val="auto"/>
              </w:rPr>
              <w:t>at the covered fiscal year end</w:t>
            </w:r>
          </w:p>
        </w:tc>
        <w:tc>
          <w:tcPr>
            <w:tcW w:w="820" w:type="dxa"/>
            <w:vAlign w:val="bottom"/>
            <w:tcBorders>
              <w:bottom w:val="single" w:sz="8" w:color="E2E6F4"/>
            </w:tcBorders>
            <w:shd w:val="clear" w:color="auto" w:fill="E2E6F4"/>
          </w:tcPr>
          <w:p>
            <w:pPr>
              <w:spacing w:after="0"/>
              <w:rPr>
                <w:sz w:val="15"/>
                <w:szCs w:val="15"/>
                <w:color w:val="auto"/>
              </w:rPr>
            </w:pPr>
          </w:p>
        </w:tc>
        <w:tc>
          <w:tcPr>
            <w:tcW w:w="780" w:type="dxa"/>
            <w:vAlign w:val="bottom"/>
            <w:tcBorders>
              <w:bottom w:val="single" w:sz="8" w:color="E2E6F4"/>
            </w:tcBorders>
            <w:shd w:val="clear" w:color="auto" w:fill="E2E6F4"/>
          </w:tcPr>
          <w:p>
            <w:pPr>
              <w:spacing w:after="0"/>
              <w:rPr>
                <w:sz w:val="15"/>
                <w:szCs w:val="15"/>
                <w:color w:val="auto"/>
              </w:rPr>
            </w:pPr>
          </w:p>
        </w:tc>
        <w:tc>
          <w:tcPr>
            <w:tcW w:w="800" w:type="dxa"/>
            <w:vAlign w:val="bottom"/>
            <w:tcBorders>
              <w:bottom w:val="single" w:sz="8" w:color="E2E6F4"/>
            </w:tcBorders>
            <w:shd w:val="clear" w:color="auto" w:fill="E2E6F4"/>
          </w:tcPr>
          <w:p>
            <w:pPr>
              <w:spacing w:after="0"/>
              <w:rPr>
                <w:sz w:val="15"/>
                <w:szCs w:val="15"/>
                <w:color w:val="auto"/>
              </w:rPr>
            </w:pPr>
          </w:p>
        </w:tc>
        <w:tc>
          <w:tcPr>
            <w:tcW w:w="800" w:type="dxa"/>
            <w:vAlign w:val="bottom"/>
            <w:tcBorders>
              <w:bottom w:val="single" w:sz="8" w:color="E2E6F4"/>
            </w:tcBorders>
            <w:shd w:val="clear" w:color="auto" w:fill="E2E6F4"/>
          </w:tcPr>
          <w:p>
            <w:pPr>
              <w:spacing w:after="0"/>
              <w:rPr>
                <w:sz w:val="15"/>
                <w:szCs w:val="15"/>
                <w:color w:val="auto"/>
              </w:rPr>
            </w:pPr>
          </w:p>
        </w:tc>
        <w:tc>
          <w:tcPr>
            <w:tcW w:w="880" w:type="dxa"/>
            <w:vAlign w:val="bottom"/>
            <w:tcBorders>
              <w:bottom w:val="single" w:sz="8" w:color="E2E6F4"/>
            </w:tcBorders>
            <w:shd w:val="clear" w:color="auto" w:fill="E2E6F4"/>
          </w:tcPr>
          <w:p>
            <w:pPr>
              <w:spacing w:after="0"/>
              <w:rPr>
                <w:sz w:val="15"/>
                <w:szCs w:val="15"/>
                <w:color w:val="auto"/>
              </w:rPr>
            </w:pPr>
          </w:p>
        </w:tc>
        <w:tc>
          <w:tcPr>
            <w:tcW w:w="800" w:type="dxa"/>
            <w:vAlign w:val="bottom"/>
            <w:tcBorders>
              <w:bottom w:val="single" w:sz="8" w:color="E2E6F4"/>
            </w:tcBorders>
            <w:shd w:val="clear" w:color="auto" w:fill="E2E6F4"/>
          </w:tcPr>
          <w:p>
            <w:pPr>
              <w:spacing w:after="0"/>
              <w:rPr>
                <w:sz w:val="15"/>
                <w:szCs w:val="15"/>
                <w:color w:val="auto"/>
              </w:rPr>
            </w:pPr>
          </w:p>
        </w:tc>
        <w:tc>
          <w:tcPr>
            <w:tcW w:w="860" w:type="dxa"/>
            <w:vAlign w:val="bottom"/>
            <w:tcBorders>
              <w:bottom w:val="single" w:sz="8" w:color="E2E6F4"/>
            </w:tcBorders>
            <w:shd w:val="clear" w:color="auto" w:fill="E2E6F4"/>
          </w:tcPr>
          <w:p>
            <w:pPr>
              <w:spacing w:after="0"/>
              <w:rPr>
                <w:sz w:val="15"/>
                <w:szCs w:val="15"/>
                <w:color w:val="auto"/>
              </w:rPr>
            </w:pPr>
          </w:p>
        </w:tc>
        <w:tc>
          <w:tcPr>
            <w:tcW w:w="820" w:type="dxa"/>
            <w:vAlign w:val="bottom"/>
            <w:tcBorders>
              <w:bottom w:val="single" w:sz="8" w:color="E2E6F4"/>
            </w:tcBorders>
            <w:shd w:val="clear" w:color="auto" w:fill="E2E6F4"/>
          </w:tcPr>
          <w:p>
            <w:pPr>
              <w:spacing w:after="0"/>
              <w:rPr>
                <w:sz w:val="15"/>
                <w:szCs w:val="15"/>
                <w:color w:val="auto"/>
              </w:rPr>
            </w:pPr>
          </w:p>
        </w:tc>
        <w:tc>
          <w:tcPr>
            <w:tcW w:w="860" w:type="dxa"/>
            <w:vAlign w:val="bottom"/>
            <w:tcBorders>
              <w:bottom w:val="single" w:sz="8" w:color="E2E6F4"/>
            </w:tcBorders>
            <w:shd w:val="clear" w:color="auto" w:fill="E2E6F4"/>
          </w:tcPr>
          <w:p>
            <w:pPr>
              <w:spacing w:after="0"/>
              <w:rPr>
                <w:sz w:val="15"/>
                <w:szCs w:val="15"/>
                <w:color w:val="auto"/>
              </w:rPr>
            </w:pPr>
          </w:p>
        </w:tc>
        <w:tc>
          <w:tcPr>
            <w:tcW w:w="740" w:type="dxa"/>
            <w:vAlign w:val="bottom"/>
            <w:tcBorders>
              <w:bottom w:val="single" w:sz="8" w:color="E2E6F4"/>
            </w:tcBorders>
            <w:shd w:val="clear" w:color="auto" w:fill="E2E6F4"/>
          </w:tcPr>
          <w:p>
            <w:pPr>
              <w:spacing w:after="0"/>
              <w:rPr>
                <w:sz w:val="15"/>
                <w:szCs w:val="15"/>
                <w:color w:val="auto"/>
              </w:rPr>
            </w:pPr>
          </w:p>
        </w:tc>
      </w:tr>
      <w:tr>
        <w:trPr>
          <w:trHeight w:val="176"/>
        </w:trPr>
        <w:tc>
          <w:tcPr>
            <w:tcW w:w="2620" w:type="dxa"/>
            <w:vAlign w:val="bottom"/>
          </w:tcPr>
          <w:p>
            <w:pPr>
              <w:ind w:left="20"/>
              <w:spacing w:after="0"/>
              <w:rPr>
                <w:sz w:val="20"/>
                <w:szCs w:val="20"/>
                <w:color w:val="auto"/>
              </w:rPr>
            </w:pPr>
            <w:r>
              <w:rPr>
                <w:rFonts w:ascii="Arial" w:cs="Arial" w:eastAsia="Arial" w:hAnsi="Arial"/>
                <w:sz w:val="13"/>
                <w:szCs w:val="13"/>
                <w:color w:val="auto"/>
              </w:rPr>
              <w:t>Addition (Subtraction): Change as of the</w:t>
            </w:r>
          </w:p>
        </w:tc>
        <w:tc>
          <w:tcPr>
            <w:tcW w:w="820" w:type="dxa"/>
            <w:vAlign w:val="bottom"/>
          </w:tcPr>
          <w:p>
            <w:pPr>
              <w:jc w:val="right"/>
              <w:spacing w:after="0"/>
              <w:rPr>
                <w:sz w:val="20"/>
                <w:szCs w:val="20"/>
                <w:color w:val="auto"/>
              </w:rPr>
            </w:pPr>
            <w:r>
              <w:rPr>
                <w:rFonts w:ascii="Arial" w:cs="Arial" w:eastAsia="Arial" w:hAnsi="Arial"/>
                <w:sz w:val="13"/>
                <w:szCs w:val="13"/>
                <w:color w:val="auto"/>
              </w:rPr>
              <w:t>(4,577,084)</w:t>
            </w:r>
          </w:p>
        </w:tc>
        <w:tc>
          <w:tcPr>
            <w:tcW w:w="780" w:type="dxa"/>
            <w:vAlign w:val="bottom"/>
          </w:tcPr>
          <w:p>
            <w:pPr>
              <w:jc w:val="right"/>
              <w:spacing w:after="0"/>
              <w:rPr>
                <w:sz w:val="20"/>
                <w:szCs w:val="20"/>
                <w:color w:val="auto"/>
              </w:rPr>
            </w:pPr>
            <w:r>
              <w:rPr>
                <w:rFonts w:ascii="Arial" w:cs="Arial" w:eastAsia="Arial" w:hAnsi="Arial"/>
                <w:sz w:val="13"/>
                <w:szCs w:val="13"/>
                <w:color w:val="auto"/>
              </w:rPr>
              <w:t>(489,903)</w:t>
            </w:r>
          </w:p>
        </w:tc>
        <w:tc>
          <w:tcPr>
            <w:tcW w:w="800" w:type="dxa"/>
            <w:vAlign w:val="bottom"/>
          </w:tcPr>
          <w:p>
            <w:pPr>
              <w:jc w:val="right"/>
              <w:ind w:right="14"/>
              <w:spacing w:after="0"/>
              <w:rPr>
                <w:sz w:val="20"/>
                <w:szCs w:val="20"/>
                <w:color w:val="auto"/>
              </w:rPr>
            </w:pPr>
            <w:r>
              <w:rPr>
                <w:rFonts w:ascii="Arial" w:cs="Arial" w:eastAsia="Arial" w:hAnsi="Arial"/>
                <w:sz w:val="13"/>
                <w:szCs w:val="13"/>
                <w:color w:val="auto"/>
              </w:rPr>
              <w:t>8,006,073</w:t>
            </w:r>
          </w:p>
        </w:tc>
        <w:tc>
          <w:tcPr>
            <w:tcW w:w="800" w:type="dxa"/>
            <w:vAlign w:val="bottom"/>
          </w:tcPr>
          <w:p>
            <w:pPr>
              <w:jc w:val="right"/>
              <w:ind w:right="34"/>
              <w:spacing w:after="0"/>
              <w:rPr>
                <w:sz w:val="20"/>
                <w:szCs w:val="20"/>
                <w:color w:val="auto"/>
              </w:rPr>
            </w:pPr>
            <w:r>
              <w:rPr>
                <w:rFonts w:ascii="Arial" w:cs="Arial" w:eastAsia="Arial" w:hAnsi="Arial"/>
                <w:sz w:val="13"/>
                <w:szCs w:val="13"/>
                <w:color w:val="auto"/>
              </w:rPr>
              <w:t>7,485,458</w:t>
            </w:r>
          </w:p>
        </w:tc>
        <w:tc>
          <w:tcPr>
            <w:tcW w:w="880" w:type="dxa"/>
            <w:vAlign w:val="bottom"/>
          </w:tcPr>
          <w:p>
            <w:pPr>
              <w:jc w:val="right"/>
              <w:ind w:right="34"/>
              <w:spacing w:after="0"/>
              <w:rPr>
                <w:sz w:val="20"/>
                <w:szCs w:val="20"/>
                <w:color w:val="auto"/>
              </w:rPr>
            </w:pPr>
            <w:r>
              <w:rPr>
                <w:rFonts w:ascii="Arial" w:cs="Arial" w:eastAsia="Arial" w:hAnsi="Arial"/>
                <w:sz w:val="13"/>
                <w:szCs w:val="13"/>
                <w:color w:val="auto"/>
              </w:rPr>
              <w:t>7,381,342</w:t>
            </w:r>
          </w:p>
        </w:tc>
        <w:tc>
          <w:tcPr>
            <w:tcW w:w="800" w:type="dxa"/>
            <w:vAlign w:val="bottom"/>
          </w:tcPr>
          <w:p>
            <w:pPr>
              <w:ind w:left="80"/>
              <w:spacing w:after="0"/>
              <w:rPr>
                <w:sz w:val="20"/>
                <w:szCs w:val="20"/>
                <w:color w:val="auto"/>
              </w:rPr>
            </w:pPr>
            <w:r>
              <w:rPr>
                <w:rFonts w:ascii="Arial" w:cs="Arial" w:eastAsia="Arial" w:hAnsi="Arial"/>
                <w:sz w:val="13"/>
                <w:szCs w:val="13"/>
                <w:color w:val="auto"/>
              </w:rPr>
              <w:t>1,128,602</w:t>
            </w:r>
          </w:p>
        </w:tc>
        <w:tc>
          <w:tcPr>
            <w:tcW w:w="860" w:type="dxa"/>
            <w:vAlign w:val="bottom"/>
          </w:tcPr>
          <w:p>
            <w:pPr>
              <w:jc w:val="right"/>
              <w:spacing w:after="0"/>
              <w:rPr>
                <w:sz w:val="20"/>
                <w:szCs w:val="20"/>
                <w:color w:val="auto"/>
              </w:rPr>
            </w:pPr>
            <w:r>
              <w:rPr>
                <w:rFonts w:ascii="Arial" w:cs="Arial" w:eastAsia="Arial" w:hAnsi="Arial"/>
                <w:sz w:val="13"/>
                <w:szCs w:val="13"/>
                <w:color w:val="auto"/>
              </w:rPr>
              <w:t>(2,491,667)</w:t>
            </w:r>
          </w:p>
        </w:tc>
        <w:tc>
          <w:tcPr>
            <w:tcW w:w="820" w:type="dxa"/>
            <w:vAlign w:val="bottom"/>
          </w:tcPr>
          <w:p>
            <w:pPr>
              <w:jc w:val="right"/>
              <w:spacing w:after="0"/>
              <w:rPr>
                <w:sz w:val="20"/>
                <w:szCs w:val="20"/>
                <w:color w:val="auto"/>
              </w:rPr>
            </w:pPr>
            <w:r>
              <w:rPr>
                <w:rFonts w:ascii="Arial" w:cs="Arial" w:eastAsia="Arial" w:hAnsi="Arial"/>
                <w:sz w:val="13"/>
                <w:szCs w:val="13"/>
                <w:color w:val="auto"/>
              </w:rPr>
              <w:t>(130,992)</w:t>
            </w:r>
          </w:p>
        </w:tc>
        <w:tc>
          <w:tcPr>
            <w:tcW w:w="860" w:type="dxa"/>
            <w:vAlign w:val="bottom"/>
          </w:tcPr>
          <w:p>
            <w:pPr>
              <w:jc w:val="right"/>
              <w:ind w:right="14"/>
              <w:spacing w:after="0"/>
              <w:rPr>
                <w:sz w:val="20"/>
                <w:szCs w:val="20"/>
                <w:color w:val="auto"/>
              </w:rPr>
            </w:pPr>
            <w:r>
              <w:rPr>
                <w:rFonts w:ascii="Arial" w:cs="Arial" w:eastAsia="Arial" w:hAnsi="Arial"/>
                <w:sz w:val="13"/>
                <w:szCs w:val="13"/>
                <w:color w:val="auto"/>
              </w:rPr>
              <w:t>3,331,874</w:t>
            </w:r>
          </w:p>
        </w:tc>
        <w:tc>
          <w:tcPr>
            <w:tcW w:w="740" w:type="dxa"/>
            <w:vAlign w:val="bottom"/>
          </w:tcPr>
          <w:p>
            <w:pPr>
              <w:jc w:val="right"/>
              <w:spacing w:after="0"/>
              <w:rPr>
                <w:sz w:val="20"/>
                <w:szCs w:val="20"/>
                <w:color w:val="auto"/>
              </w:rPr>
            </w:pPr>
            <w:r>
              <w:rPr>
                <w:rFonts w:ascii="Arial" w:cs="Arial" w:eastAsia="Arial" w:hAnsi="Arial"/>
                <w:sz w:val="13"/>
                <w:szCs w:val="13"/>
                <w:color w:val="auto"/>
              </w:rPr>
              <w:t>537,918</w:t>
            </w:r>
          </w:p>
        </w:tc>
      </w:tr>
      <w:tr>
        <w:trPr>
          <w:trHeight w:val="162"/>
        </w:trPr>
        <w:tc>
          <w:tcPr>
            <w:tcW w:w="2620" w:type="dxa"/>
            <w:vAlign w:val="bottom"/>
          </w:tcPr>
          <w:p>
            <w:pPr>
              <w:ind w:left="20"/>
              <w:spacing w:after="0"/>
              <w:rPr>
                <w:sz w:val="20"/>
                <w:szCs w:val="20"/>
                <w:color w:val="auto"/>
              </w:rPr>
            </w:pPr>
            <w:r>
              <w:rPr>
                <w:rFonts w:ascii="Arial" w:cs="Arial" w:eastAsia="Arial" w:hAnsi="Arial"/>
                <w:sz w:val="13"/>
                <w:szCs w:val="13"/>
                <w:color w:val="auto"/>
              </w:rPr>
              <w:t>vesting date (from the end of the prior</w:t>
            </w:r>
          </w:p>
        </w:tc>
        <w:tc>
          <w:tcPr>
            <w:tcW w:w="8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62"/>
        </w:trPr>
        <w:tc>
          <w:tcPr>
            <w:tcW w:w="2620" w:type="dxa"/>
            <w:vAlign w:val="bottom"/>
          </w:tcPr>
          <w:p>
            <w:pPr>
              <w:ind w:left="20"/>
              <w:spacing w:after="0"/>
              <w:rPr>
                <w:sz w:val="20"/>
                <w:szCs w:val="20"/>
                <w:color w:val="auto"/>
              </w:rPr>
            </w:pPr>
            <w:r>
              <w:rPr>
                <w:rFonts w:ascii="Arial" w:cs="Arial" w:eastAsia="Arial" w:hAnsi="Arial"/>
                <w:sz w:val="13"/>
                <w:szCs w:val="13"/>
                <w:color w:val="auto"/>
              </w:rPr>
              <w:t>fiscal year) in fair value of equity awards</w:t>
            </w:r>
          </w:p>
        </w:tc>
        <w:tc>
          <w:tcPr>
            <w:tcW w:w="8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62"/>
        </w:trPr>
        <w:tc>
          <w:tcPr>
            <w:tcW w:w="2620" w:type="dxa"/>
            <w:vAlign w:val="bottom"/>
          </w:tcPr>
          <w:p>
            <w:pPr>
              <w:ind w:left="20"/>
              <w:spacing w:after="0"/>
              <w:rPr>
                <w:sz w:val="20"/>
                <w:szCs w:val="20"/>
                <w:color w:val="auto"/>
              </w:rPr>
            </w:pPr>
            <w:r>
              <w:rPr>
                <w:rFonts w:ascii="Arial" w:cs="Arial" w:eastAsia="Arial" w:hAnsi="Arial"/>
                <w:sz w:val="13"/>
                <w:szCs w:val="13"/>
                <w:color w:val="auto"/>
              </w:rPr>
              <w:t>granted in prior fiscal years that vested in</w:t>
            </w:r>
          </w:p>
        </w:tc>
        <w:tc>
          <w:tcPr>
            <w:tcW w:w="8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76"/>
        </w:trPr>
        <w:tc>
          <w:tcPr>
            <w:tcW w:w="2620" w:type="dxa"/>
            <w:vAlign w:val="bottom"/>
          </w:tcPr>
          <w:p>
            <w:pPr>
              <w:ind w:left="20"/>
              <w:spacing w:after="0"/>
              <w:rPr>
                <w:sz w:val="20"/>
                <w:szCs w:val="20"/>
                <w:color w:val="auto"/>
              </w:rPr>
            </w:pPr>
            <w:r>
              <w:rPr>
                <w:rFonts w:ascii="Arial" w:cs="Arial" w:eastAsia="Arial" w:hAnsi="Arial"/>
                <w:sz w:val="13"/>
                <w:szCs w:val="13"/>
                <w:color w:val="auto"/>
              </w:rPr>
              <w:t>the covered fiscal year</w:t>
            </w:r>
          </w:p>
        </w:tc>
        <w:tc>
          <w:tcPr>
            <w:tcW w:w="8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740" w:type="dxa"/>
            <w:vAlign w:val="bottom"/>
          </w:tcPr>
          <w:p>
            <w:pPr>
              <w:spacing w:after="0"/>
              <w:rPr>
                <w:sz w:val="15"/>
                <w:szCs w:val="15"/>
                <w:color w:val="auto"/>
              </w:rPr>
            </w:pPr>
          </w:p>
        </w:tc>
      </w:tr>
      <w:tr>
        <w:trPr>
          <w:trHeight w:val="25"/>
        </w:trPr>
        <w:tc>
          <w:tcPr>
            <w:tcW w:w="2620" w:type="dxa"/>
            <w:vAlign w:val="bottom"/>
          </w:tcPr>
          <w:p>
            <w:pPr>
              <w:spacing w:after="0"/>
              <w:rPr>
                <w:sz w:val="2"/>
                <w:szCs w:val="2"/>
                <w:color w:val="auto"/>
              </w:rPr>
            </w:pPr>
          </w:p>
        </w:tc>
        <w:tc>
          <w:tcPr>
            <w:tcW w:w="820" w:type="dxa"/>
            <w:vAlign w:val="bottom"/>
          </w:tcPr>
          <w:p>
            <w:pPr>
              <w:spacing w:after="0"/>
              <w:rPr>
                <w:sz w:val="2"/>
                <w:szCs w:val="2"/>
                <w:color w:val="auto"/>
              </w:rPr>
            </w:pPr>
          </w:p>
        </w:tc>
        <w:tc>
          <w:tcPr>
            <w:tcW w:w="780" w:type="dxa"/>
            <w:vAlign w:val="bottom"/>
          </w:tcPr>
          <w:p>
            <w:pPr>
              <w:spacing w:after="0"/>
              <w:rPr>
                <w:sz w:val="2"/>
                <w:szCs w:val="2"/>
                <w:color w:val="auto"/>
              </w:rPr>
            </w:pPr>
          </w:p>
        </w:tc>
        <w:tc>
          <w:tcPr>
            <w:tcW w:w="800" w:type="dxa"/>
            <w:vAlign w:val="bottom"/>
          </w:tcPr>
          <w:p>
            <w:pPr>
              <w:spacing w:after="0"/>
              <w:rPr>
                <w:sz w:val="2"/>
                <w:szCs w:val="2"/>
                <w:color w:val="auto"/>
              </w:rPr>
            </w:pPr>
          </w:p>
        </w:tc>
        <w:tc>
          <w:tcPr>
            <w:tcW w:w="800" w:type="dxa"/>
            <w:vAlign w:val="bottom"/>
          </w:tcPr>
          <w:p>
            <w:pPr>
              <w:spacing w:after="0"/>
              <w:rPr>
                <w:sz w:val="2"/>
                <w:szCs w:val="2"/>
                <w:color w:val="auto"/>
              </w:rPr>
            </w:pPr>
          </w:p>
        </w:tc>
        <w:tc>
          <w:tcPr>
            <w:tcW w:w="880" w:type="dxa"/>
            <w:vAlign w:val="bottom"/>
          </w:tcPr>
          <w:p>
            <w:pPr>
              <w:spacing w:after="0"/>
              <w:rPr>
                <w:sz w:val="2"/>
                <w:szCs w:val="2"/>
                <w:color w:val="auto"/>
              </w:rPr>
            </w:pPr>
          </w:p>
        </w:tc>
        <w:tc>
          <w:tcPr>
            <w:tcW w:w="800" w:type="dxa"/>
            <w:vAlign w:val="bottom"/>
          </w:tcPr>
          <w:p>
            <w:pPr>
              <w:spacing w:after="0"/>
              <w:rPr>
                <w:sz w:val="2"/>
                <w:szCs w:val="2"/>
                <w:color w:val="auto"/>
              </w:rPr>
            </w:pPr>
          </w:p>
        </w:tc>
        <w:tc>
          <w:tcPr>
            <w:tcW w:w="860" w:type="dxa"/>
            <w:vAlign w:val="bottom"/>
          </w:tcPr>
          <w:p>
            <w:pPr>
              <w:spacing w:after="0"/>
              <w:rPr>
                <w:sz w:val="2"/>
                <w:szCs w:val="2"/>
                <w:color w:val="auto"/>
              </w:rPr>
            </w:pPr>
          </w:p>
        </w:tc>
        <w:tc>
          <w:tcPr>
            <w:tcW w:w="820" w:type="dxa"/>
            <w:vAlign w:val="bottom"/>
          </w:tcPr>
          <w:p>
            <w:pPr>
              <w:spacing w:after="0"/>
              <w:rPr>
                <w:sz w:val="2"/>
                <w:szCs w:val="2"/>
                <w:color w:val="auto"/>
              </w:rPr>
            </w:pPr>
          </w:p>
        </w:tc>
        <w:tc>
          <w:tcPr>
            <w:tcW w:w="860" w:type="dxa"/>
            <w:vAlign w:val="bottom"/>
          </w:tcPr>
          <w:p>
            <w:pPr>
              <w:spacing w:after="0"/>
              <w:rPr>
                <w:sz w:val="2"/>
                <w:szCs w:val="2"/>
                <w:color w:val="auto"/>
              </w:rPr>
            </w:pPr>
          </w:p>
        </w:tc>
        <w:tc>
          <w:tcPr>
            <w:tcW w:w="740" w:type="dxa"/>
            <w:vAlign w:val="bottom"/>
          </w:tcPr>
          <w:p>
            <w:pPr>
              <w:spacing w:after="0"/>
              <w:rPr>
                <w:sz w:val="2"/>
                <w:szCs w:val="2"/>
                <w:color w:val="auto"/>
              </w:rPr>
            </w:pPr>
          </w:p>
        </w:tc>
      </w:tr>
      <w:tr>
        <w:trPr>
          <w:trHeight w:val="174"/>
        </w:trPr>
        <w:tc>
          <w:tcPr>
            <w:tcW w:w="2620" w:type="dxa"/>
            <w:vAlign w:val="bottom"/>
            <w:shd w:val="clear" w:color="auto" w:fill="E2E6F4"/>
          </w:tcPr>
          <w:p>
            <w:pPr>
              <w:ind w:left="20"/>
              <w:spacing w:after="0"/>
              <w:rPr>
                <w:sz w:val="20"/>
                <w:szCs w:val="20"/>
                <w:color w:val="auto"/>
              </w:rPr>
            </w:pPr>
            <w:r>
              <w:rPr>
                <w:rFonts w:ascii="Arial" w:cs="Arial" w:eastAsia="Arial" w:hAnsi="Arial"/>
                <w:sz w:val="13"/>
                <w:szCs w:val="13"/>
                <w:b w:val="1"/>
                <w:bCs w:val="1"/>
                <w:color w:val="auto"/>
              </w:rPr>
              <w:t>Compensation Actually Paid (as</w:t>
            </w:r>
          </w:p>
        </w:tc>
        <w:tc>
          <w:tcPr>
            <w:tcW w:w="820" w:type="dxa"/>
            <w:vAlign w:val="bottom"/>
            <w:shd w:val="clear" w:color="auto" w:fill="E2E6F4"/>
          </w:tcPr>
          <w:p>
            <w:pPr>
              <w:jc w:val="right"/>
              <w:ind w:right="14"/>
              <w:spacing w:after="0"/>
              <w:rPr>
                <w:sz w:val="20"/>
                <w:szCs w:val="20"/>
                <w:color w:val="auto"/>
              </w:rPr>
            </w:pPr>
            <w:r>
              <w:rPr>
                <w:rFonts w:ascii="Arial" w:cs="Arial" w:eastAsia="Arial" w:hAnsi="Arial"/>
                <w:sz w:val="13"/>
                <w:szCs w:val="13"/>
                <w:color w:val="auto"/>
              </w:rPr>
              <w:t>54,018,907</w:t>
            </w:r>
          </w:p>
        </w:tc>
        <w:tc>
          <w:tcPr>
            <w:tcW w:w="780" w:type="dxa"/>
            <w:vAlign w:val="bottom"/>
            <w:shd w:val="clear" w:color="auto" w:fill="E2E6F4"/>
          </w:tcPr>
          <w:p>
            <w:pPr>
              <w:jc w:val="right"/>
              <w:ind w:right="35"/>
              <w:spacing w:after="0"/>
              <w:rPr>
                <w:sz w:val="20"/>
                <w:szCs w:val="20"/>
                <w:color w:val="auto"/>
              </w:rPr>
            </w:pPr>
            <w:r>
              <w:rPr>
                <w:rFonts w:ascii="Arial" w:cs="Arial" w:eastAsia="Arial" w:hAnsi="Arial"/>
                <w:sz w:val="13"/>
                <w:szCs w:val="13"/>
                <w:color w:val="auto"/>
              </w:rPr>
              <w:t>12,298,348</w:t>
            </w:r>
          </w:p>
        </w:tc>
        <w:tc>
          <w:tcPr>
            <w:tcW w:w="800" w:type="dxa"/>
            <w:vAlign w:val="bottom"/>
            <w:shd w:val="clear" w:color="auto" w:fill="E2E6F4"/>
          </w:tcPr>
          <w:p>
            <w:pPr>
              <w:jc w:val="right"/>
              <w:ind w:right="14"/>
              <w:spacing w:after="0"/>
              <w:rPr>
                <w:sz w:val="20"/>
                <w:szCs w:val="20"/>
                <w:color w:val="auto"/>
              </w:rPr>
            </w:pPr>
            <w:r>
              <w:rPr>
                <w:rFonts w:ascii="Arial" w:cs="Arial" w:eastAsia="Arial" w:hAnsi="Arial"/>
                <w:sz w:val="13"/>
                <w:szCs w:val="13"/>
                <w:color w:val="auto"/>
              </w:rPr>
              <w:t>64,878,229</w:t>
            </w:r>
          </w:p>
        </w:tc>
        <w:tc>
          <w:tcPr>
            <w:tcW w:w="800" w:type="dxa"/>
            <w:vAlign w:val="bottom"/>
            <w:shd w:val="clear" w:color="auto" w:fill="E2E6F4"/>
          </w:tcPr>
          <w:p>
            <w:pPr>
              <w:jc w:val="right"/>
              <w:ind w:right="34"/>
              <w:spacing w:after="0"/>
              <w:rPr>
                <w:sz w:val="20"/>
                <w:szCs w:val="20"/>
                <w:color w:val="auto"/>
              </w:rPr>
            </w:pPr>
            <w:r>
              <w:rPr>
                <w:rFonts w:ascii="Arial" w:cs="Arial" w:eastAsia="Arial" w:hAnsi="Arial"/>
                <w:sz w:val="13"/>
                <w:szCs w:val="13"/>
                <w:color w:val="auto"/>
              </w:rPr>
              <w:t>19,814,793</w:t>
            </w:r>
          </w:p>
        </w:tc>
        <w:tc>
          <w:tcPr>
            <w:tcW w:w="880" w:type="dxa"/>
            <w:vAlign w:val="bottom"/>
            <w:shd w:val="clear" w:color="auto" w:fill="E2E6F4"/>
          </w:tcPr>
          <w:p>
            <w:pPr>
              <w:jc w:val="right"/>
              <w:ind w:right="34"/>
              <w:spacing w:after="0"/>
              <w:rPr>
                <w:sz w:val="20"/>
                <w:szCs w:val="20"/>
                <w:color w:val="auto"/>
              </w:rPr>
            </w:pPr>
            <w:r>
              <w:rPr>
                <w:rFonts w:ascii="Arial" w:cs="Arial" w:eastAsia="Arial" w:hAnsi="Arial"/>
                <w:sz w:val="13"/>
                <w:szCs w:val="13"/>
                <w:color w:val="auto"/>
              </w:rPr>
              <w:t>27,377,381</w:t>
            </w:r>
          </w:p>
        </w:tc>
        <w:tc>
          <w:tcPr>
            <w:tcW w:w="800" w:type="dxa"/>
            <w:vAlign w:val="bottom"/>
            <w:shd w:val="clear" w:color="auto" w:fill="E2E6F4"/>
          </w:tcPr>
          <w:p>
            <w:pPr>
              <w:ind w:left="80"/>
              <w:spacing w:after="0"/>
              <w:rPr>
                <w:sz w:val="20"/>
                <w:szCs w:val="20"/>
                <w:color w:val="auto"/>
              </w:rPr>
            </w:pPr>
            <w:r>
              <w:rPr>
                <w:rFonts w:ascii="Arial" w:cs="Arial" w:eastAsia="Arial" w:hAnsi="Arial"/>
                <w:sz w:val="13"/>
                <w:szCs w:val="13"/>
                <w:color w:val="auto"/>
              </w:rPr>
              <w:t>8,309,933</w:t>
            </w:r>
          </w:p>
        </w:tc>
        <w:tc>
          <w:tcPr>
            <w:tcW w:w="860" w:type="dxa"/>
            <w:vAlign w:val="bottom"/>
            <w:shd w:val="clear" w:color="auto" w:fill="E2E6F4"/>
          </w:tcPr>
          <w:p>
            <w:pPr>
              <w:jc w:val="right"/>
              <w:ind w:right="14"/>
              <w:spacing w:after="0"/>
              <w:rPr>
                <w:sz w:val="20"/>
                <w:szCs w:val="20"/>
                <w:color w:val="auto"/>
              </w:rPr>
            </w:pPr>
            <w:r>
              <w:rPr>
                <w:rFonts w:ascii="Arial" w:cs="Arial" w:eastAsia="Arial" w:hAnsi="Arial"/>
                <w:sz w:val="13"/>
                <w:szCs w:val="13"/>
                <w:color w:val="auto"/>
              </w:rPr>
              <w:t>11,380,249</w:t>
            </w:r>
          </w:p>
        </w:tc>
        <w:tc>
          <w:tcPr>
            <w:tcW w:w="820" w:type="dxa"/>
            <w:vAlign w:val="bottom"/>
            <w:shd w:val="clear" w:color="auto" w:fill="E2E6F4"/>
          </w:tcPr>
          <w:p>
            <w:pPr>
              <w:jc w:val="right"/>
              <w:ind w:right="35"/>
              <w:spacing w:after="0"/>
              <w:rPr>
                <w:sz w:val="20"/>
                <w:szCs w:val="20"/>
                <w:color w:val="auto"/>
              </w:rPr>
            </w:pPr>
            <w:r>
              <w:rPr>
                <w:rFonts w:ascii="Arial" w:cs="Arial" w:eastAsia="Arial" w:hAnsi="Arial"/>
                <w:sz w:val="13"/>
                <w:szCs w:val="13"/>
                <w:color w:val="auto"/>
              </w:rPr>
              <w:t>17,099,323</w:t>
            </w:r>
          </w:p>
        </w:tc>
        <w:tc>
          <w:tcPr>
            <w:tcW w:w="860" w:type="dxa"/>
            <w:vAlign w:val="bottom"/>
            <w:shd w:val="clear" w:color="auto" w:fill="E2E6F4"/>
          </w:tcPr>
          <w:p>
            <w:pPr>
              <w:jc w:val="right"/>
              <w:ind w:right="14"/>
              <w:spacing w:after="0"/>
              <w:rPr>
                <w:sz w:val="20"/>
                <w:szCs w:val="20"/>
                <w:color w:val="auto"/>
              </w:rPr>
            </w:pPr>
            <w:r>
              <w:rPr>
                <w:rFonts w:ascii="Arial" w:cs="Arial" w:eastAsia="Arial" w:hAnsi="Arial"/>
                <w:sz w:val="13"/>
                <w:szCs w:val="13"/>
                <w:color w:val="auto"/>
              </w:rPr>
              <w:t>59,568,116</w:t>
            </w:r>
          </w:p>
        </w:tc>
        <w:tc>
          <w:tcPr>
            <w:tcW w:w="740" w:type="dxa"/>
            <w:vAlign w:val="bottom"/>
            <w:shd w:val="clear" w:color="auto" w:fill="E2E6F4"/>
          </w:tcPr>
          <w:p>
            <w:pPr>
              <w:jc w:val="right"/>
              <w:spacing w:after="0"/>
              <w:rPr>
                <w:sz w:val="20"/>
                <w:szCs w:val="20"/>
                <w:color w:val="auto"/>
              </w:rPr>
            </w:pPr>
            <w:r>
              <w:rPr>
                <w:rFonts w:ascii="Arial" w:cs="Arial" w:eastAsia="Arial" w:hAnsi="Arial"/>
                <w:sz w:val="13"/>
                <w:szCs w:val="13"/>
                <w:color w:val="auto"/>
              </w:rPr>
              <w:t>10,201,627</w:t>
            </w:r>
          </w:p>
        </w:tc>
      </w:tr>
      <w:tr>
        <w:trPr>
          <w:trHeight w:val="197"/>
        </w:trPr>
        <w:tc>
          <w:tcPr>
            <w:tcW w:w="2620" w:type="dxa"/>
            <w:vAlign w:val="bottom"/>
            <w:tcBorders>
              <w:bottom w:val="single" w:sz="8" w:color="0067B3"/>
            </w:tcBorders>
            <w:shd w:val="clear" w:color="auto" w:fill="E2E6F4"/>
          </w:tcPr>
          <w:p>
            <w:pPr>
              <w:ind w:left="20"/>
              <w:spacing w:after="0"/>
              <w:rPr>
                <w:sz w:val="20"/>
                <w:szCs w:val="20"/>
                <w:color w:val="auto"/>
              </w:rPr>
            </w:pPr>
            <w:r>
              <w:rPr>
                <w:rFonts w:ascii="Arial" w:cs="Arial" w:eastAsia="Arial" w:hAnsi="Arial"/>
                <w:sz w:val="13"/>
                <w:szCs w:val="13"/>
                <w:b w:val="1"/>
                <w:bCs w:val="1"/>
                <w:color w:val="auto"/>
              </w:rPr>
              <w:t>calculated)</w:t>
            </w:r>
          </w:p>
        </w:tc>
        <w:tc>
          <w:tcPr>
            <w:tcW w:w="820" w:type="dxa"/>
            <w:vAlign w:val="bottom"/>
            <w:tcBorders>
              <w:bottom w:val="single" w:sz="8" w:color="0067B3"/>
            </w:tcBorders>
            <w:shd w:val="clear" w:color="auto" w:fill="E2E6F4"/>
          </w:tcPr>
          <w:p>
            <w:pPr>
              <w:spacing w:after="0"/>
              <w:rPr>
                <w:sz w:val="17"/>
                <w:szCs w:val="17"/>
                <w:color w:val="auto"/>
              </w:rPr>
            </w:pPr>
          </w:p>
        </w:tc>
        <w:tc>
          <w:tcPr>
            <w:tcW w:w="780" w:type="dxa"/>
            <w:vAlign w:val="bottom"/>
            <w:tcBorders>
              <w:bottom w:val="single" w:sz="8" w:color="0067B3"/>
            </w:tcBorders>
            <w:shd w:val="clear" w:color="auto" w:fill="E2E6F4"/>
          </w:tcPr>
          <w:p>
            <w:pPr>
              <w:spacing w:after="0"/>
              <w:rPr>
                <w:sz w:val="17"/>
                <w:szCs w:val="17"/>
                <w:color w:val="auto"/>
              </w:rPr>
            </w:pPr>
          </w:p>
        </w:tc>
        <w:tc>
          <w:tcPr>
            <w:tcW w:w="800" w:type="dxa"/>
            <w:vAlign w:val="bottom"/>
            <w:tcBorders>
              <w:bottom w:val="single" w:sz="8" w:color="0067B3"/>
            </w:tcBorders>
            <w:shd w:val="clear" w:color="auto" w:fill="E2E6F4"/>
          </w:tcPr>
          <w:p>
            <w:pPr>
              <w:spacing w:after="0"/>
              <w:rPr>
                <w:sz w:val="17"/>
                <w:szCs w:val="17"/>
                <w:color w:val="auto"/>
              </w:rPr>
            </w:pPr>
          </w:p>
        </w:tc>
        <w:tc>
          <w:tcPr>
            <w:tcW w:w="800" w:type="dxa"/>
            <w:vAlign w:val="bottom"/>
            <w:tcBorders>
              <w:bottom w:val="single" w:sz="8" w:color="0067B3"/>
            </w:tcBorders>
            <w:shd w:val="clear" w:color="auto" w:fill="E2E6F4"/>
          </w:tcPr>
          <w:p>
            <w:pPr>
              <w:spacing w:after="0"/>
              <w:rPr>
                <w:sz w:val="17"/>
                <w:szCs w:val="17"/>
                <w:color w:val="auto"/>
              </w:rPr>
            </w:pPr>
          </w:p>
        </w:tc>
        <w:tc>
          <w:tcPr>
            <w:tcW w:w="880" w:type="dxa"/>
            <w:vAlign w:val="bottom"/>
            <w:tcBorders>
              <w:bottom w:val="single" w:sz="8" w:color="0067B3"/>
            </w:tcBorders>
            <w:shd w:val="clear" w:color="auto" w:fill="E2E6F4"/>
          </w:tcPr>
          <w:p>
            <w:pPr>
              <w:spacing w:after="0"/>
              <w:rPr>
                <w:sz w:val="17"/>
                <w:szCs w:val="17"/>
                <w:color w:val="auto"/>
              </w:rPr>
            </w:pPr>
          </w:p>
        </w:tc>
        <w:tc>
          <w:tcPr>
            <w:tcW w:w="800" w:type="dxa"/>
            <w:vAlign w:val="bottom"/>
            <w:tcBorders>
              <w:bottom w:val="single" w:sz="8" w:color="0067B3"/>
            </w:tcBorders>
            <w:shd w:val="clear" w:color="auto" w:fill="E2E6F4"/>
          </w:tcPr>
          <w:p>
            <w:pPr>
              <w:spacing w:after="0"/>
              <w:rPr>
                <w:sz w:val="17"/>
                <w:szCs w:val="17"/>
                <w:color w:val="auto"/>
              </w:rPr>
            </w:pPr>
          </w:p>
        </w:tc>
        <w:tc>
          <w:tcPr>
            <w:tcW w:w="860" w:type="dxa"/>
            <w:vAlign w:val="bottom"/>
            <w:tcBorders>
              <w:bottom w:val="single" w:sz="8" w:color="0067B3"/>
            </w:tcBorders>
            <w:shd w:val="clear" w:color="auto" w:fill="E2E6F4"/>
          </w:tcPr>
          <w:p>
            <w:pPr>
              <w:spacing w:after="0"/>
              <w:rPr>
                <w:sz w:val="17"/>
                <w:szCs w:val="17"/>
                <w:color w:val="auto"/>
              </w:rPr>
            </w:pPr>
          </w:p>
        </w:tc>
        <w:tc>
          <w:tcPr>
            <w:tcW w:w="820" w:type="dxa"/>
            <w:vAlign w:val="bottom"/>
            <w:tcBorders>
              <w:bottom w:val="single" w:sz="8" w:color="0067B3"/>
            </w:tcBorders>
            <w:shd w:val="clear" w:color="auto" w:fill="E2E6F4"/>
          </w:tcPr>
          <w:p>
            <w:pPr>
              <w:spacing w:after="0"/>
              <w:rPr>
                <w:sz w:val="17"/>
                <w:szCs w:val="17"/>
                <w:color w:val="auto"/>
              </w:rPr>
            </w:pPr>
          </w:p>
        </w:tc>
        <w:tc>
          <w:tcPr>
            <w:tcW w:w="860" w:type="dxa"/>
            <w:vAlign w:val="bottom"/>
            <w:tcBorders>
              <w:bottom w:val="single" w:sz="8" w:color="0067B3"/>
            </w:tcBorders>
            <w:shd w:val="clear" w:color="auto" w:fill="E2E6F4"/>
          </w:tcPr>
          <w:p>
            <w:pPr>
              <w:spacing w:after="0"/>
              <w:rPr>
                <w:sz w:val="17"/>
                <w:szCs w:val="17"/>
                <w:color w:val="auto"/>
              </w:rPr>
            </w:pPr>
          </w:p>
        </w:tc>
        <w:tc>
          <w:tcPr>
            <w:tcW w:w="740" w:type="dxa"/>
            <w:vAlign w:val="bottom"/>
            <w:tcBorders>
              <w:bottom w:val="single" w:sz="8" w:color="0067B3"/>
            </w:tcBorders>
            <w:shd w:val="clear" w:color="auto" w:fill="E2E6F4"/>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1788160</wp:posOffset>
            </wp:positionH>
            <wp:positionV relativeFrom="paragraph">
              <wp:posOffset>-2836545</wp:posOffset>
            </wp:positionV>
            <wp:extent cx="5186045" cy="8255"/>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5186045" cy="8255"/>
                    </a:xfrm>
                    <a:prstGeom prst="rect">
                      <a:avLst/>
                    </a:prstGeom>
                    <a:noFill/>
                  </pic:spPr>
                </pic:pic>
              </a:graphicData>
            </a:graphic>
          </wp:anchor>
        </w:drawing>
      </w:r>
    </w:p>
    <w:p>
      <w:pPr>
        <w:sectPr>
          <w:pgSz w:w="11900" w:h="16838" w:orient="portrait"/>
          <w:cols w:equalWidth="0" w:num="1">
            <w:col w:w="11240"/>
          </w:cols>
          <w:pgMar w:left="320" w:top="1356" w:right="339" w:bottom="1440" w:gutter="0" w:footer="0" w:header="0"/>
        </w:sectPr>
      </w:pPr>
    </w:p>
    <w:p>
      <w:pPr>
        <w:spacing w:after="0" w:line="200" w:lineRule="exact"/>
        <w:rPr>
          <w:sz w:val="20"/>
          <w:szCs w:val="20"/>
          <w:color w:val="auto"/>
        </w:rPr>
      </w:pPr>
    </w:p>
    <w:p>
      <w:pPr>
        <w:spacing w:after="0" w:line="208" w:lineRule="exact"/>
        <w:rPr>
          <w:sz w:val="20"/>
          <w:szCs w:val="20"/>
          <w:color w:val="auto"/>
        </w:rPr>
      </w:pPr>
    </w:p>
    <w:p>
      <w:pPr>
        <w:ind w:left="8980"/>
        <w:spacing w:after="0"/>
        <w:tabs>
          <w:tab w:leader="none" w:pos="10980" w:val="left"/>
        </w:tabs>
        <w:rPr>
          <w:sz w:val="20"/>
          <w:szCs w:val="20"/>
          <w:color w:val="auto"/>
        </w:rPr>
      </w:pPr>
      <w:r>
        <w:rPr>
          <w:rFonts w:ascii="Arial" w:cs="Arial" w:eastAsia="Arial" w:hAnsi="Arial"/>
          <w:sz w:val="16"/>
          <w:szCs w:val="16"/>
          <w:color w:val="0067B3"/>
        </w:rPr>
        <w:t>2026 Proxy Statement</w:t>
      </w:r>
      <w:r>
        <w:rPr>
          <w:sz w:val="20"/>
          <w:szCs w:val="20"/>
          <w:color w:val="auto"/>
        </w:rPr>
        <w:tab/>
      </w:r>
      <w:r>
        <w:rPr>
          <w:rFonts w:ascii="Arial" w:cs="Arial" w:eastAsia="Arial" w:hAnsi="Arial"/>
          <w:sz w:val="19"/>
          <w:szCs w:val="19"/>
          <w:b w:val="1"/>
          <w:bCs w:val="1"/>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292100</wp:posOffset>
            </wp:positionV>
            <wp:extent cx="7157720" cy="42545"/>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56" w:right="339" w:bottom="1440" w:gutter="0" w:footer="0" w:header="0"/>
          <w:type w:val="continuous"/>
        </w:sectPr>
      </w:pPr>
    </w:p>
    <w:bookmarkStart w:id="77" w:name="page78"/>
    <w:bookmarkEnd w:id="77"/>
    <w:p>
      <w:pPr>
        <w:ind w:left="200" w:right="60"/>
        <w:spacing w:after="0" w:line="261" w:lineRule="auto"/>
        <w:rPr>
          <w:sz w:val="20"/>
          <w:szCs w:val="20"/>
          <w:color w:val="auto"/>
        </w:rPr>
      </w:pPr>
      <w:r>
        <w:rPr>
          <w:rFonts w:ascii="Arial" w:cs="Arial" w:eastAsia="Arial" w:hAnsi="Arial"/>
          <w:sz w:val="16"/>
          <w:szCs w:val="16"/>
          <w:color w:val="auto"/>
        </w:rPr>
        <w:t xml:space="preserve">“Compensation Actually Paid” does not correlate to the total amount of cash of equity compensation realized during each fiscal year and is different from “realizable” or “realized” compensation as reported in the </w:t>
      </w:r>
      <w:r>
        <w:rPr>
          <w:rFonts w:ascii="Arial" w:cs="Arial" w:eastAsia="Arial" w:hAnsi="Arial"/>
          <w:sz w:val="16"/>
          <w:szCs w:val="16"/>
          <w:i w:val="1"/>
          <w:iCs w:val="1"/>
          <w:color w:val="auto"/>
        </w:rPr>
        <w:t>Compensation Discussion and Analysis</w:t>
      </w:r>
      <w:r>
        <w:rPr>
          <w:rFonts w:ascii="Arial" w:cs="Arial" w:eastAsia="Arial" w:hAnsi="Arial"/>
          <w:sz w:val="16"/>
          <w:szCs w:val="16"/>
          <w:color w:val="auto"/>
        </w:rPr>
        <w:t>. Instead, it is a nuanced calculation that includes the increase or decrease in value of certain elements of compensation over each fiscal year, including compensation granted in a prior fiscal year, in accordance with Item 402(v) of Regulation S-K. Given a significant amount of “Compensation Actually Paid” is dependent on our stock price at a specific point in time, it is important to note that the values could have been dramatically different if other measurement dates were chosen. The amount of compensation ultimately received may, in fact, be different from the amounts disclosed in these columns of the Pay Versus Performance Table.</w:t>
      </w:r>
    </w:p>
    <w:p>
      <w:pPr>
        <w:spacing w:after="0" w:line="41" w:lineRule="exact"/>
        <w:rPr>
          <w:sz w:val="20"/>
          <w:szCs w:val="20"/>
          <w:color w:val="auto"/>
        </w:rPr>
      </w:pPr>
    </w:p>
    <w:p>
      <w:pPr>
        <w:ind w:left="200" w:right="100" w:hanging="192"/>
        <w:spacing w:after="0"/>
        <w:tabs>
          <w:tab w:leader="none" w:pos="215" w:val="left"/>
        </w:tabs>
        <w:numPr>
          <w:ilvl w:val="0"/>
          <w:numId w:val="130"/>
        </w:numPr>
        <w:rPr>
          <w:rFonts w:ascii="Arial" w:cs="Arial" w:eastAsia="Arial" w:hAnsi="Arial"/>
          <w:sz w:val="21"/>
          <w:szCs w:val="21"/>
          <w:color w:val="auto"/>
          <w:vertAlign w:val="superscript"/>
        </w:rPr>
      </w:pPr>
      <w:r>
        <w:rPr>
          <w:rFonts w:ascii="Arial" w:cs="Arial" w:eastAsia="Arial" w:hAnsi="Arial"/>
          <w:sz w:val="16"/>
          <w:szCs w:val="16"/>
          <w:color w:val="auto"/>
        </w:rPr>
        <w:t>The peer group TSR set forth in this table utilizes the S&amp;P Semiconductors Index, which we also utilize in the stock performance graph required by Item 201(e) of Regulation S-K included in our Annual Report on Form 10-K for the year ended November 1, 2025. The comparison assumes $100 was invested for the period starting October 31, 2020, through the end of the listed year in ADI and in the S&amp;P Semiconductors Index. Historical stock price performance is not necessarily indicative of future stock price performance.</w:t>
      </w:r>
    </w:p>
    <w:p>
      <w:pPr>
        <w:spacing w:after="0" w:line="57" w:lineRule="exact"/>
        <w:rPr>
          <w:rFonts w:ascii="Arial" w:cs="Arial" w:eastAsia="Arial" w:hAnsi="Arial"/>
          <w:sz w:val="21"/>
          <w:szCs w:val="21"/>
          <w:color w:val="auto"/>
          <w:vertAlign w:val="superscript"/>
        </w:rPr>
      </w:pPr>
    </w:p>
    <w:p>
      <w:pPr>
        <w:ind w:left="200" w:hanging="192"/>
        <w:spacing w:after="0"/>
        <w:tabs>
          <w:tab w:leader="none" w:pos="215" w:val="left"/>
        </w:tabs>
        <w:numPr>
          <w:ilvl w:val="0"/>
          <w:numId w:val="130"/>
        </w:numPr>
        <w:rPr>
          <w:rFonts w:ascii="Arial" w:cs="Arial" w:eastAsia="Arial" w:hAnsi="Arial"/>
          <w:sz w:val="21"/>
          <w:szCs w:val="21"/>
          <w:color w:val="auto"/>
          <w:vertAlign w:val="superscript"/>
        </w:rPr>
      </w:pPr>
      <w:r>
        <w:rPr>
          <w:rFonts w:ascii="Arial" w:cs="Arial" w:eastAsia="Arial" w:hAnsi="Arial"/>
          <w:sz w:val="16"/>
          <w:szCs w:val="16"/>
          <w:color w:val="auto"/>
        </w:rPr>
        <w:t>OPBT Margin represents the most important financial performance measure (that is not otherwise required to be disclosed in the table) used by us to link CAP to our NEOs, including our PEO, to our performance for the most recently completed fiscal year. OPBT Margin is a non-GAAP measure and is calculated as Adjusted Operating Margin excluding acquisition-related expenses and special charges. For a reconciliation of OPBT Margin to the most directly comparable GAAP financial measure and insight into how OPBT Margin is considered by management, please see Appendix B of this</w:t>
      </w:r>
    </w:p>
    <w:p>
      <w:pPr>
        <w:spacing w:after="0" w:line="1" w:lineRule="exact"/>
        <w:rPr>
          <w:rFonts w:ascii="Arial" w:cs="Arial" w:eastAsia="Arial" w:hAnsi="Arial"/>
          <w:sz w:val="21"/>
          <w:szCs w:val="21"/>
          <w:color w:val="auto"/>
          <w:vertAlign w:val="superscript"/>
        </w:rPr>
      </w:pPr>
    </w:p>
    <w:p>
      <w:pPr>
        <w:ind w:left="200"/>
        <w:spacing w:after="0"/>
        <w:rPr>
          <w:rFonts w:ascii="Arial" w:cs="Arial" w:eastAsia="Arial" w:hAnsi="Arial"/>
          <w:sz w:val="21"/>
          <w:szCs w:val="21"/>
          <w:color w:val="auto"/>
          <w:vertAlign w:val="superscript"/>
        </w:rPr>
      </w:pPr>
      <w:r>
        <w:rPr>
          <w:rFonts w:ascii="Arial" w:cs="Arial" w:eastAsia="Arial" w:hAnsi="Arial"/>
          <w:sz w:val="16"/>
          <w:szCs w:val="16"/>
          <w:color w:val="auto"/>
        </w:rPr>
        <w:t>Proxy Statement.</w:t>
      </w:r>
    </w:p>
    <w:p>
      <w:pPr>
        <w:spacing w:after="0" w:line="233" w:lineRule="exact"/>
        <w:rPr>
          <w:sz w:val="20"/>
          <w:szCs w:val="20"/>
          <w:color w:val="auto"/>
        </w:rPr>
      </w:pPr>
    </w:p>
    <w:p>
      <w:pPr>
        <w:spacing w:after="0"/>
        <w:rPr>
          <w:sz w:val="20"/>
          <w:szCs w:val="20"/>
          <w:color w:val="auto"/>
        </w:rPr>
      </w:pPr>
      <w:r>
        <w:rPr>
          <w:rFonts w:ascii="Arial" w:cs="Arial" w:eastAsia="Arial" w:hAnsi="Arial"/>
          <w:sz w:val="32"/>
          <w:szCs w:val="32"/>
          <w:b w:val="1"/>
          <w:bCs w:val="1"/>
          <w:color w:val="auto"/>
        </w:rPr>
        <w:t>Tabular List of Financial Performance Measures</w:t>
      </w:r>
    </w:p>
    <w:p>
      <w:pPr>
        <w:spacing w:after="0" w:line="156"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 xml:space="preserve">As described in greater detail in the </w:t>
      </w:r>
      <w:r>
        <w:rPr>
          <w:rFonts w:ascii="Arial" w:cs="Arial" w:eastAsia="Arial" w:hAnsi="Arial"/>
          <w:sz w:val="18"/>
          <w:szCs w:val="18"/>
          <w:i w:val="1"/>
          <w:iCs w:val="1"/>
          <w:color w:val="auto"/>
        </w:rPr>
        <w:t>Compensation Discussion and Analysis</w:t>
      </w:r>
      <w:r>
        <w:rPr>
          <w:rFonts w:ascii="Arial" w:cs="Arial" w:eastAsia="Arial" w:hAnsi="Arial"/>
          <w:sz w:val="18"/>
          <w:szCs w:val="18"/>
          <w:color w:val="auto"/>
        </w:rPr>
        <w:t xml:space="preserve"> section of this Proxy Statement, our executive compensation programs reflect a pay-for-performance philosophy. We utilize metrics for our short- and long-term incentive compensation programs based on an objective of driving profitable growth and increasing shareholder value. Listed below are the financial performance measures which, in our assessment, represent the most important performance measures we used to link CAP in fiscal year 2025 to our NEOs, including our PEO, to company performance. Of these measures, we have identified OPBT Margin as the most important of our financial performance measures.</w:t>
      </w:r>
    </w:p>
    <w:p>
      <w:pPr>
        <w:spacing w:after="0" w:line="74" w:lineRule="exact"/>
        <w:rPr>
          <w:sz w:val="20"/>
          <w:szCs w:val="20"/>
          <w:color w:val="auto"/>
        </w:rPr>
      </w:pPr>
    </w:p>
    <w:p>
      <w:pPr>
        <w:ind w:left="160" w:hanging="152"/>
        <w:spacing w:after="0"/>
        <w:tabs>
          <w:tab w:leader="none" w:pos="160" w:val="left"/>
        </w:tabs>
        <w:numPr>
          <w:ilvl w:val="0"/>
          <w:numId w:val="131"/>
        </w:numPr>
        <w:rPr>
          <w:rFonts w:ascii="Arial" w:cs="Arial" w:eastAsia="Arial" w:hAnsi="Arial"/>
          <w:sz w:val="13"/>
          <w:szCs w:val="13"/>
          <w:color w:val="0067B3"/>
        </w:rPr>
      </w:pPr>
      <w:r>
        <w:rPr>
          <w:rFonts w:ascii="Arial" w:cs="Arial" w:eastAsia="Arial" w:hAnsi="Arial"/>
          <w:sz w:val="18"/>
          <w:szCs w:val="18"/>
          <w:color w:val="auto"/>
        </w:rPr>
        <w:t>OPBT Margin*</w:t>
      </w:r>
    </w:p>
    <w:p>
      <w:pPr>
        <w:spacing w:after="0" w:line="76" w:lineRule="exact"/>
        <w:rPr>
          <w:rFonts w:ascii="Arial" w:cs="Arial" w:eastAsia="Arial" w:hAnsi="Arial"/>
          <w:sz w:val="13"/>
          <w:szCs w:val="13"/>
          <w:color w:val="0067B3"/>
        </w:rPr>
      </w:pPr>
    </w:p>
    <w:p>
      <w:pPr>
        <w:ind w:left="160" w:hanging="152"/>
        <w:spacing w:after="0"/>
        <w:tabs>
          <w:tab w:leader="none" w:pos="160" w:val="left"/>
        </w:tabs>
        <w:numPr>
          <w:ilvl w:val="0"/>
          <w:numId w:val="131"/>
        </w:numPr>
        <w:rPr>
          <w:rFonts w:ascii="Arial" w:cs="Arial" w:eastAsia="Arial" w:hAnsi="Arial"/>
          <w:sz w:val="13"/>
          <w:szCs w:val="13"/>
          <w:color w:val="0067B3"/>
        </w:rPr>
      </w:pPr>
      <w:r>
        <w:rPr>
          <w:rFonts w:ascii="Arial" w:cs="Arial" w:eastAsia="Arial" w:hAnsi="Arial"/>
          <w:sz w:val="18"/>
          <w:szCs w:val="18"/>
          <w:color w:val="auto"/>
        </w:rPr>
        <w:t>Revenue Growth</w:t>
      </w:r>
    </w:p>
    <w:p>
      <w:pPr>
        <w:spacing w:after="0" w:line="90" w:lineRule="exact"/>
        <w:rPr>
          <w:rFonts w:ascii="Arial" w:cs="Arial" w:eastAsia="Arial" w:hAnsi="Arial"/>
          <w:sz w:val="13"/>
          <w:szCs w:val="13"/>
          <w:color w:val="0067B3"/>
        </w:rPr>
      </w:pPr>
    </w:p>
    <w:p>
      <w:pPr>
        <w:ind w:left="160" w:hanging="152"/>
        <w:spacing w:after="0"/>
        <w:tabs>
          <w:tab w:leader="none" w:pos="160" w:val="left"/>
        </w:tabs>
        <w:numPr>
          <w:ilvl w:val="0"/>
          <w:numId w:val="131"/>
        </w:numPr>
        <w:rPr>
          <w:rFonts w:ascii="Arial" w:cs="Arial" w:eastAsia="Arial" w:hAnsi="Arial"/>
          <w:sz w:val="13"/>
          <w:szCs w:val="13"/>
          <w:color w:val="0067B3"/>
        </w:rPr>
      </w:pPr>
      <w:r>
        <w:rPr>
          <w:rFonts w:ascii="Arial" w:cs="Arial" w:eastAsia="Arial" w:hAnsi="Arial"/>
          <w:sz w:val="18"/>
          <w:szCs w:val="18"/>
          <w:color w:val="auto"/>
        </w:rPr>
        <w:t>Adjusted Operating Income*</w:t>
      </w:r>
    </w:p>
    <w:p>
      <w:pPr>
        <w:spacing w:after="0" w:line="76" w:lineRule="exact"/>
        <w:rPr>
          <w:rFonts w:ascii="Arial" w:cs="Arial" w:eastAsia="Arial" w:hAnsi="Arial"/>
          <w:sz w:val="13"/>
          <w:szCs w:val="13"/>
          <w:color w:val="0067B3"/>
        </w:rPr>
      </w:pPr>
    </w:p>
    <w:p>
      <w:pPr>
        <w:ind w:left="160" w:hanging="152"/>
        <w:spacing w:after="0"/>
        <w:tabs>
          <w:tab w:leader="none" w:pos="160" w:val="left"/>
        </w:tabs>
        <w:numPr>
          <w:ilvl w:val="0"/>
          <w:numId w:val="131"/>
        </w:numPr>
        <w:rPr>
          <w:rFonts w:ascii="Arial" w:cs="Arial" w:eastAsia="Arial" w:hAnsi="Arial"/>
          <w:sz w:val="13"/>
          <w:szCs w:val="13"/>
          <w:color w:val="0067B3"/>
        </w:rPr>
      </w:pPr>
      <w:r>
        <w:rPr>
          <w:rFonts w:ascii="Arial" w:cs="Arial" w:eastAsia="Arial" w:hAnsi="Arial"/>
          <w:sz w:val="18"/>
          <w:szCs w:val="18"/>
          <w:color w:val="auto"/>
        </w:rPr>
        <w:t>Relative Total Shareholder Return (TSR)</w:t>
      </w:r>
    </w:p>
    <w:p>
      <w:pPr>
        <w:spacing w:after="0" w:line="81" w:lineRule="exact"/>
        <w:rPr>
          <w:sz w:val="20"/>
          <w:szCs w:val="20"/>
          <w:color w:val="auto"/>
        </w:rPr>
      </w:pPr>
    </w:p>
    <w:p>
      <w:pPr>
        <w:ind w:left="200" w:right="20" w:hanging="192"/>
        <w:spacing w:after="0" w:line="275" w:lineRule="auto"/>
        <w:tabs>
          <w:tab w:leader="none" w:pos="249" w:val="left"/>
        </w:tabs>
        <w:numPr>
          <w:ilvl w:val="0"/>
          <w:numId w:val="132"/>
        </w:numPr>
        <w:rPr>
          <w:rFonts w:ascii="Arial" w:cs="Arial" w:eastAsia="Arial" w:hAnsi="Arial"/>
          <w:sz w:val="16"/>
          <w:szCs w:val="16"/>
          <w:color w:val="auto"/>
        </w:rPr>
      </w:pPr>
      <w:r>
        <w:rPr>
          <w:rFonts w:ascii="Arial" w:cs="Arial" w:eastAsia="Arial" w:hAnsi="Arial"/>
          <w:sz w:val="16"/>
          <w:szCs w:val="16"/>
          <w:color w:val="auto"/>
        </w:rPr>
        <w:t>OPBT Margin and Adjusted Operating Income are not prepared in accordance with GAAP. For a reconciliation of these non-GAAP financial measures to the most directly comparable GAAP financial measures and insight into how these non-GAAP measures are considered by management, please see Appendix B of this Proxy Statement.</w:t>
      </w:r>
    </w:p>
    <w:p>
      <w:pPr>
        <w:spacing w:after="0" w:line="188" w:lineRule="exact"/>
        <w:rPr>
          <w:sz w:val="20"/>
          <w:szCs w:val="20"/>
          <w:color w:val="auto"/>
        </w:rPr>
      </w:pPr>
    </w:p>
    <w:p>
      <w:pPr>
        <w:spacing w:after="0"/>
        <w:rPr>
          <w:sz w:val="20"/>
          <w:szCs w:val="20"/>
          <w:color w:val="auto"/>
        </w:rPr>
      </w:pPr>
      <w:r>
        <w:rPr>
          <w:rFonts w:ascii="Arial" w:cs="Arial" w:eastAsia="Arial" w:hAnsi="Arial"/>
          <w:sz w:val="32"/>
          <w:szCs w:val="32"/>
          <w:b w:val="1"/>
          <w:bCs w:val="1"/>
          <w:color w:val="auto"/>
        </w:rPr>
        <w:t>Pay Versus Performance: Graphical Description</w:t>
      </w:r>
    </w:p>
    <w:p>
      <w:pPr>
        <w:spacing w:after="0" w:line="156" w:lineRule="exact"/>
        <w:rPr>
          <w:sz w:val="20"/>
          <w:szCs w:val="20"/>
          <w:color w:val="auto"/>
        </w:rPr>
      </w:pPr>
    </w:p>
    <w:p>
      <w:pPr>
        <w:ind w:right="260"/>
        <w:spacing w:after="0" w:line="287" w:lineRule="auto"/>
        <w:rPr>
          <w:sz w:val="20"/>
          <w:szCs w:val="20"/>
          <w:color w:val="auto"/>
        </w:rPr>
      </w:pPr>
      <w:r>
        <w:rPr>
          <w:rFonts w:ascii="Arial" w:cs="Arial" w:eastAsia="Arial" w:hAnsi="Arial"/>
          <w:sz w:val="18"/>
          <w:szCs w:val="18"/>
          <w:color w:val="auto"/>
        </w:rPr>
        <w:t>The charts below provide a graphical description of the relationship of CAP to our PEO and non-PEO NEOs (as calculated in accordance with the SEC rules) and the following performance measures:</w:t>
      </w:r>
    </w:p>
    <w:p>
      <w:pPr>
        <w:spacing w:after="0" w:line="45" w:lineRule="exact"/>
        <w:rPr>
          <w:sz w:val="20"/>
          <w:szCs w:val="20"/>
          <w:color w:val="auto"/>
        </w:rPr>
      </w:pPr>
    </w:p>
    <w:p>
      <w:pPr>
        <w:ind w:left="160" w:hanging="152"/>
        <w:spacing w:after="0"/>
        <w:tabs>
          <w:tab w:leader="none" w:pos="160" w:val="left"/>
        </w:tabs>
        <w:numPr>
          <w:ilvl w:val="0"/>
          <w:numId w:val="133"/>
        </w:numPr>
        <w:rPr>
          <w:rFonts w:ascii="Arial" w:cs="Arial" w:eastAsia="Arial" w:hAnsi="Arial"/>
          <w:sz w:val="13"/>
          <w:szCs w:val="13"/>
          <w:color w:val="0067B3"/>
        </w:rPr>
      </w:pPr>
      <w:r>
        <w:rPr>
          <w:rFonts w:ascii="Arial" w:cs="Arial" w:eastAsia="Arial" w:hAnsi="Arial"/>
          <w:sz w:val="18"/>
          <w:szCs w:val="18"/>
          <w:color w:val="auto"/>
        </w:rPr>
        <w:t>ADI’s cumulative TSR and the S&amp;P Semiconductors Index cumulative TSR;</w:t>
      </w:r>
    </w:p>
    <w:p>
      <w:pPr>
        <w:spacing w:after="0" w:line="90" w:lineRule="exact"/>
        <w:rPr>
          <w:rFonts w:ascii="Arial" w:cs="Arial" w:eastAsia="Arial" w:hAnsi="Arial"/>
          <w:sz w:val="13"/>
          <w:szCs w:val="13"/>
          <w:color w:val="0067B3"/>
        </w:rPr>
      </w:pPr>
    </w:p>
    <w:p>
      <w:pPr>
        <w:ind w:left="160" w:hanging="152"/>
        <w:spacing w:after="0"/>
        <w:tabs>
          <w:tab w:leader="none" w:pos="160" w:val="left"/>
        </w:tabs>
        <w:numPr>
          <w:ilvl w:val="0"/>
          <w:numId w:val="133"/>
        </w:numPr>
        <w:rPr>
          <w:rFonts w:ascii="Arial" w:cs="Arial" w:eastAsia="Arial" w:hAnsi="Arial"/>
          <w:sz w:val="13"/>
          <w:szCs w:val="13"/>
          <w:color w:val="0067B3"/>
        </w:rPr>
      </w:pPr>
      <w:r>
        <w:rPr>
          <w:rFonts w:ascii="Arial" w:cs="Arial" w:eastAsia="Arial" w:hAnsi="Arial"/>
          <w:sz w:val="18"/>
          <w:szCs w:val="18"/>
          <w:color w:val="auto"/>
        </w:rPr>
        <w:t>ADI’s Net Income; and</w:t>
      </w:r>
    </w:p>
    <w:p>
      <w:pPr>
        <w:spacing w:after="0" w:line="76" w:lineRule="exact"/>
        <w:rPr>
          <w:rFonts w:ascii="Arial" w:cs="Arial" w:eastAsia="Arial" w:hAnsi="Arial"/>
          <w:sz w:val="13"/>
          <w:szCs w:val="13"/>
          <w:color w:val="0067B3"/>
        </w:rPr>
      </w:pPr>
    </w:p>
    <w:p>
      <w:pPr>
        <w:ind w:left="160" w:hanging="152"/>
        <w:spacing w:after="0"/>
        <w:tabs>
          <w:tab w:leader="none" w:pos="160" w:val="left"/>
        </w:tabs>
        <w:numPr>
          <w:ilvl w:val="0"/>
          <w:numId w:val="133"/>
        </w:numPr>
        <w:rPr>
          <w:rFonts w:ascii="Arial" w:cs="Arial" w:eastAsia="Arial" w:hAnsi="Arial"/>
          <w:sz w:val="13"/>
          <w:szCs w:val="13"/>
          <w:color w:val="0067B3"/>
        </w:rPr>
      </w:pPr>
      <w:r>
        <w:rPr>
          <w:rFonts w:ascii="Arial" w:cs="Arial" w:eastAsia="Arial" w:hAnsi="Arial"/>
          <w:sz w:val="18"/>
          <w:szCs w:val="18"/>
          <w:color w:val="auto"/>
        </w:rPr>
        <w:t>ADI’s OPBT Margin.</w:t>
      </w:r>
    </w:p>
    <w:p>
      <w:pPr>
        <w:spacing w:after="0" w:line="200" w:lineRule="exact"/>
        <w:rPr>
          <w:sz w:val="20"/>
          <w:szCs w:val="20"/>
          <w:color w:val="auto"/>
        </w:rPr>
      </w:pPr>
    </w:p>
    <w:p>
      <w:pPr>
        <w:spacing w:after="0" w:line="298" w:lineRule="exact"/>
        <w:rPr>
          <w:sz w:val="20"/>
          <w:szCs w:val="20"/>
          <w:color w:val="auto"/>
        </w:rPr>
      </w:pPr>
    </w:p>
    <w:p>
      <w:pPr>
        <w:ind w:left="640" w:hanging="614"/>
        <w:spacing w:after="0"/>
        <w:tabs>
          <w:tab w:leader="none" w:pos="640" w:val="left"/>
        </w:tabs>
        <w:numPr>
          <w:ilvl w:val="0"/>
          <w:numId w:val="134"/>
        </w:numPr>
        <w:rPr>
          <w:rFonts w:ascii="Arial" w:cs="Arial" w:eastAsia="Arial" w:hAnsi="Arial"/>
          <w:sz w:val="20"/>
          <w:szCs w:val="20"/>
          <w:b w:val="1"/>
          <w:bCs w:val="1"/>
          <w:color w:val="auto"/>
        </w:rPr>
      </w:pPr>
      <w:r>
        <w:rPr>
          <w:rFonts w:ascii="Arial" w:cs="Arial" w:eastAsia="Arial" w:hAnsi="Arial"/>
          <w:sz w:val="16"/>
          <w:szCs w:val="16"/>
          <w:color w:val="6D6E71"/>
        </w:rPr>
        <w:t>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194310</wp:posOffset>
            </wp:positionV>
            <wp:extent cx="7157720" cy="42545"/>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178" w:right="419" w:bottom="1440" w:gutter="0" w:footer="0" w:header="0"/>
        </w:sectPr>
      </w:pPr>
    </w:p>
    <w:bookmarkStart w:id="78" w:name="page79"/>
    <w:bookmarkEnd w:id="78"/>
    <w:p>
      <w:pPr>
        <w:spacing w:after="0"/>
        <w:rPr>
          <w:sz w:val="20"/>
          <w:szCs w:val="20"/>
          <w:color w:val="auto"/>
        </w:rPr>
      </w:pPr>
      <w:r>
        <w:rPr>
          <w:rFonts w:ascii="Arial" w:cs="Arial" w:eastAsia="Arial" w:hAnsi="Arial"/>
          <w:sz w:val="18"/>
          <w:szCs w:val="18"/>
          <w:b w:val="1"/>
          <w:bCs w:val="1"/>
          <w:color w:val="0067B3"/>
        </w:rPr>
        <w:t>CAP vs. TSR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1393825</wp:posOffset>
            </wp:positionH>
            <wp:positionV relativeFrom="paragraph">
              <wp:posOffset>86360</wp:posOffset>
            </wp:positionV>
            <wp:extent cx="4354830" cy="2322830"/>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4354830" cy="23228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spacing w:after="0"/>
        <w:rPr>
          <w:sz w:val="20"/>
          <w:szCs w:val="20"/>
          <w:color w:val="auto"/>
        </w:rPr>
      </w:pPr>
      <w:r>
        <w:rPr>
          <w:rFonts w:ascii="Arial" w:cs="Arial" w:eastAsia="Arial" w:hAnsi="Arial"/>
          <w:sz w:val="18"/>
          <w:szCs w:val="18"/>
          <w:b w:val="1"/>
          <w:bCs w:val="1"/>
          <w:color w:val="0067B3"/>
        </w:rPr>
        <w:t>CAP vs. Net Income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1393825</wp:posOffset>
            </wp:positionH>
            <wp:positionV relativeFrom="paragraph">
              <wp:posOffset>86360</wp:posOffset>
            </wp:positionV>
            <wp:extent cx="4354830" cy="2263140"/>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4354830" cy="22631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Arial" w:cs="Arial" w:eastAsia="Arial" w:hAnsi="Arial"/>
          <w:sz w:val="18"/>
          <w:szCs w:val="18"/>
          <w:b w:val="1"/>
          <w:bCs w:val="1"/>
          <w:color w:val="0067B3"/>
        </w:rPr>
        <w:t>CAP vs. OPBT Margin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1393825</wp:posOffset>
            </wp:positionH>
            <wp:positionV relativeFrom="paragraph">
              <wp:posOffset>86360</wp:posOffset>
            </wp:positionV>
            <wp:extent cx="4354830" cy="2263140"/>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4354830" cy="2263140"/>
                    </a:xfrm>
                    <a:prstGeom prst="rect">
                      <a:avLst/>
                    </a:prstGeom>
                    <a:noFill/>
                  </pic:spPr>
                </pic:pic>
              </a:graphicData>
            </a:graphic>
          </wp:anchor>
        </w:drawing>
      </w:r>
    </w:p>
    <w:p>
      <w:pPr>
        <w:sectPr>
          <w:pgSz w:w="11900" w:h="16838" w:orient="portrait"/>
          <w:cols w:equalWidth="0" w:num="1">
            <w:col w:w="11220"/>
          </w:cols>
          <w:pgMar w:left="320" w:top="1214"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ind w:left="8980"/>
        <w:spacing w:after="0"/>
        <w:tabs>
          <w:tab w:leader="none" w:pos="10980" w:val="left"/>
        </w:tabs>
        <w:rPr>
          <w:sz w:val="20"/>
          <w:szCs w:val="20"/>
          <w:color w:val="auto"/>
        </w:rPr>
      </w:pPr>
      <w:r>
        <w:rPr>
          <w:rFonts w:ascii="Arial" w:cs="Arial" w:eastAsia="Arial" w:hAnsi="Arial"/>
          <w:sz w:val="16"/>
          <w:szCs w:val="16"/>
          <w:color w:val="0067B3"/>
        </w:rPr>
        <w:t>2026 Proxy Statement</w:t>
      </w:r>
      <w:r>
        <w:rPr>
          <w:sz w:val="20"/>
          <w:szCs w:val="20"/>
          <w:color w:val="auto"/>
        </w:rPr>
        <w:tab/>
      </w:r>
      <w:r>
        <w:rPr>
          <w:rFonts w:ascii="Arial" w:cs="Arial" w:eastAsia="Arial" w:hAnsi="Arial"/>
          <w:sz w:val="19"/>
          <w:szCs w:val="19"/>
          <w:b w:val="1"/>
          <w:bCs w:val="1"/>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300990</wp:posOffset>
            </wp:positionV>
            <wp:extent cx="7157720" cy="42545"/>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4" w:right="359" w:bottom="1440" w:gutter="0" w:footer="0" w:header="0"/>
          <w:type w:val="continuous"/>
        </w:sectPr>
      </w:pPr>
    </w:p>
    <w:bookmarkStart w:id="79" w:name="page80"/>
    <w:bookmarkEnd w:id="79"/>
    <w:p>
      <w:pPr>
        <w:spacing w:after="0"/>
        <w:rPr>
          <w:sz w:val="20"/>
          <w:szCs w:val="20"/>
          <w:color w:val="auto"/>
        </w:rPr>
      </w:pPr>
      <w:r>
        <w:rPr>
          <w:rFonts w:ascii="Arial" w:cs="Arial" w:eastAsia="Arial" w:hAnsi="Arial"/>
          <w:sz w:val="58"/>
          <w:szCs w:val="58"/>
          <w:color w:val="auto"/>
        </w:rPr>
        <w:t>Audit Matters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347345</wp:posOffset>
            </wp:positionV>
            <wp:extent cx="7132320" cy="2760345"/>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7132320" cy="27603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220"/>
        <w:spacing w:after="0"/>
        <w:rPr>
          <w:sz w:val="20"/>
          <w:szCs w:val="20"/>
          <w:color w:val="auto"/>
        </w:rPr>
      </w:pPr>
      <w:r>
        <w:rPr>
          <w:rFonts w:ascii="Arial" w:cs="Arial" w:eastAsia="Arial" w:hAnsi="Arial"/>
          <w:sz w:val="18"/>
          <w:szCs w:val="18"/>
          <w:b w:val="1"/>
          <w:bCs w:val="1"/>
          <w:color w:val="0067B3"/>
        </w:rPr>
        <w:t>PROPOSAL 3</w:t>
      </w:r>
    </w:p>
    <w:p>
      <w:pPr>
        <w:spacing w:after="0" w:line="106" w:lineRule="exact"/>
        <w:rPr>
          <w:sz w:val="20"/>
          <w:szCs w:val="20"/>
          <w:color w:val="auto"/>
        </w:rPr>
      </w:pPr>
    </w:p>
    <w:p>
      <w:pPr>
        <w:jc w:val="both"/>
        <w:ind w:left="220" w:right="860"/>
        <w:spacing w:after="0" w:line="281" w:lineRule="auto"/>
        <w:rPr>
          <w:sz w:val="20"/>
          <w:szCs w:val="20"/>
          <w:color w:val="auto"/>
        </w:rPr>
      </w:pPr>
      <w:r>
        <w:rPr>
          <w:rFonts w:ascii="Arial" w:cs="Arial" w:eastAsia="Arial" w:hAnsi="Arial"/>
          <w:sz w:val="32"/>
          <w:szCs w:val="32"/>
          <w:b w:val="1"/>
          <w:bCs w:val="1"/>
          <w:color w:val="auto"/>
        </w:rPr>
        <w:t>Ratification of the Selection of Ernst &amp; Young LLP as Independent Registered Public Accounting Firm for the Company’s Fiscal Year Ending October 31, 2026</w:t>
      </w:r>
    </w:p>
    <w:p>
      <w:pPr>
        <w:spacing w:after="0" w:line="217" w:lineRule="exact"/>
        <w:rPr>
          <w:sz w:val="20"/>
          <w:szCs w:val="20"/>
          <w:color w:val="auto"/>
        </w:rPr>
      </w:pPr>
    </w:p>
    <w:p>
      <w:pPr>
        <w:ind w:left="220" w:right="880"/>
        <w:spacing w:after="0" w:line="262" w:lineRule="auto"/>
        <w:rPr>
          <w:sz w:val="20"/>
          <w:szCs w:val="20"/>
          <w:color w:val="auto"/>
        </w:rPr>
      </w:pPr>
      <w:r>
        <w:rPr>
          <w:rFonts w:ascii="Arial" w:cs="Arial" w:eastAsia="Arial" w:hAnsi="Arial"/>
          <w:sz w:val="18"/>
          <w:szCs w:val="18"/>
          <w:color w:val="auto"/>
        </w:rPr>
        <w:t>Our Audit Committee is directly responsible for the appointment, compensation, retention, and oversight of ADI’s independent registered public accounting firm. To execute this responsibility, the Audit Committee engages in an annual evaluation of the independent registered public accounting firm’s qualifications, performance, and independence and whether the retention of the independent public accounting firm is in the best interests of the company and our shareholders.</w:t>
      </w:r>
    </w:p>
    <w:p>
      <w:pPr>
        <w:spacing w:after="0" w:line="71" w:lineRule="exact"/>
        <w:rPr>
          <w:sz w:val="20"/>
          <w:szCs w:val="20"/>
          <w:color w:val="auto"/>
        </w:rPr>
      </w:pPr>
    </w:p>
    <w:p>
      <w:pPr>
        <w:jc w:val="both"/>
        <w:ind w:left="220" w:right="1660"/>
        <w:spacing w:after="0" w:line="274" w:lineRule="auto"/>
        <w:rPr>
          <w:sz w:val="20"/>
          <w:szCs w:val="20"/>
          <w:color w:val="auto"/>
        </w:rPr>
      </w:pPr>
      <w:r>
        <w:rPr>
          <w:rFonts w:ascii="Arial" w:cs="Arial" w:eastAsia="Arial" w:hAnsi="Arial"/>
          <w:sz w:val="27"/>
          <w:szCs w:val="27"/>
          <w:b w:val="1"/>
          <w:bCs w:val="1"/>
          <w:color w:val="0067B3"/>
        </w:rPr>
        <w:t>Our Board of Directors recommends that you vote FOR the ratification of the selection of Ernst &amp; Young LLP as our independent registered public accounting firm for fiscal year 2026.</w:t>
      </w:r>
    </w:p>
    <w:p>
      <w:pPr>
        <w:spacing w:after="0" w:line="200" w:lineRule="exact"/>
        <w:rPr>
          <w:sz w:val="20"/>
          <w:szCs w:val="20"/>
          <w:color w:val="auto"/>
        </w:rPr>
      </w:pPr>
    </w:p>
    <w:p>
      <w:pPr>
        <w:spacing w:after="0" w:line="374" w:lineRule="exact"/>
        <w:rPr>
          <w:sz w:val="20"/>
          <w:szCs w:val="20"/>
          <w:color w:val="auto"/>
        </w:rPr>
      </w:pPr>
    </w:p>
    <w:p>
      <w:pPr>
        <w:spacing w:after="0"/>
        <w:rPr>
          <w:sz w:val="20"/>
          <w:szCs w:val="20"/>
          <w:color w:val="auto"/>
        </w:rPr>
      </w:pPr>
      <w:r>
        <w:rPr>
          <w:rFonts w:ascii="Arial" w:cs="Arial" w:eastAsia="Arial" w:hAnsi="Arial"/>
          <w:sz w:val="41"/>
          <w:szCs w:val="41"/>
          <w:b w:val="1"/>
          <w:bCs w:val="1"/>
          <w:color w:val="0067B3"/>
        </w:rPr>
        <w:t>Overview</w:t>
      </w:r>
    </w:p>
    <w:p>
      <w:pPr>
        <w:spacing w:after="0" w:line="156"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Our Audit Committee has selected the firm of Ernst &amp; Young LLP, independent registered public accounting firm, as our auditors for the fiscal year ending October 31, 2026 (fiscal year 2026). We have engaged Ernst &amp; Young LLP, or its predecessor firms, to serve as our independent registered public accounting firm continuously since 1967. Through Ernst &amp; Young LLP’s years of experience with ADI, Ernst &amp; Young LLP has gained institutional knowledge of and deep expertise regarding ADI’s global operations, accounting policies and practices, and internal control over financial reporting, which enables efficiency with the annual audit and benefits the company. In accordance with SEC rules and Ernst &amp; Young LLP policies, the firm’s lead engagement partner rotates every five years. Our Audit Committee and its Chair are directly involved in the selection of Ernst &amp; Young LLP’s lead engagement partner. The Audit Committee also has the sole authority to approve all engagement fees paid to our independent registered public accounting firm.</w:t>
      </w:r>
    </w:p>
    <w:p>
      <w:pPr>
        <w:spacing w:after="0" w:line="77"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The Audit Committee and our Board of Directors believe that the continued retention of Ernst &amp; Young LLP as our independent registered public accounting firm is in the best interests of the company and our shareholders, and we are asking our shareholders to ratify the selection of Ernst &amp; Young LLP as our independent registered public accounting firm for fiscal year 2026. Although shareholder approval of the selection of Ernst &amp; Young LLP is not required by law, our Board of Directors believes that it is advisable to give shareholders an opportunity to ratify this selection. If this proposal is not approved by our shareholders at the Annual Meeting, our Audit Committee will reconsider its selection of Ernst &amp; Young LLP. Even if the selection is ratified, the Audit Committee may, in its discretion, select a different independent registered public accounting firm at any time during the year if it determines that such change would be in the best interests of the company and our shareholders.</w:t>
      </w:r>
    </w:p>
    <w:p>
      <w:pPr>
        <w:spacing w:after="0" w:line="77" w:lineRule="exact"/>
        <w:rPr>
          <w:sz w:val="20"/>
          <w:szCs w:val="20"/>
          <w:color w:val="auto"/>
        </w:rPr>
      </w:pPr>
    </w:p>
    <w:p>
      <w:pPr>
        <w:ind w:right="20"/>
        <w:spacing w:after="0" w:line="287" w:lineRule="auto"/>
        <w:rPr>
          <w:sz w:val="20"/>
          <w:szCs w:val="20"/>
          <w:color w:val="auto"/>
        </w:rPr>
      </w:pPr>
      <w:r>
        <w:rPr>
          <w:rFonts w:ascii="Arial" w:cs="Arial" w:eastAsia="Arial" w:hAnsi="Arial"/>
          <w:sz w:val="18"/>
          <w:szCs w:val="18"/>
          <w:color w:val="auto"/>
        </w:rPr>
        <w:t>Representatives of Ernst &amp; Young LLP are expected to attend the Annual Meeting. They will have the opportunity to make a statement if they desire to do so and will also be available to respond to appropriate questions from shareholders.</w:t>
      </w:r>
    </w:p>
    <w:p>
      <w:pPr>
        <w:spacing w:after="0" w:line="200" w:lineRule="exact"/>
        <w:rPr>
          <w:sz w:val="20"/>
          <w:szCs w:val="20"/>
          <w:color w:val="auto"/>
        </w:rPr>
      </w:pPr>
    </w:p>
    <w:p>
      <w:pPr>
        <w:spacing w:after="0" w:line="266" w:lineRule="exact"/>
        <w:rPr>
          <w:sz w:val="20"/>
          <w:szCs w:val="20"/>
          <w:color w:val="auto"/>
        </w:rPr>
      </w:pPr>
    </w:p>
    <w:p>
      <w:pPr>
        <w:ind w:left="640" w:hanging="614"/>
        <w:spacing w:after="0"/>
        <w:tabs>
          <w:tab w:leader="none" w:pos="640" w:val="left"/>
        </w:tabs>
        <w:numPr>
          <w:ilvl w:val="0"/>
          <w:numId w:val="135"/>
        </w:numPr>
        <w:rPr>
          <w:rFonts w:ascii="Arial" w:cs="Arial" w:eastAsia="Arial" w:hAnsi="Arial"/>
          <w:sz w:val="20"/>
          <w:szCs w:val="20"/>
          <w:b w:val="1"/>
          <w:bCs w:val="1"/>
          <w:color w:val="auto"/>
        </w:rPr>
      </w:pPr>
      <w:r>
        <w:rPr>
          <w:rFonts w:ascii="Arial" w:cs="Arial" w:eastAsia="Arial" w:hAnsi="Arial"/>
          <w:sz w:val="16"/>
          <w:szCs w:val="16"/>
          <w:color w:val="6D6E71"/>
        </w:rPr>
        <w:t>Audit Matters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194310</wp:posOffset>
            </wp:positionV>
            <wp:extent cx="7157720" cy="42545"/>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26" w:right="359" w:bottom="1440" w:gutter="0" w:footer="0" w:header="0"/>
        </w:sectPr>
      </w:pPr>
    </w:p>
    <w:bookmarkStart w:id="80" w:name="page81"/>
    <w:bookmarkEnd w:id="80"/>
    <w:p>
      <w:pPr>
        <w:spacing w:after="0"/>
        <w:rPr>
          <w:sz w:val="20"/>
          <w:szCs w:val="20"/>
          <w:color w:val="auto"/>
        </w:rPr>
      </w:pPr>
      <w:r>
        <w:rPr>
          <w:rFonts w:ascii="Arial" w:cs="Arial" w:eastAsia="Arial" w:hAnsi="Arial"/>
          <w:sz w:val="41"/>
          <w:szCs w:val="41"/>
          <w:b w:val="1"/>
          <w:bCs w:val="1"/>
          <w:color w:val="0067B3"/>
        </w:rPr>
        <w:t>Independent Registered Public Accounting Firm Fees</w:t>
      </w:r>
    </w:p>
    <w:p>
      <w:pPr>
        <w:spacing w:after="0" w:line="169" w:lineRule="exact"/>
        <w:rPr>
          <w:sz w:val="20"/>
          <w:szCs w:val="20"/>
          <w:color w:val="auto"/>
        </w:rPr>
      </w:pPr>
    </w:p>
    <w:p>
      <w:pPr>
        <w:ind w:right="680"/>
        <w:spacing w:after="0" w:line="287" w:lineRule="auto"/>
        <w:rPr>
          <w:sz w:val="20"/>
          <w:szCs w:val="20"/>
          <w:color w:val="auto"/>
        </w:rPr>
      </w:pPr>
      <w:r>
        <w:rPr>
          <w:rFonts w:ascii="Arial" w:cs="Arial" w:eastAsia="Arial" w:hAnsi="Arial"/>
          <w:sz w:val="18"/>
          <w:szCs w:val="18"/>
          <w:color w:val="auto"/>
        </w:rPr>
        <w:t>The following table presents the aggregate fees billed for services rendered by Ernst &amp; Young LLP, our independent registered public accounting firm, for fiscal year 2025 and fiscal year 2024.</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5200" w:type="dxa"/>
            <w:vAlign w:val="bottom"/>
            <w:shd w:val="clear" w:color="auto" w:fill="0067B3"/>
          </w:tcPr>
          <w:p>
            <w:pPr>
              <w:spacing w:after="0"/>
              <w:rPr>
                <w:sz w:val="17"/>
                <w:szCs w:val="17"/>
                <w:color w:val="auto"/>
              </w:rPr>
            </w:pPr>
          </w:p>
        </w:tc>
        <w:tc>
          <w:tcPr>
            <w:tcW w:w="3740" w:type="dxa"/>
            <w:vAlign w:val="bottom"/>
            <w:shd w:val="clear" w:color="auto" w:fill="0067B3"/>
          </w:tcPr>
          <w:p>
            <w:pPr>
              <w:spacing w:after="0"/>
              <w:rPr>
                <w:sz w:val="17"/>
                <w:szCs w:val="17"/>
                <w:color w:val="auto"/>
              </w:rPr>
            </w:pPr>
          </w:p>
        </w:tc>
        <w:tc>
          <w:tcPr>
            <w:tcW w:w="1080" w:type="dxa"/>
            <w:vAlign w:val="bottom"/>
            <w:shd w:val="clear" w:color="auto" w:fill="0067B3"/>
          </w:tcPr>
          <w:p>
            <w:pPr>
              <w:jc w:val="right"/>
              <w:ind w:right="33"/>
              <w:spacing w:after="0"/>
              <w:rPr>
                <w:sz w:val="20"/>
                <w:szCs w:val="20"/>
                <w:color w:val="auto"/>
              </w:rPr>
            </w:pPr>
            <w:r>
              <w:rPr>
                <w:rFonts w:ascii="Arial" w:cs="Arial" w:eastAsia="Arial" w:hAnsi="Arial"/>
                <w:sz w:val="16"/>
                <w:szCs w:val="16"/>
                <w:b w:val="1"/>
                <w:bCs w:val="1"/>
                <w:color w:val="FFFFFF"/>
              </w:rPr>
              <w:t>Fiscal Year</w:t>
            </w:r>
          </w:p>
        </w:tc>
        <w:tc>
          <w:tcPr>
            <w:tcW w:w="240" w:type="dxa"/>
            <w:vAlign w:val="bottom"/>
            <w:shd w:val="clear" w:color="auto" w:fill="0067B3"/>
          </w:tcPr>
          <w:p>
            <w:pPr>
              <w:spacing w:after="0"/>
              <w:rPr>
                <w:sz w:val="17"/>
                <w:szCs w:val="17"/>
                <w:color w:val="auto"/>
              </w:rPr>
            </w:pPr>
          </w:p>
        </w:tc>
        <w:tc>
          <w:tcPr>
            <w:tcW w:w="980" w:type="dxa"/>
            <w:vAlign w:val="bottom"/>
            <w:shd w:val="clear" w:color="auto" w:fill="0067B3"/>
          </w:tcPr>
          <w:p>
            <w:pPr>
              <w:jc w:val="right"/>
              <w:spacing w:after="0"/>
              <w:rPr>
                <w:sz w:val="20"/>
                <w:szCs w:val="20"/>
                <w:color w:val="auto"/>
              </w:rPr>
            </w:pPr>
            <w:r>
              <w:rPr>
                <w:rFonts w:ascii="Arial" w:cs="Arial" w:eastAsia="Arial" w:hAnsi="Arial"/>
                <w:sz w:val="16"/>
                <w:szCs w:val="16"/>
                <w:b w:val="1"/>
                <w:bCs w:val="1"/>
                <w:color w:val="FFFFFF"/>
              </w:rPr>
              <w:t>Fiscal Year</w:t>
            </w:r>
          </w:p>
        </w:tc>
      </w:tr>
      <w:tr>
        <w:trPr>
          <w:trHeight w:val="244"/>
        </w:trPr>
        <w:tc>
          <w:tcPr>
            <w:tcW w:w="5200" w:type="dxa"/>
            <w:vAlign w:val="bottom"/>
            <w:shd w:val="clear" w:color="auto" w:fill="0067B3"/>
          </w:tcPr>
          <w:p>
            <w:pPr>
              <w:ind w:left="20"/>
              <w:spacing w:after="0"/>
              <w:rPr>
                <w:sz w:val="20"/>
                <w:szCs w:val="20"/>
                <w:color w:val="auto"/>
              </w:rPr>
            </w:pPr>
            <w:r>
              <w:rPr>
                <w:rFonts w:ascii="Arial" w:cs="Arial" w:eastAsia="Arial" w:hAnsi="Arial"/>
                <w:sz w:val="16"/>
                <w:szCs w:val="16"/>
                <w:b w:val="1"/>
                <w:bCs w:val="1"/>
                <w:color w:val="FFFFFF"/>
              </w:rPr>
              <w:t>Name</w:t>
            </w:r>
          </w:p>
        </w:tc>
        <w:tc>
          <w:tcPr>
            <w:tcW w:w="3740" w:type="dxa"/>
            <w:vAlign w:val="bottom"/>
            <w:shd w:val="clear" w:color="auto" w:fill="0067B3"/>
          </w:tcPr>
          <w:p>
            <w:pPr>
              <w:spacing w:after="0"/>
              <w:rPr>
                <w:sz w:val="21"/>
                <w:szCs w:val="21"/>
                <w:color w:val="auto"/>
              </w:rPr>
            </w:pPr>
          </w:p>
        </w:tc>
        <w:tc>
          <w:tcPr>
            <w:tcW w:w="1080" w:type="dxa"/>
            <w:vAlign w:val="bottom"/>
            <w:shd w:val="clear" w:color="auto" w:fill="0067B3"/>
          </w:tcPr>
          <w:p>
            <w:pPr>
              <w:jc w:val="right"/>
              <w:ind w:right="33"/>
              <w:spacing w:after="0"/>
              <w:rPr>
                <w:sz w:val="20"/>
                <w:szCs w:val="20"/>
                <w:color w:val="auto"/>
              </w:rPr>
            </w:pPr>
            <w:r>
              <w:rPr>
                <w:rFonts w:ascii="Arial" w:cs="Arial" w:eastAsia="Arial" w:hAnsi="Arial"/>
                <w:sz w:val="16"/>
                <w:szCs w:val="16"/>
                <w:b w:val="1"/>
                <w:bCs w:val="1"/>
                <w:color w:val="FFFFFF"/>
              </w:rPr>
              <w:t>2025</w:t>
            </w:r>
          </w:p>
        </w:tc>
        <w:tc>
          <w:tcPr>
            <w:tcW w:w="240" w:type="dxa"/>
            <w:vAlign w:val="bottom"/>
            <w:shd w:val="clear" w:color="auto" w:fill="0067B3"/>
          </w:tcPr>
          <w:p>
            <w:pPr>
              <w:spacing w:after="0"/>
              <w:rPr>
                <w:sz w:val="21"/>
                <w:szCs w:val="21"/>
                <w:color w:val="auto"/>
              </w:rPr>
            </w:pPr>
          </w:p>
        </w:tc>
        <w:tc>
          <w:tcPr>
            <w:tcW w:w="980" w:type="dxa"/>
            <w:vAlign w:val="bottom"/>
            <w:shd w:val="clear" w:color="auto" w:fill="0067B3"/>
          </w:tcPr>
          <w:p>
            <w:pPr>
              <w:jc w:val="right"/>
              <w:spacing w:after="0"/>
              <w:rPr>
                <w:sz w:val="20"/>
                <w:szCs w:val="20"/>
                <w:color w:val="auto"/>
              </w:rPr>
            </w:pPr>
            <w:r>
              <w:rPr>
                <w:rFonts w:ascii="Arial" w:cs="Arial" w:eastAsia="Arial" w:hAnsi="Arial"/>
                <w:sz w:val="16"/>
                <w:szCs w:val="16"/>
                <w:b w:val="1"/>
                <w:bCs w:val="1"/>
                <w:color w:val="FFFFFF"/>
              </w:rPr>
              <w:t>2024</w:t>
            </w:r>
          </w:p>
        </w:tc>
      </w:tr>
      <w:tr>
        <w:trPr>
          <w:trHeight w:val="250"/>
        </w:trPr>
        <w:tc>
          <w:tcPr>
            <w:tcW w:w="5200" w:type="dxa"/>
            <w:vAlign w:val="bottom"/>
            <w:tcBorders>
              <w:bottom w:val="single" w:sz="8" w:color="E2E6F4"/>
            </w:tcBorders>
            <w:shd w:val="clear" w:color="auto" w:fill="E2E6F4"/>
          </w:tcPr>
          <w:p>
            <w:pPr>
              <w:ind w:left="20"/>
              <w:spacing w:after="0"/>
              <w:rPr>
                <w:sz w:val="20"/>
                <w:szCs w:val="20"/>
                <w:color w:val="auto"/>
              </w:rPr>
            </w:pPr>
            <w:r>
              <w:rPr>
                <w:rFonts w:ascii="Arial" w:cs="Arial" w:eastAsia="Arial" w:hAnsi="Arial"/>
                <w:sz w:val="18"/>
                <w:szCs w:val="18"/>
                <w:color w:val="auto"/>
              </w:rPr>
              <w:t>Audit Fees</w:t>
            </w:r>
          </w:p>
        </w:tc>
        <w:tc>
          <w:tcPr>
            <w:tcW w:w="3740" w:type="dxa"/>
            <w:vAlign w:val="bottom"/>
            <w:tcBorders>
              <w:bottom w:val="single" w:sz="8" w:color="E2E6F4"/>
            </w:tcBorders>
            <w:shd w:val="clear" w:color="auto" w:fill="E2E6F4"/>
          </w:tcPr>
          <w:p>
            <w:pPr>
              <w:jc w:val="right"/>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E2E6F4"/>
            </w:tcBorders>
            <w:shd w:val="clear" w:color="auto" w:fill="E2E6F4"/>
          </w:tcPr>
          <w:p>
            <w:pPr>
              <w:jc w:val="right"/>
              <w:ind w:right="93"/>
              <w:spacing w:after="0"/>
              <w:rPr>
                <w:sz w:val="20"/>
                <w:szCs w:val="20"/>
                <w:color w:val="auto"/>
              </w:rPr>
            </w:pPr>
            <w:r>
              <w:rPr>
                <w:rFonts w:ascii="Arial" w:cs="Arial" w:eastAsia="Arial" w:hAnsi="Arial"/>
                <w:sz w:val="18"/>
                <w:szCs w:val="18"/>
                <w:color w:val="auto"/>
              </w:rPr>
              <w:t>7,703,000</w:t>
            </w:r>
          </w:p>
        </w:tc>
        <w:tc>
          <w:tcPr>
            <w:tcW w:w="240" w:type="dxa"/>
            <w:vAlign w:val="bottom"/>
            <w:tcBorders>
              <w:bottom w:val="single" w:sz="8" w:color="E2E6F4"/>
            </w:tcBorders>
            <w:shd w:val="clear" w:color="auto" w:fill="E2E6F4"/>
          </w:tcPr>
          <w:p>
            <w:pPr>
              <w:jc w:val="right"/>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E2E6F4"/>
            </w:tcBorders>
            <w:shd w:val="clear" w:color="auto" w:fill="E2E6F4"/>
          </w:tcPr>
          <w:p>
            <w:pPr>
              <w:jc w:val="right"/>
              <w:spacing w:after="0"/>
              <w:rPr>
                <w:sz w:val="20"/>
                <w:szCs w:val="20"/>
                <w:color w:val="auto"/>
              </w:rPr>
            </w:pPr>
            <w:r>
              <w:rPr>
                <w:rFonts w:ascii="Arial" w:cs="Arial" w:eastAsia="Arial" w:hAnsi="Arial"/>
                <w:sz w:val="18"/>
                <w:szCs w:val="18"/>
                <w:color w:val="auto"/>
              </w:rPr>
              <w:t>8,844,000</w:t>
            </w:r>
          </w:p>
        </w:tc>
      </w:tr>
      <w:tr>
        <w:trPr>
          <w:trHeight w:val="247"/>
        </w:trPr>
        <w:tc>
          <w:tcPr>
            <w:tcW w:w="5200" w:type="dxa"/>
            <w:vAlign w:val="bottom"/>
          </w:tcPr>
          <w:p>
            <w:pPr>
              <w:ind w:left="20"/>
              <w:spacing w:after="0"/>
              <w:rPr>
                <w:sz w:val="20"/>
                <w:szCs w:val="20"/>
                <w:color w:val="auto"/>
              </w:rPr>
            </w:pPr>
            <w:r>
              <w:rPr>
                <w:rFonts w:ascii="Arial" w:cs="Arial" w:eastAsia="Arial" w:hAnsi="Arial"/>
                <w:sz w:val="18"/>
                <w:szCs w:val="18"/>
                <w:color w:val="auto"/>
              </w:rPr>
              <w:t>Audit-Related Fees</w:t>
            </w:r>
          </w:p>
        </w:tc>
        <w:tc>
          <w:tcPr>
            <w:tcW w:w="3740" w:type="dxa"/>
            <w:vAlign w:val="bottom"/>
          </w:tcPr>
          <w:p>
            <w:pPr>
              <w:jc w:val="right"/>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93"/>
              <w:spacing w:after="0"/>
              <w:rPr>
                <w:sz w:val="20"/>
                <w:szCs w:val="20"/>
                <w:color w:val="auto"/>
              </w:rPr>
            </w:pPr>
            <w:r>
              <w:rPr>
                <w:rFonts w:ascii="Arial" w:cs="Arial" w:eastAsia="Arial" w:hAnsi="Arial"/>
                <w:sz w:val="18"/>
                <w:szCs w:val="18"/>
                <w:color w:val="auto"/>
              </w:rPr>
              <w:t>130,000</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144,000</w:t>
            </w:r>
          </w:p>
        </w:tc>
      </w:tr>
      <w:tr>
        <w:trPr>
          <w:trHeight w:val="23"/>
        </w:trPr>
        <w:tc>
          <w:tcPr>
            <w:tcW w:w="5200" w:type="dxa"/>
            <w:vAlign w:val="bottom"/>
          </w:tcPr>
          <w:p>
            <w:pPr>
              <w:spacing w:after="0"/>
              <w:rPr>
                <w:sz w:val="2"/>
                <w:szCs w:val="2"/>
                <w:color w:val="auto"/>
              </w:rPr>
            </w:pPr>
          </w:p>
        </w:tc>
        <w:tc>
          <w:tcPr>
            <w:tcW w:w="37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4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5200" w:type="dxa"/>
            <w:vAlign w:val="bottom"/>
            <w:tcBorders>
              <w:bottom w:val="single" w:sz="8" w:color="E2E6F4"/>
            </w:tcBorders>
            <w:shd w:val="clear" w:color="auto" w:fill="E2E6F4"/>
          </w:tcPr>
          <w:p>
            <w:pPr>
              <w:ind w:left="20"/>
              <w:spacing w:after="0"/>
              <w:rPr>
                <w:sz w:val="20"/>
                <w:szCs w:val="20"/>
                <w:color w:val="auto"/>
              </w:rPr>
            </w:pPr>
            <w:r>
              <w:rPr>
                <w:rFonts w:ascii="Arial" w:cs="Arial" w:eastAsia="Arial" w:hAnsi="Arial"/>
                <w:sz w:val="18"/>
                <w:szCs w:val="18"/>
                <w:color w:val="auto"/>
              </w:rPr>
              <w:t>Tax Fees</w:t>
            </w:r>
          </w:p>
        </w:tc>
        <w:tc>
          <w:tcPr>
            <w:tcW w:w="3740" w:type="dxa"/>
            <w:vAlign w:val="bottom"/>
            <w:tcBorders>
              <w:bottom w:val="single" w:sz="8" w:color="E2E6F4"/>
            </w:tcBorders>
            <w:shd w:val="clear" w:color="auto" w:fill="E2E6F4"/>
          </w:tcPr>
          <w:p>
            <w:pPr>
              <w:jc w:val="right"/>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E2E6F4"/>
            </w:tcBorders>
            <w:shd w:val="clear" w:color="auto" w:fill="E2E6F4"/>
          </w:tcPr>
          <w:p>
            <w:pPr>
              <w:jc w:val="right"/>
              <w:ind w:right="93"/>
              <w:spacing w:after="0"/>
              <w:rPr>
                <w:sz w:val="20"/>
                <w:szCs w:val="20"/>
                <w:color w:val="auto"/>
              </w:rPr>
            </w:pPr>
            <w:r>
              <w:rPr>
                <w:rFonts w:ascii="Arial" w:cs="Arial" w:eastAsia="Arial" w:hAnsi="Arial"/>
                <w:sz w:val="18"/>
                <w:szCs w:val="18"/>
                <w:color w:val="auto"/>
              </w:rPr>
              <w:t>2,512,000</w:t>
            </w:r>
          </w:p>
        </w:tc>
        <w:tc>
          <w:tcPr>
            <w:tcW w:w="240" w:type="dxa"/>
            <w:vAlign w:val="bottom"/>
            <w:tcBorders>
              <w:bottom w:val="single" w:sz="8" w:color="E2E6F4"/>
            </w:tcBorders>
            <w:shd w:val="clear" w:color="auto" w:fill="E2E6F4"/>
          </w:tcPr>
          <w:p>
            <w:pPr>
              <w:jc w:val="right"/>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E2E6F4"/>
            </w:tcBorders>
            <w:shd w:val="clear" w:color="auto" w:fill="E2E6F4"/>
          </w:tcPr>
          <w:p>
            <w:pPr>
              <w:jc w:val="right"/>
              <w:spacing w:after="0"/>
              <w:rPr>
                <w:sz w:val="20"/>
                <w:szCs w:val="20"/>
                <w:color w:val="auto"/>
              </w:rPr>
            </w:pPr>
            <w:r>
              <w:rPr>
                <w:rFonts w:ascii="Arial" w:cs="Arial" w:eastAsia="Arial" w:hAnsi="Arial"/>
                <w:sz w:val="18"/>
                <w:szCs w:val="18"/>
                <w:color w:val="auto"/>
              </w:rPr>
              <w:t>1,565,000</w:t>
            </w:r>
          </w:p>
        </w:tc>
      </w:tr>
      <w:tr>
        <w:trPr>
          <w:trHeight w:val="247"/>
        </w:trPr>
        <w:tc>
          <w:tcPr>
            <w:tcW w:w="5200" w:type="dxa"/>
            <w:vAlign w:val="bottom"/>
          </w:tcPr>
          <w:p>
            <w:pPr>
              <w:ind w:left="20"/>
              <w:spacing w:after="0"/>
              <w:rPr>
                <w:sz w:val="20"/>
                <w:szCs w:val="20"/>
                <w:color w:val="auto"/>
              </w:rPr>
            </w:pPr>
            <w:r>
              <w:rPr>
                <w:rFonts w:ascii="Arial" w:cs="Arial" w:eastAsia="Arial" w:hAnsi="Arial"/>
                <w:sz w:val="18"/>
                <w:szCs w:val="18"/>
                <w:color w:val="auto"/>
              </w:rPr>
              <w:t>All Other Fees</w:t>
            </w:r>
          </w:p>
        </w:tc>
        <w:tc>
          <w:tcPr>
            <w:tcW w:w="3740" w:type="dxa"/>
            <w:vAlign w:val="bottom"/>
          </w:tcPr>
          <w:p>
            <w:pPr>
              <w:jc w:val="right"/>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93"/>
              <w:spacing w:after="0"/>
              <w:rPr>
                <w:sz w:val="20"/>
                <w:szCs w:val="20"/>
                <w:color w:val="auto"/>
              </w:rPr>
            </w:pPr>
            <w:r>
              <w:rPr>
                <w:rFonts w:ascii="Arial" w:cs="Arial" w:eastAsia="Arial" w:hAnsi="Arial"/>
                <w:sz w:val="18"/>
                <w:szCs w:val="18"/>
                <w:color w:val="auto"/>
              </w:rPr>
              <w:t>10,000</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9,000</w:t>
            </w:r>
          </w:p>
        </w:tc>
      </w:tr>
      <w:tr>
        <w:trPr>
          <w:trHeight w:val="23"/>
        </w:trPr>
        <w:tc>
          <w:tcPr>
            <w:tcW w:w="5200" w:type="dxa"/>
            <w:vAlign w:val="bottom"/>
          </w:tcPr>
          <w:p>
            <w:pPr>
              <w:spacing w:after="0"/>
              <w:rPr>
                <w:sz w:val="2"/>
                <w:szCs w:val="2"/>
                <w:color w:val="auto"/>
              </w:rPr>
            </w:pPr>
          </w:p>
        </w:tc>
        <w:tc>
          <w:tcPr>
            <w:tcW w:w="37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4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5200" w:type="dxa"/>
            <w:vAlign w:val="bottom"/>
            <w:tcBorders>
              <w:bottom w:val="single" w:sz="8" w:color="E2E6F4"/>
            </w:tcBorders>
            <w:shd w:val="clear" w:color="auto" w:fill="E2E6F4"/>
          </w:tcPr>
          <w:p>
            <w:pPr>
              <w:ind w:left="20"/>
              <w:spacing w:after="0"/>
              <w:rPr>
                <w:sz w:val="20"/>
                <w:szCs w:val="20"/>
                <w:color w:val="auto"/>
              </w:rPr>
            </w:pPr>
            <w:r>
              <w:rPr>
                <w:rFonts w:ascii="Arial" w:cs="Arial" w:eastAsia="Arial" w:hAnsi="Arial"/>
                <w:sz w:val="18"/>
                <w:szCs w:val="18"/>
                <w:color w:val="auto"/>
              </w:rPr>
              <w:t>Total Fees</w:t>
            </w:r>
          </w:p>
        </w:tc>
        <w:tc>
          <w:tcPr>
            <w:tcW w:w="3740" w:type="dxa"/>
            <w:vAlign w:val="bottom"/>
            <w:tcBorders>
              <w:bottom w:val="single" w:sz="8" w:color="E2E6F4"/>
            </w:tcBorders>
            <w:shd w:val="clear" w:color="auto" w:fill="E2E6F4"/>
          </w:tcPr>
          <w:p>
            <w:pPr>
              <w:jc w:val="right"/>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E2E6F4"/>
            </w:tcBorders>
            <w:shd w:val="clear" w:color="auto" w:fill="E2E6F4"/>
          </w:tcPr>
          <w:p>
            <w:pPr>
              <w:jc w:val="right"/>
              <w:ind w:right="93"/>
              <w:spacing w:after="0"/>
              <w:rPr>
                <w:sz w:val="20"/>
                <w:szCs w:val="20"/>
                <w:color w:val="auto"/>
              </w:rPr>
            </w:pPr>
            <w:r>
              <w:rPr>
                <w:rFonts w:ascii="Arial" w:cs="Arial" w:eastAsia="Arial" w:hAnsi="Arial"/>
                <w:sz w:val="18"/>
                <w:szCs w:val="18"/>
                <w:color w:val="auto"/>
                <w:w w:val="97"/>
              </w:rPr>
              <w:t>10,355,000</w:t>
            </w:r>
          </w:p>
        </w:tc>
        <w:tc>
          <w:tcPr>
            <w:tcW w:w="240" w:type="dxa"/>
            <w:vAlign w:val="bottom"/>
            <w:tcBorders>
              <w:bottom w:val="single" w:sz="8" w:color="E2E6F4"/>
            </w:tcBorders>
            <w:shd w:val="clear" w:color="auto" w:fill="E2E6F4"/>
          </w:tcPr>
          <w:p>
            <w:pPr>
              <w:jc w:val="right"/>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E2E6F4"/>
            </w:tcBorders>
            <w:shd w:val="clear" w:color="auto" w:fill="E2E6F4"/>
          </w:tcPr>
          <w:p>
            <w:pPr>
              <w:jc w:val="right"/>
              <w:spacing w:after="0"/>
              <w:rPr>
                <w:sz w:val="20"/>
                <w:szCs w:val="20"/>
                <w:color w:val="auto"/>
              </w:rPr>
            </w:pPr>
            <w:r>
              <w:rPr>
                <w:rFonts w:ascii="Arial" w:cs="Arial" w:eastAsia="Arial" w:hAnsi="Arial"/>
                <w:sz w:val="18"/>
                <w:szCs w:val="18"/>
                <w:color w:val="auto"/>
                <w:w w:val="97"/>
              </w:rPr>
              <w:t>10,562,000</w:t>
            </w:r>
          </w:p>
        </w:tc>
      </w:tr>
      <w:tr>
        <w:trPr>
          <w:trHeight w:val="20"/>
        </w:trPr>
        <w:tc>
          <w:tcPr>
            <w:tcW w:w="5200" w:type="dxa"/>
            <w:vAlign w:val="bottom"/>
            <w:shd w:val="clear" w:color="auto" w:fill="0067B3"/>
          </w:tcPr>
          <w:p>
            <w:pPr>
              <w:spacing w:after="0" w:line="20" w:lineRule="exact"/>
              <w:rPr>
                <w:sz w:val="1"/>
                <w:szCs w:val="1"/>
                <w:color w:val="auto"/>
              </w:rPr>
            </w:pPr>
          </w:p>
        </w:tc>
        <w:tc>
          <w:tcPr>
            <w:tcW w:w="3740" w:type="dxa"/>
            <w:vAlign w:val="bottom"/>
            <w:shd w:val="clear" w:color="auto" w:fill="0067B3"/>
          </w:tcPr>
          <w:p>
            <w:pPr>
              <w:spacing w:after="0" w:line="20" w:lineRule="exact"/>
              <w:rPr>
                <w:sz w:val="1"/>
                <w:szCs w:val="1"/>
                <w:color w:val="auto"/>
              </w:rPr>
            </w:pPr>
          </w:p>
        </w:tc>
        <w:tc>
          <w:tcPr>
            <w:tcW w:w="1080" w:type="dxa"/>
            <w:vAlign w:val="bottom"/>
            <w:shd w:val="clear" w:color="auto" w:fill="0067B3"/>
          </w:tcPr>
          <w:p>
            <w:pPr>
              <w:spacing w:after="0" w:line="20" w:lineRule="exact"/>
              <w:rPr>
                <w:sz w:val="1"/>
                <w:szCs w:val="1"/>
                <w:color w:val="auto"/>
              </w:rPr>
            </w:pPr>
          </w:p>
        </w:tc>
        <w:tc>
          <w:tcPr>
            <w:tcW w:w="240" w:type="dxa"/>
            <w:vAlign w:val="bottom"/>
            <w:shd w:val="clear" w:color="auto" w:fill="0067B3"/>
          </w:tcPr>
          <w:p>
            <w:pPr>
              <w:spacing w:after="0" w:line="20" w:lineRule="exact"/>
              <w:rPr>
                <w:sz w:val="1"/>
                <w:szCs w:val="1"/>
                <w:color w:val="auto"/>
              </w:rPr>
            </w:pPr>
          </w:p>
        </w:tc>
        <w:tc>
          <w:tcPr>
            <w:tcW w:w="980" w:type="dxa"/>
            <w:vAlign w:val="bottom"/>
            <w:shd w:val="clear" w:color="auto" w:fill="0067B3"/>
          </w:tcPr>
          <w:p>
            <w:pPr>
              <w:spacing w:after="0" w:line="20" w:lineRule="exact"/>
              <w:rPr>
                <w:sz w:val="1"/>
                <w:szCs w:val="1"/>
                <w:color w:val="auto"/>
              </w:rPr>
            </w:pPr>
          </w:p>
        </w:tc>
      </w:tr>
    </w:tbl>
    <w:p>
      <w:pPr>
        <w:spacing w:after="0" w:line="307" w:lineRule="exact"/>
        <w:rPr>
          <w:sz w:val="20"/>
          <w:szCs w:val="20"/>
          <w:color w:val="auto"/>
        </w:rPr>
      </w:pPr>
    </w:p>
    <w:p>
      <w:pPr>
        <w:spacing w:after="0"/>
        <w:rPr>
          <w:sz w:val="20"/>
          <w:szCs w:val="20"/>
          <w:color w:val="auto"/>
        </w:rPr>
      </w:pPr>
      <w:r>
        <w:rPr>
          <w:rFonts w:ascii="Arial" w:cs="Arial" w:eastAsia="Arial" w:hAnsi="Arial"/>
          <w:sz w:val="32"/>
          <w:szCs w:val="32"/>
          <w:b w:val="1"/>
          <w:bCs w:val="1"/>
          <w:color w:val="auto"/>
        </w:rPr>
        <w:t>Audit Fees</w:t>
      </w:r>
    </w:p>
    <w:p>
      <w:pPr>
        <w:spacing w:after="0" w:line="156" w:lineRule="exact"/>
        <w:rPr>
          <w:sz w:val="20"/>
          <w:szCs w:val="20"/>
          <w:color w:val="auto"/>
        </w:rPr>
      </w:pPr>
    </w:p>
    <w:p>
      <w:pPr>
        <w:spacing w:after="0" w:line="262" w:lineRule="auto"/>
        <w:rPr>
          <w:sz w:val="20"/>
          <w:szCs w:val="20"/>
          <w:color w:val="auto"/>
        </w:rPr>
      </w:pPr>
      <w:r>
        <w:rPr>
          <w:rFonts w:ascii="Arial" w:cs="Arial" w:eastAsia="Arial" w:hAnsi="Arial"/>
          <w:sz w:val="18"/>
          <w:szCs w:val="18"/>
          <w:color w:val="auto"/>
        </w:rPr>
        <w:t>These are fees related to professional services rendered in connection with the audit of our consolidated financial statements, the audit of the effectiveness of our internal control over financial reporting, the reviews of our interim financial statements included in each of our Quarterly Reports on Form 10-Q, international statutory audits, assistance with registration statements and other periodic filings, and accounting consultations that relate to the audited financial statements and are necessary to comply with U.S. generally accepted accounting principles.</w:t>
      </w:r>
    </w:p>
    <w:p>
      <w:pPr>
        <w:spacing w:after="0" w:line="205" w:lineRule="exact"/>
        <w:rPr>
          <w:sz w:val="20"/>
          <w:szCs w:val="20"/>
          <w:color w:val="auto"/>
        </w:rPr>
      </w:pPr>
    </w:p>
    <w:p>
      <w:pPr>
        <w:spacing w:after="0"/>
        <w:rPr>
          <w:sz w:val="20"/>
          <w:szCs w:val="20"/>
          <w:color w:val="auto"/>
        </w:rPr>
      </w:pPr>
      <w:r>
        <w:rPr>
          <w:rFonts w:ascii="Arial" w:cs="Arial" w:eastAsia="Arial" w:hAnsi="Arial"/>
          <w:sz w:val="32"/>
          <w:szCs w:val="32"/>
          <w:b w:val="1"/>
          <w:bCs w:val="1"/>
          <w:color w:val="auto"/>
        </w:rPr>
        <w:t>Audit-Related Fees</w:t>
      </w:r>
    </w:p>
    <w:p>
      <w:pPr>
        <w:spacing w:after="0" w:line="170" w:lineRule="exact"/>
        <w:rPr>
          <w:sz w:val="20"/>
          <w:szCs w:val="20"/>
          <w:color w:val="auto"/>
        </w:rPr>
      </w:pPr>
    </w:p>
    <w:p>
      <w:pPr>
        <w:ind w:right="600"/>
        <w:spacing w:after="0" w:line="287" w:lineRule="auto"/>
        <w:rPr>
          <w:sz w:val="20"/>
          <w:szCs w:val="20"/>
          <w:color w:val="auto"/>
        </w:rPr>
      </w:pPr>
      <w:r>
        <w:rPr>
          <w:rFonts w:ascii="Arial" w:cs="Arial" w:eastAsia="Arial" w:hAnsi="Arial"/>
          <w:sz w:val="18"/>
          <w:szCs w:val="18"/>
          <w:color w:val="auto"/>
        </w:rPr>
        <w:t>These are fees for assurance and related services and consisted primarily of audits of employee benefit plans, accounting matters not related to the annual audit, and attestation services that are not required by statute or regulation.</w:t>
      </w:r>
    </w:p>
    <w:p>
      <w:pPr>
        <w:spacing w:after="0" w:line="182" w:lineRule="exact"/>
        <w:rPr>
          <w:sz w:val="20"/>
          <w:szCs w:val="20"/>
          <w:color w:val="auto"/>
        </w:rPr>
      </w:pPr>
    </w:p>
    <w:p>
      <w:pPr>
        <w:spacing w:after="0"/>
        <w:rPr>
          <w:sz w:val="20"/>
          <w:szCs w:val="20"/>
          <w:color w:val="auto"/>
        </w:rPr>
      </w:pPr>
      <w:r>
        <w:rPr>
          <w:rFonts w:ascii="Arial" w:cs="Arial" w:eastAsia="Arial" w:hAnsi="Arial"/>
          <w:sz w:val="32"/>
          <w:szCs w:val="32"/>
          <w:b w:val="1"/>
          <w:bCs w:val="1"/>
          <w:color w:val="auto"/>
        </w:rPr>
        <w:t>Tax Fees</w:t>
      </w:r>
    </w:p>
    <w:p>
      <w:pPr>
        <w:spacing w:after="0" w:line="156"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These are fees for tax advice and services, including transfer pricing services, assistance with preparation of certain income tax returns, tax advice and planning, credits, and incentives, and assistance with domestic and international tax audits. Included in this amount are fees of $150,000 in fiscal year 2025 and $90,000 in fiscal year 2024, for tax compliance services for our international affiliates and tax return preparation services for our expatriate employees on international assignments. Ernst &amp; Young LLP does not provide tax services to any person in a financial reporting oversight role at ADI.</w:t>
      </w:r>
    </w:p>
    <w:p>
      <w:pPr>
        <w:spacing w:after="0" w:line="208" w:lineRule="exact"/>
        <w:rPr>
          <w:sz w:val="20"/>
          <w:szCs w:val="20"/>
          <w:color w:val="auto"/>
        </w:rPr>
      </w:pPr>
    </w:p>
    <w:p>
      <w:pPr>
        <w:spacing w:after="0"/>
        <w:rPr>
          <w:sz w:val="20"/>
          <w:szCs w:val="20"/>
          <w:color w:val="auto"/>
        </w:rPr>
      </w:pPr>
      <w:r>
        <w:rPr>
          <w:rFonts w:ascii="Arial" w:cs="Arial" w:eastAsia="Arial" w:hAnsi="Arial"/>
          <w:sz w:val="32"/>
          <w:szCs w:val="32"/>
          <w:b w:val="1"/>
          <w:bCs w:val="1"/>
          <w:color w:val="auto"/>
        </w:rPr>
        <w:t>All Other Fees</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color w:val="auto"/>
        </w:rPr>
        <w:t>These are fees for services other than the services reported above.</w:t>
      </w:r>
    </w:p>
    <w:p>
      <w:pPr>
        <w:spacing w:after="0" w:line="200" w:lineRule="exact"/>
        <w:rPr>
          <w:sz w:val="20"/>
          <w:szCs w:val="20"/>
          <w:color w:val="auto"/>
        </w:rPr>
      </w:pP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278"/>
        </w:trPr>
        <w:tc>
          <w:tcPr>
            <w:tcW w:w="10800" w:type="dxa"/>
            <w:vAlign w:val="bottom"/>
          </w:tcPr>
          <w:p>
            <w:pPr>
              <w:ind w:left="8980"/>
              <w:spacing w:after="0"/>
              <w:rPr>
                <w:sz w:val="20"/>
                <w:szCs w:val="20"/>
                <w:color w:val="auto"/>
              </w:rPr>
            </w:pPr>
            <w:r>
              <w:rPr>
                <w:rFonts w:ascii="Arial" w:cs="Arial" w:eastAsia="Arial" w:hAnsi="Arial"/>
                <w:sz w:val="16"/>
                <w:szCs w:val="16"/>
                <w:color w:val="0067B3"/>
              </w:rPr>
              <w:t>2026 Proxy Statement</w:t>
            </w:r>
          </w:p>
        </w:tc>
        <w:tc>
          <w:tcPr>
            <w:tcW w:w="440" w:type="dxa"/>
            <w:vAlign w:val="bottom"/>
          </w:tcPr>
          <w:p>
            <w:pPr>
              <w:jc w:val="right"/>
              <w:spacing w:after="0"/>
              <w:rPr>
                <w:sz w:val="20"/>
                <w:szCs w:val="20"/>
                <w:color w:val="auto"/>
              </w:rPr>
            </w:pPr>
            <w:r>
              <w:rPr>
                <w:rFonts w:ascii="Arial" w:cs="Arial" w:eastAsia="Arial" w:hAnsi="Arial"/>
                <w:sz w:val="20"/>
                <w:szCs w:val="20"/>
                <w:b w:val="1"/>
                <w:bCs w:val="1"/>
                <w:color w:val="auto"/>
              </w:rPr>
              <w:t>73</w:t>
            </w:r>
          </w:p>
        </w:tc>
      </w:tr>
      <w:tr>
        <w:trPr>
          <w:trHeight w:val="333"/>
        </w:trPr>
        <w:tc>
          <w:tcPr>
            <w:tcW w:w="1080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356" w:right="339" w:bottom="1440" w:gutter="0" w:footer="0" w:header="0"/>
        </w:sectPr>
      </w:pPr>
    </w:p>
    <w:bookmarkStart w:id="81" w:name="page82"/>
    <w:bookmarkEnd w:id="81"/>
    <w:p>
      <w:pPr>
        <w:spacing w:after="0"/>
        <w:rPr>
          <w:sz w:val="20"/>
          <w:szCs w:val="20"/>
          <w:color w:val="auto"/>
        </w:rPr>
      </w:pPr>
      <w:r>
        <w:rPr>
          <w:rFonts w:ascii="Arial" w:cs="Arial" w:eastAsia="Arial" w:hAnsi="Arial"/>
          <w:sz w:val="41"/>
          <w:szCs w:val="41"/>
          <w:b w:val="1"/>
          <w:bCs w:val="1"/>
          <w:color w:val="0067B3"/>
        </w:rPr>
        <w:t>Audit Committee’s Pre-Approval Policy and Procedures</w:t>
      </w:r>
    </w:p>
    <w:p>
      <w:pPr>
        <w:spacing w:after="0" w:line="169" w:lineRule="exact"/>
        <w:rPr>
          <w:sz w:val="20"/>
          <w:szCs w:val="20"/>
          <w:color w:val="auto"/>
        </w:rPr>
      </w:pPr>
    </w:p>
    <w:p>
      <w:pPr>
        <w:spacing w:after="0" w:line="243" w:lineRule="auto"/>
        <w:rPr>
          <w:sz w:val="20"/>
          <w:szCs w:val="20"/>
          <w:color w:val="auto"/>
        </w:rPr>
      </w:pPr>
      <w:r>
        <w:rPr>
          <w:rFonts w:ascii="Arial" w:cs="Arial" w:eastAsia="Arial" w:hAnsi="Arial"/>
          <w:sz w:val="18"/>
          <w:szCs w:val="18"/>
          <w:color w:val="auto"/>
        </w:rPr>
        <w:t>The Audit Committee of our Board of Directors has adopted policies and procedures for the pre-approval of audit and non-audit services for the purpose of maintaining the independence of our independent registered public accounting firm. We may not engage our independent registered public accounting firm to render any audit or non-audit service unless either the service is approved in advance by the Audit Committee or the engagement to render the service is entered into pursuant to the Audit Committee’s pre-approval policies and procedures. On an annual basis, the Audit Committee may pre-approve services that are expected to be provided to ADI by the independent registered public accounting firm during the following 12 months. At the time the pre-approval is granted, the Audit Committee must (1) identify the particular pre-approved services in a sufficient level of detail so that management will not be called upon to make a judgment as to whether a proposed service fits within the pre-approved services and (2) establish a monetary limit with respect to each particular pre-approved service, which limit may not be exceeded without obtaining further pre-approval under the policy. At regularly scheduled meetings of the Audit Committee, management or the independent registered public accounting firm must report to the Audit Committee regarding each service actually provided to ADI.</w:t>
      </w:r>
    </w:p>
    <w:p>
      <w:pPr>
        <w:spacing w:after="0" w:line="44" w:lineRule="exact"/>
        <w:rPr>
          <w:sz w:val="20"/>
          <w:szCs w:val="20"/>
          <w:color w:val="auto"/>
        </w:rPr>
      </w:pPr>
    </w:p>
    <w:p>
      <w:pPr>
        <w:ind w:right="100"/>
        <w:spacing w:after="0" w:line="247" w:lineRule="auto"/>
        <w:rPr>
          <w:sz w:val="20"/>
          <w:szCs w:val="20"/>
          <w:color w:val="auto"/>
        </w:rPr>
      </w:pPr>
      <w:r>
        <w:rPr>
          <w:rFonts w:ascii="Arial" w:cs="Arial" w:eastAsia="Arial" w:hAnsi="Arial"/>
          <w:sz w:val="18"/>
          <w:szCs w:val="18"/>
          <w:color w:val="auto"/>
        </w:rPr>
        <w:t>The Audit Committee is empowered to pre-approve all audit services to be provided to ADI and all other services to be provided to ADI by our independent registered public accounting firm. The Audit Committee has delegated authority to the Chair of the Audit Committee to pre-approve any audit or non-audit services to be provided to ADI by the independent registered public accounting firm for which the cost is less than $100,000. During fiscal year 2025 and fiscal year 2024, all services provided to ADI by Ernst &amp; Young LLP were pre-approved in accordance with the pre-approval policies and procedures described above.</w:t>
      </w:r>
    </w:p>
    <w:p>
      <w:pPr>
        <w:spacing w:after="0" w:line="252" w:lineRule="exact"/>
        <w:rPr>
          <w:sz w:val="20"/>
          <w:szCs w:val="20"/>
          <w:color w:val="auto"/>
        </w:rPr>
      </w:pPr>
    </w:p>
    <w:p>
      <w:pPr>
        <w:spacing w:after="0"/>
        <w:rPr>
          <w:sz w:val="20"/>
          <w:szCs w:val="20"/>
          <w:color w:val="auto"/>
        </w:rPr>
      </w:pPr>
      <w:r>
        <w:rPr>
          <w:rFonts w:ascii="Arial" w:cs="Arial" w:eastAsia="Arial" w:hAnsi="Arial"/>
          <w:sz w:val="41"/>
          <w:szCs w:val="41"/>
          <w:b w:val="1"/>
          <w:bCs w:val="1"/>
          <w:color w:val="0067B3"/>
        </w:rPr>
        <w:t>Audit Committee Report</w:t>
      </w:r>
    </w:p>
    <w:p>
      <w:pPr>
        <w:spacing w:after="0" w:line="156" w:lineRule="exact"/>
        <w:rPr>
          <w:sz w:val="20"/>
          <w:szCs w:val="20"/>
          <w:color w:val="auto"/>
        </w:rPr>
      </w:pPr>
    </w:p>
    <w:p>
      <w:pPr>
        <w:ind w:right="160"/>
        <w:spacing w:after="0" w:line="237" w:lineRule="auto"/>
        <w:rPr>
          <w:sz w:val="20"/>
          <w:szCs w:val="20"/>
          <w:color w:val="auto"/>
        </w:rPr>
      </w:pPr>
      <w:r>
        <w:rPr>
          <w:rFonts w:ascii="Arial" w:cs="Arial" w:eastAsia="Arial" w:hAnsi="Arial"/>
          <w:sz w:val="18"/>
          <w:szCs w:val="18"/>
          <w:color w:val="auto"/>
        </w:rPr>
        <w:t>The Audit Committee of the Board of Directors assisted the Board of Directors’ oversight of (i) the integrity of our financial statements and ADI’s systems of internal control over financial reporting and disclosure controls and procedures, (ii) the qualifications and independence of</w:t>
      </w:r>
    </w:p>
    <w:p>
      <w:pPr>
        <w:spacing w:after="0" w:line="235" w:lineRule="auto"/>
        <w:rPr>
          <w:sz w:val="20"/>
          <w:szCs w:val="20"/>
          <w:color w:val="auto"/>
        </w:rPr>
      </w:pPr>
      <w:r>
        <w:rPr>
          <w:rFonts w:ascii="Arial" w:cs="Arial" w:eastAsia="Arial" w:hAnsi="Arial"/>
          <w:sz w:val="18"/>
          <w:szCs w:val="18"/>
          <w:color w:val="auto"/>
        </w:rPr>
        <w:t>our independent registered public accounting firm, and (iii) the performance of our internal audit function and independent registered public</w:t>
      </w:r>
    </w:p>
    <w:p>
      <w:pPr>
        <w:spacing w:after="0" w:line="1" w:lineRule="exact"/>
        <w:rPr>
          <w:sz w:val="20"/>
          <w:szCs w:val="20"/>
          <w:color w:val="auto"/>
        </w:rPr>
      </w:pPr>
    </w:p>
    <w:p>
      <w:pPr>
        <w:ind w:right="20"/>
        <w:spacing w:after="0" w:line="226" w:lineRule="auto"/>
        <w:rPr>
          <w:sz w:val="20"/>
          <w:szCs w:val="20"/>
          <w:color w:val="auto"/>
        </w:rPr>
      </w:pPr>
      <w:r>
        <w:rPr>
          <w:rFonts w:ascii="Arial" w:cs="Arial" w:eastAsia="Arial" w:hAnsi="Arial"/>
          <w:sz w:val="18"/>
          <w:szCs w:val="18"/>
          <w:color w:val="auto"/>
        </w:rPr>
        <w:t>accounting firm. The Audit Committee also met privately with our independent registered public accounting firm and our Managing Director of Internal Audit to discuss our financial statements and disclosures, accounting policies and their application, internal control over financial</w:t>
      </w:r>
    </w:p>
    <w:p>
      <w:pPr>
        <w:spacing w:after="0" w:line="236" w:lineRule="auto"/>
        <w:rPr>
          <w:sz w:val="20"/>
          <w:szCs w:val="20"/>
          <w:color w:val="auto"/>
        </w:rPr>
      </w:pPr>
      <w:r>
        <w:rPr>
          <w:rFonts w:ascii="Arial" w:cs="Arial" w:eastAsia="Arial" w:hAnsi="Arial"/>
          <w:sz w:val="18"/>
          <w:szCs w:val="18"/>
          <w:color w:val="auto"/>
        </w:rPr>
        <w:t>reporting, and other matters of importance to the Audit Committee, the independent registered public accounting firm and the internal</w:t>
      </w:r>
    </w:p>
    <w:p>
      <w:pPr>
        <w:spacing w:after="0" w:line="1" w:lineRule="exact"/>
        <w:rPr>
          <w:sz w:val="20"/>
          <w:szCs w:val="20"/>
          <w:color w:val="auto"/>
        </w:rPr>
      </w:pPr>
    </w:p>
    <w:p>
      <w:pPr>
        <w:ind w:right="180"/>
        <w:spacing w:after="0" w:line="226" w:lineRule="auto"/>
        <w:rPr>
          <w:sz w:val="20"/>
          <w:szCs w:val="20"/>
          <w:color w:val="auto"/>
        </w:rPr>
      </w:pPr>
      <w:r>
        <w:rPr>
          <w:rFonts w:ascii="Arial" w:cs="Arial" w:eastAsia="Arial" w:hAnsi="Arial"/>
          <w:sz w:val="18"/>
          <w:szCs w:val="18"/>
          <w:color w:val="auto"/>
        </w:rPr>
        <w:t>auditors. Management has the primary responsibility for the financial statements and the reporting process, including the system of internal control over financial reporting. In fulfilling its oversight responsibilities, the Audit Committee reviewed and discussed with management the</w:t>
      </w:r>
    </w:p>
    <w:p>
      <w:pPr>
        <w:spacing w:after="0" w:line="236" w:lineRule="auto"/>
        <w:rPr>
          <w:sz w:val="20"/>
          <w:szCs w:val="20"/>
          <w:color w:val="auto"/>
        </w:rPr>
      </w:pPr>
      <w:r>
        <w:rPr>
          <w:rFonts w:ascii="Arial" w:cs="Arial" w:eastAsia="Arial" w:hAnsi="Arial"/>
          <w:sz w:val="18"/>
          <w:szCs w:val="18"/>
          <w:color w:val="auto"/>
        </w:rPr>
        <w:t>audited financial statements contained in our Annual Report on Form 10-K and the quarterly financial statements during fiscal year 2025,</w:t>
      </w:r>
    </w:p>
    <w:p>
      <w:pPr>
        <w:spacing w:after="0" w:line="1" w:lineRule="exact"/>
        <w:rPr>
          <w:sz w:val="20"/>
          <w:szCs w:val="20"/>
          <w:color w:val="auto"/>
        </w:rPr>
      </w:pPr>
    </w:p>
    <w:p>
      <w:pPr>
        <w:ind w:right="400"/>
        <w:spacing w:after="0"/>
        <w:rPr>
          <w:sz w:val="20"/>
          <w:szCs w:val="20"/>
          <w:color w:val="auto"/>
        </w:rPr>
      </w:pPr>
      <w:r>
        <w:rPr>
          <w:rFonts w:ascii="Arial" w:cs="Arial" w:eastAsia="Arial" w:hAnsi="Arial"/>
          <w:sz w:val="17"/>
          <w:szCs w:val="17"/>
          <w:color w:val="auto"/>
        </w:rPr>
        <w:t>including the specific disclosures in the section titled “Management’s Discussion and Analysis of Financial Condition and Results of Operations.” These discussions also addressed the quality, not just the acceptability, of the accounting principles, the reasonableness of</w:t>
      </w:r>
    </w:p>
    <w:p>
      <w:pPr>
        <w:spacing w:after="0" w:line="235" w:lineRule="auto"/>
        <w:rPr>
          <w:sz w:val="20"/>
          <w:szCs w:val="20"/>
          <w:color w:val="auto"/>
        </w:rPr>
      </w:pPr>
      <w:r>
        <w:rPr>
          <w:rFonts w:ascii="Arial" w:cs="Arial" w:eastAsia="Arial" w:hAnsi="Arial"/>
          <w:sz w:val="18"/>
          <w:szCs w:val="18"/>
          <w:color w:val="auto"/>
        </w:rPr>
        <w:t>significant judgments, and the clarity of disclosures in the financial statements. The Audit Committee reported on these meetings to our</w:t>
      </w:r>
    </w:p>
    <w:p>
      <w:pPr>
        <w:ind w:right="580"/>
        <w:spacing w:after="0"/>
        <w:rPr>
          <w:sz w:val="20"/>
          <w:szCs w:val="20"/>
          <w:color w:val="auto"/>
        </w:rPr>
      </w:pPr>
      <w:r>
        <w:rPr>
          <w:rFonts w:ascii="Arial" w:cs="Arial" w:eastAsia="Arial" w:hAnsi="Arial"/>
          <w:sz w:val="17"/>
          <w:szCs w:val="17"/>
          <w:color w:val="auto"/>
        </w:rPr>
        <w:t>Board of Directors. The Audit Committee also selected and appointed our independent registered public accounting firm, reviewed the performance of the independent registered public accounting firm during the annual audit and on assignments unrelated to the audit,</w:t>
      </w:r>
    </w:p>
    <w:p>
      <w:pPr>
        <w:spacing w:after="0" w:line="235" w:lineRule="auto"/>
        <w:rPr>
          <w:sz w:val="20"/>
          <w:szCs w:val="20"/>
          <w:color w:val="auto"/>
        </w:rPr>
      </w:pPr>
      <w:r>
        <w:rPr>
          <w:rFonts w:ascii="Arial" w:cs="Arial" w:eastAsia="Arial" w:hAnsi="Arial"/>
          <w:sz w:val="18"/>
          <w:szCs w:val="18"/>
          <w:color w:val="auto"/>
        </w:rPr>
        <w:t>assessed the independence of the independent registered public accounting firm and reviewed and approved the independent registered</w:t>
      </w:r>
    </w:p>
    <w:p>
      <w:pPr>
        <w:ind w:right="380"/>
        <w:spacing w:after="0" w:line="226" w:lineRule="auto"/>
        <w:rPr>
          <w:sz w:val="20"/>
          <w:szCs w:val="20"/>
          <w:color w:val="auto"/>
        </w:rPr>
      </w:pPr>
      <w:r>
        <w:rPr>
          <w:rFonts w:ascii="Arial" w:cs="Arial" w:eastAsia="Arial" w:hAnsi="Arial"/>
          <w:sz w:val="18"/>
          <w:szCs w:val="18"/>
          <w:color w:val="auto"/>
        </w:rPr>
        <w:t>public accounting firm’s fees. The Audit Committee also has adopted policies and procedures for the pre-approval of audit and non-audit services for the purpose of maintaining the independence of our independent registered public accounting firm. The Audit Committee</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operates under a written charter adopted by our Board of Directors.</w:t>
      </w:r>
    </w:p>
    <w:p>
      <w:pPr>
        <w:spacing w:after="0" w:line="45" w:lineRule="exact"/>
        <w:rPr>
          <w:sz w:val="20"/>
          <w:szCs w:val="20"/>
          <w:color w:val="auto"/>
        </w:rPr>
      </w:pPr>
    </w:p>
    <w:p>
      <w:pPr>
        <w:spacing w:after="0"/>
        <w:rPr>
          <w:sz w:val="20"/>
          <w:szCs w:val="20"/>
          <w:color w:val="auto"/>
        </w:rPr>
      </w:pPr>
      <w:r>
        <w:rPr>
          <w:rFonts w:ascii="Arial" w:cs="Arial" w:eastAsia="Arial" w:hAnsi="Arial"/>
          <w:sz w:val="18"/>
          <w:szCs w:val="18"/>
          <w:color w:val="auto"/>
        </w:rPr>
        <w:t>The Audit Committee reviewed with our independent registered public accounting firm, who are responsible for expressing an opinion on the</w:t>
      </w:r>
    </w:p>
    <w:p>
      <w:pPr>
        <w:spacing w:after="0" w:line="14" w:lineRule="exact"/>
        <w:rPr>
          <w:sz w:val="20"/>
          <w:szCs w:val="20"/>
          <w:color w:val="auto"/>
        </w:rPr>
      </w:pPr>
    </w:p>
    <w:p>
      <w:pPr>
        <w:ind w:right="160"/>
        <w:spacing w:after="0"/>
        <w:rPr>
          <w:sz w:val="20"/>
          <w:szCs w:val="20"/>
          <w:color w:val="auto"/>
        </w:rPr>
      </w:pPr>
      <w:r>
        <w:rPr>
          <w:rFonts w:ascii="Arial" w:cs="Arial" w:eastAsia="Arial" w:hAnsi="Arial"/>
          <w:sz w:val="17"/>
          <w:szCs w:val="17"/>
          <w:color w:val="auto"/>
        </w:rPr>
        <w:t>conformity of the audited financial statements with generally accepted accounting principles, their judgments as to the quality, not just the acceptability, of our accounting principles and such other matters as are required to be discussed with the Audit Committee under generally</w:t>
      </w:r>
    </w:p>
    <w:p>
      <w:pPr>
        <w:spacing w:after="0" w:line="1" w:lineRule="exact"/>
        <w:rPr>
          <w:sz w:val="20"/>
          <w:szCs w:val="20"/>
          <w:color w:val="auto"/>
        </w:rPr>
      </w:pPr>
    </w:p>
    <w:p>
      <w:pPr>
        <w:ind w:right="80"/>
        <w:spacing w:after="0" w:line="226" w:lineRule="auto"/>
        <w:rPr>
          <w:sz w:val="20"/>
          <w:szCs w:val="20"/>
          <w:color w:val="auto"/>
        </w:rPr>
      </w:pPr>
      <w:r>
        <w:rPr>
          <w:rFonts w:ascii="Arial" w:cs="Arial" w:eastAsia="Arial" w:hAnsi="Arial"/>
          <w:sz w:val="18"/>
          <w:szCs w:val="18"/>
          <w:color w:val="auto"/>
        </w:rPr>
        <w:t>accepted auditing standards. In addition, the Audit Committee has discussed with the independent registered public accounting firm (i) the matters required to be discussed by the applicable requirements of the Public Company Accounting Oversight Board (PCAOB) and the SEC</w:t>
      </w:r>
    </w:p>
    <w:p>
      <w:pPr>
        <w:spacing w:after="0" w:line="236" w:lineRule="auto"/>
        <w:rPr>
          <w:sz w:val="20"/>
          <w:szCs w:val="20"/>
          <w:color w:val="auto"/>
        </w:rPr>
      </w:pPr>
      <w:r>
        <w:rPr>
          <w:rFonts w:ascii="Arial" w:cs="Arial" w:eastAsia="Arial" w:hAnsi="Arial"/>
          <w:sz w:val="18"/>
          <w:szCs w:val="18"/>
          <w:color w:val="auto"/>
        </w:rPr>
        <w:t>and (ii) the independent registered public accounting firm’s independence from ADI and its management, including the matters in the written</w:t>
      </w:r>
    </w:p>
    <w:p>
      <w:pPr>
        <w:spacing w:after="0" w:line="1" w:lineRule="exact"/>
        <w:rPr>
          <w:sz w:val="20"/>
          <w:szCs w:val="20"/>
          <w:color w:val="auto"/>
        </w:rPr>
      </w:pPr>
    </w:p>
    <w:p>
      <w:pPr>
        <w:ind w:right="100"/>
        <w:spacing w:after="0" w:line="226" w:lineRule="auto"/>
        <w:rPr>
          <w:sz w:val="20"/>
          <w:szCs w:val="20"/>
          <w:color w:val="auto"/>
        </w:rPr>
      </w:pPr>
      <w:r>
        <w:rPr>
          <w:rFonts w:ascii="Arial" w:cs="Arial" w:eastAsia="Arial" w:hAnsi="Arial"/>
          <w:sz w:val="18"/>
          <w:szCs w:val="18"/>
          <w:color w:val="auto"/>
        </w:rPr>
        <w:t>disclosures and the letter we received from the independent registered public accounting firm required by applicable requirements of the PCAOB regarding the independent registered public accounting firm’s communications with the Audit Committee concerning independence.</w:t>
      </w:r>
    </w:p>
    <w:p>
      <w:pPr>
        <w:spacing w:after="0" w:line="2" w:lineRule="exact"/>
        <w:rPr>
          <w:sz w:val="20"/>
          <w:szCs w:val="20"/>
          <w:color w:val="auto"/>
        </w:rPr>
      </w:pPr>
    </w:p>
    <w:p>
      <w:pPr>
        <w:ind w:right="100"/>
        <w:spacing w:after="0" w:line="250" w:lineRule="auto"/>
        <w:rPr>
          <w:sz w:val="20"/>
          <w:szCs w:val="20"/>
          <w:color w:val="auto"/>
        </w:rPr>
      </w:pPr>
      <w:r>
        <w:rPr>
          <w:rFonts w:ascii="Arial" w:cs="Arial" w:eastAsia="Arial" w:hAnsi="Arial"/>
          <w:sz w:val="18"/>
          <w:szCs w:val="18"/>
          <w:color w:val="auto"/>
        </w:rPr>
        <w:t>The Audit Committee considered the appropriateness of the provision of non-audit services by the independent registered public accounting firm relative to their independence.</w:t>
      </w:r>
    </w:p>
    <w:p>
      <w:pPr>
        <w:spacing w:after="0" w:line="23" w:lineRule="exact"/>
        <w:rPr>
          <w:sz w:val="20"/>
          <w:szCs w:val="20"/>
          <w:color w:val="auto"/>
        </w:rPr>
      </w:pPr>
    </w:p>
    <w:p>
      <w:pPr>
        <w:ind w:right="520"/>
        <w:spacing w:after="0" w:line="237" w:lineRule="auto"/>
        <w:rPr>
          <w:sz w:val="20"/>
          <w:szCs w:val="20"/>
          <w:color w:val="auto"/>
        </w:rPr>
      </w:pPr>
      <w:r>
        <w:rPr>
          <w:rFonts w:ascii="Arial" w:cs="Arial" w:eastAsia="Arial" w:hAnsi="Arial"/>
          <w:sz w:val="18"/>
          <w:szCs w:val="18"/>
          <w:color w:val="auto"/>
        </w:rPr>
        <w:t>Based on its review and discussions referred to above, the Audit Committee recommended to our Board of Directors (and the Board of Directors approved) that our audited financial statements be included in our Annual Report on Form 10-K for the fiscal year ended</w:t>
      </w:r>
    </w:p>
    <w:p>
      <w:pPr>
        <w:spacing w:after="0" w:line="1" w:lineRule="exact"/>
        <w:rPr>
          <w:sz w:val="20"/>
          <w:szCs w:val="20"/>
          <w:color w:val="auto"/>
        </w:rPr>
      </w:pPr>
    </w:p>
    <w:p>
      <w:pPr>
        <w:ind w:right="20"/>
        <w:spacing w:after="0" w:line="250" w:lineRule="auto"/>
        <w:rPr>
          <w:sz w:val="20"/>
          <w:szCs w:val="20"/>
          <w:color w:val="auto"/>
        </w:rPr>
      </w:pPr>
      <w:r>
        <w:rPr>
          <w:rFonts w:ascii="Arial" w:cs="Arial" w:eastAsia="Arial" w:hAnsi="Arial"/>
          <w:sz w:val="18"/>
          <w:szCs w:val="18"/>
          <w:color w:val="auto"/>
        </w:rPr>
        <w:t>November 1, 2025. The Audit Committee also selected Ernst &amp; Young LLP as our independent registered public accounting firm for the fiscal year ending October 31, 2026.</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Audit Committee</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color w:val="0067B3"/>
        </w:rPr>
        <w:t>Karen M. Golz, Chair</w:t>
      </w:r>
    </w:p>
    <w:p>
      <w:pPr>
        <w:spacing w:after="0" w:line="234" w:lineRule="auto"/>
        <w:rPr>
          <w:sz w:val="20"/>
          <w:szCs w:val="20"/>
          <w:color w:val="auto"/>
        </w:rPr>
      </w:pPr>
      <w:r>
        <w:rPr>
          <w:rFonts w:ascii="Arial" w:cs="Arial" w:eastAsia="Arial" w:hAnsi="Arial"/>
          <w:sz w:val="18"/>
          <w:szCs w:val="18"/>
          <w:b w:val="1"/>
          <w:bCs w:val="1"/>
          <w:color w:val="0067B3"/>
        </w:rPr>
        <w:t>Peter B. Henry</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b w:val="1"/>
          <w:bCs w:val="1"/>
          <w:color w:val="0067B3"/>
        </w:rPr>
        <w:t>Mercedes Johnson</w:t>
      </w:r>
    </w:p>
    <w:p>
      <w:pPr>
        <w:sectPr>
          <w:pgSz w:w="11900" w:h="16838" w:orient="portrait"/>
          <w:cols w:equalWidth="0" w:num="1">
            <w:col w:w="11220"/>
          </w:cols>
          <w:pgMar w:left="320" w:top="1356" w:right="359" w:bottom="1440" w:gutter="0" w:footer="0" w:header="0"/>
        </w:sectPr>
      </w:pPr>
    </w:p>
    <w:p>
      <w:pPr>
        <w:spacing w:after="0" w:line="200" w:lineRule="exact"/>
        <w:rPr>
          <w:sz w:val="20"/>
          <w:szCs w:val="20"/>
          <w:color w:val="auto"/>
        </w:rPr>
      </w:pPr>
    </w:p>
    <w:p>
      <w:pPr>
        <w:spacing w:after="0" w:line="212" w:lineRule="exact"/>
        <w:rPr>
          <w:sz w:val="20"/>
          <w:szCs w:val="20"/>
          <w:color w:val="auto"/>
        </w:rPr>
      </w:pPr>
    </w:p>
    <w:p>
      <w:pPr>
        <w:ind w:left="640" w:hanging="614"/>
        <w:spacing w:after="0"/>
        <w:tabs>
          <w:tab w:leader="none" w:pos="640" w:val="left"/>
        </w:tabs>
        <w:numPr>
          <w:ilvl w:val="0"/>
          <w:numId w:val="136"/>
        </w:numPr>
        <w:rPr>
          <w:rFonts w:ascii="Arial" w:cs="Arial" w:eastAsia="Arial" w:hAnsi="Arial"/>
          <w:sz w:val="20"/>
          <w:szCs w:val="20"/>
          <w:b w:val="1"/>
          <w:bCs w:val="1"/>
          <w:color w:val="auto"/>
        </w:rPr>
      </w:pPr>
      <w:r>
        <w:rPr>
          <w:rFonts w:ascii="Arial" w:cs="Arial" w:eastAsia="Arial" w:hAnsi="Arial"/>
          <w:sz w:val="16"/>
          <w:szCs w:val="16"/>
          <w:color w:val="6D6E71"/>
        </w:rPr>
        <w:t>Audit Matters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186055</wp:posOffset>
            </wp:positionV>
            <wp:extent cx="7157720" cy="42545"/>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56" w:right="359" w:bottom="1440" w:gutter="0" w:footer="0" w:header="0"/>
          <w:type w:val="continuous"/>
        </w:sectPr>
      </w:pPr>
    </w:p>
    <w:bookmarkStart w:id="82" w:name="page83"/>
    <w:bookmarkEnd w:id="82"/>
    <w:p>
      <w:pPr>
        <w:spacing w:after="0"/>
        <w:rPr>
          <w:sz w:val="20"/>
          <w:szCs w:val="20"/>
          <w:color w:val="auto"/>
        </w:rPr>
      </w:pPr>
      <w:r>
        <w:rPr>
          <w:rFonts w:ascii="Arial" w:cs="Arial" w:eastAsia="Arial" w:hAnsi="Arial"/>
          <w:sz w:val="58"/>
          <w:szCs w:val="58"/>
          <w:color w:val="auto"/>
        </w:rPr>
        <w:t>Beneficial Ownership of Common Stock</w:t>
      </w: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41"/>
          <w:szCs w:val="41"/>
          <w:b w:val="1"/>
          <w:bCs w:val="1"/>
          <w:color w:val="0067B3"/>
        </w:rPr>
        <w:t>Security Ownership of Certain Beneficial Owners</w:t>
      </w:r>
    </w:p>
    <w:p>
      <w:pPr>
        <w:spacing w:after="0" w:line="169" w:lineRule="exact"/>
        <w:rPr>
          <w:sz w:val="20"/>
          <w:szCs w:val="20"/>
          <w:color w:val="auto"/>
        </w:rPr>
      </w:pPr>
    </w:p>
    <w:p>
      <w:pPr>
        <w:ind w:right="20"/>
        <w:spacing w:after="0" w:line="287" w:lineRule="auto"/>
        <w:rPr>
          <w:sz w:val="20"/>
          <w:szCs w:val="20"/>
          <w:color w:val="auto"/>
        </w:rPr>
      </w:pPr>
      <w:r>
        <w:rPr>
          <w:rFonts w:ascii="Arial" w:cs="Arial" w:eastAsia="Arial" w:hAnsi="Arial"/>
          <w:sz w:val="18"/>
          <w:szCs w:val="18"/>
          <w:color w:val="auto"/>
        </w:rPr>
        <w:t>The following table lists information about those holders known to ADI to be the beneficial owners of 5% or more of our outstanding shares of common stock as of January 8, 2026:</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7940" w:type="dxa"/>
            <w:vAlign w:val="bottom"/>
            <w:shd w:val="clear" w:color="auto" w:fill="0067B3"/>
          </w:tcPr>
          <w:p>
            <w:pPr>
              <w:spacing w:after="0"/>
              <w:rPr>
                <w:sz w:val="17"/>
                <w:szCs w:val="17"/>
                <w:color w:val="auto"/>
              </w:rPr>
            </w:pPr>
          </w:p>
        </w:tc>
        <w:tc>
          <w:tcPr>
            <w:tcW w:w="1820" w:type="dxa"/>
            <w:vAlign w:val="bottom"/>
            <w:shd w:val="clear" w:color="auto" w:fill="0067B3"/>
          </w:tcPr>
          <w:p>
            <w:pPr>
              <w:spacing w:after="0"/>
              <w:rPr>
                <w:sz w:val="17"/>
                <w:szCs w:val="17"/>
                <w:color w:val="auto"/>
              </w:rPr>
            </w:pPr>
          </w:p>
        </w:tc>
        <w:tc>
          <w:tcPr>
            <w:tcW w:w="1480" w:type="dxa"/>
            <w:vAlign w:val="bottom"/>
            <w:shd w:val="clear" w:color="auto" w:fill="0067B3"/>
          </w:tcPr>
          <w:p>
            <w:pPr>
              <w:jc w:val="right"/>
              <w:spacing w:after="0"/>
              <w:rPr>
                <w:sz w:val="20"/>
                <w:szCs w:val="20"/>
                <w:color w:val="auto"/>
              </w:rPr>
            </w:pPr>
            <w:r>
              <w:rPr>
                <w:rFonts w:ascii="Arial" w:cs="Arial" w:eastAsia="Arial" w:hAnsi="Arial"/>
                <w:sz w:val="16"/>
                <w:szCs w:val="16"/>
                <w:b w:val="1"/>
                <w:bCs w:val="1"/>
                <w:color w:val="FFFFFF"/>
              </w:rPr>
              <w:t>Percent of</w:t>
            </w:r>
          </w:p>
        </w:tc>
      </w:tr>
      <w:tr>
        <w:trPr>
          <w:trHeight w:val="189"/>
        </w:trPr>
        <w:tc>
          <w:tcPr>
            <w:tcW w:w="7940" w:type="dxa"/>
            <w:vAlign w:val="bottom"/>
            <w:shd w:val="clear" w:color="auto" w:fill="0067B3"/>
          </w:tcPr>
          <w:p>
            <w:pPr>
              <w:spacing w:after="0"/>
              <w:rPr>
                <w:sz w:val="16"/>
                <w:szCs w:val="16"/>
                <w:color w:val="auto"/>
              </w:rPr>
            </w:pPr>
          </w:p>
        </w:tc>
        <w:tc>
          <w:tcPr>
            <w:tcW w:w="1820" w:type="dxa"/>
            <w:vAlign w:val="bottom"/>
            <w:shd w:val="clear" w:color="auto" w:fill="0067B3"/>
          </w:tcPr>
          <w:p>
            <w:pPr>
              <w:jc w:val="right"/>
              <w:ind w:right="175"/>
              <w:spacing w:after="0"/>
              <w:rPr>
                <w:sz w:val="20"/>
                <w:szCs w:val="20"/>
                <w:color w:val="auto"/>
              </w:rPr>
            </w:pPr>
            <w:r>
              <w:rPr>
                <w:rFonts w:ascii="Arial" w:cs="Arial" w:eastAsia="Arial" w:hAnsi="Arial"/>
                <w:sz w:val="16"/>
                <w:szCs w:val="16"/>
                <w:b w:val="1"/>
                <w:bCs w:val="1"/>
                <w:color w:val="FFFFFF"/>
              </w:rPr>
              <w:t>Shares</w:t>
            </w:r>
          </w:p>
        </w:tc>
        <w:tc>
          <w:tcPr>
            <w:tcW w:w="1480" w:type="dxa"/>
            <w:vAlign w:val="bottom"/>
            <w:shd w:val="clear" w:color="auto" w:fill="0067B3"/>
          </w:tcPr>
          <w:p>
            <w:pPr>
              <w:jc w:val="right"/>
              <w:spacing w:after="0"/>
              <w:rPr>
                <w:sz w:val="20"/>
                <w:szCs w:val="20"/>
                <w:color w:val="auto"/>
              </w:rPr>
            </w:pPr>
            <w:r>
              <w:rPr>
                <w:rFonts w:ascii="Arial" w:cs="Arial" w:eastAsia="Arial" w:hAnsi="Arial"/>
                <w:sz w:val="16"/>
                <w:szCs w:val="16"/>
                <w:b w:val="1"/>
                <w:bCs w:val="1"/>
                <w:color w:val="FFFFFF"/>
              </w:rPr>
              <w:t>Common Stock</w:t>
            </w:r>
          </w:p>
        </w:tc>
      </w:tr>
      <w:tr>
        <w:trPr>
          <w:trHeight w:val="203"/>
        </w:trPr>
        <w:tc>
          <w:tcPr>
            <w:tcW w:w="7940" w:type="dxa"/>
            <w:vAlign w:val="bottom"/>
            <w:shd w:val="clear" w:color="auto" w:fill="0067B3"/>
          </w:tcPr>
          <w:p>
            <w:pPr>
              <w:spacing w:after="0"/>
              <w:rPr>
                <w:sz w:val="17"/>
                <w:szCs w:val="17"/>
                <w:color w:val="auto"/>
              </w:rPr>
            </w:pPr>
          </w:p>
        </w:tc>
        <w:tc>
          <w:tcPr>
            <w:tcW w:w="1820" w:type="dxa"/>
            <w:vAlign w:val="bottom"/>
            <w:shd w:val="clear" w:color="auto" w:fill="0067B3"/>
          </w:tcPr>
          <w:p>
            <w:pPr>
              <w:jc w:val="right"/>
              <w:ind w:right="175"/>
              <w:spacing w:after="0"/>
              <w:rPr>
                <w:sz w:val="20"/>
                <w:szCs w:val="20"/>
                <w:color w:val="auto"/>
              </w:rPr>
            </w:pPr>
            <w:r>
              <w:rPr>
                <w:rFonts w:ascii="Arial" w:cs="Arial" w:eastAsia="Arial" w:hAnsi="Arial"/>
                <w:sz w:val="16"/>
                <w:szCs w:val="16"/>
                <w:b w:val="1"/>
                <w:bCs w:val="1"/>
                <w:color w:val="FFFFFF"/>
              </w:rPr>
              <w:t>Beneficially</w:t>
            </w:r>
          </w:p>
        </w:tc>
        <w:tc>
          <w:tcPr>
            <w:tcW w:w="1480" w:type="dxa"/>
            <w:vAlign w:val="bottom"/>
            <w:shd w:val="clear" w:color="auto" w:fill="0067B3"/>
          </w:tcPr>
          <w:p>
            <w:pPr>
              <w:jc w:val="right"/>
              <w:spacing w:after="0"/>
              <w:rPr>
                <w:sz w:val="20"/>
                <w:szCs w:val="20"/>
                <w:color w:val="auto"/>
              </w:rPr>
            </w:pPr>
            <w:r>
              <w:rPr>
                <w:rFonts w:ascii="Arial" w:cs="Arial" w:eastAsia="Arial" w:hAnsi="Arial"/>
                <w:sz w:val="16"/>
                <w:szCs w:val="16"/>
                <w:b w:val="1"/>
                <w:bCs w:val="1"/>
                <w:color w:val="FFFFFF"/>
              </w:rPr>
              <w:t>Beneficially</w:t>
            </w:r>
          </w:p>
        </w:tc>
      </w:tr>
      <w:tr>
        <w:trPr>
          <w:trHeight w:val="244"/>
        </w:trPr>
        <w:tc>
          <w:tcPr>
            <w:tcW w:w="7940" w:type="dxa"/>
            <w:vAlign w:val="bottom"/>
            <w:shd w:val="clear" w:color="auto" w:fill="0067B3"/>
          </w:tcPr>
          <w:p>
            <w:pPr>
              <w:ind w:left="20"/>
              <w:spacing w:after="0"/>
              <w:rPr>
                <w:sz w:val="20"/>
                <w:szCs w:val="20"/>
                <w:color w:val="auto"/>
              </w:rPr>
            </w:pPr>
            <w:r>
              <w:rPr>
                <w:rFonts w:ascii="Arial" w:cs="Arial" w:eastAsia="Arial" w:hAnsi="Arial"/>
                <w:sz w:val="16"/>
                <w:szCs w:val="16"/>
                <w:b w:val="1"/>
                <w:bCs w:val="1"/>
                <w:color w:val="FFFFFF"/>
              </w:rPr>
              <w:t>Name and Address of Beneficial Owner</w:t>
            </w:r>
          </w:p>
        </w:tc>
        <w:tc>
          <w:tcPr>
            <w:tcW w:w="1820" w:type="dxa"/>
            <w:vAlign w:val="bottom"/>
            <w:shd w:val="clear" w:color="auto" w:fill="0067B3"/>
          </w:tcPr>
          <w:p>
            <w:pPr>
              <w:jc w:val="right"/>
              <w:ind w:right="175"/>
              <w:spacing w:after="0"/>
              <w:rPr>
                <w:sz w:val="20"/>
                <w:szCs w:val="20"/>
                <w:color w:val="auto"/>
              </w:rPr>
            </w:pPr>
            <w:r>
              <w:rPr>
                <w:rFonts w:ascii="Arial" w:cs="Arial" w:eastAsia="Arial" w:hAnsi="Arial"/>
                <w:sz w:val="16"/>
                <w:szCs w:val="16"/>
                <w:b w:val="1"/>
                <w:bCs w:val="1"/>
                <w:color w:val="FFFFFF"/>
              </w:rPr>
              <w:t>Owned</w:t>
            </w:r>
          </w:p>
        </w:tc>
        <w:tc>
          <w:tcPr>
            <w:tcW w:w="1480" w:type="dxa"/>
            <w:vAlign w:val="bottom"/>
            <w:shd w:val="clear" w:color="auto" w:fill="0067B3"/>
          </w:tcPr>
          <w:p>
            <w:pPr>
              <w:jc w:val="right"/>
              <w:spacing w:after="0"/>
              <w:rPr>
                <w:sz w:val="20"/>
                <w:szCs w:val="20"/>
                <w:color w:val="auto"/>
              </w:rPr>
            </w:pPr>
            <w:r>
              <w:rPr>
                <w:rFonts w:ascii="Arial" w:cs="Arial" w:eastAsia="Arial" w:hAnsi="Arial"/>
                <w:sz w:val="16"/>
                <w:szCs w:val="16"/>
                <w:b w:val="1"/>
                <w:bCs w:val="1"/>
                <w:color w:val="FFFFFF"/>
              </w:rPr>
              <w:t>Owned</w:t>
            </w:r>
            <w:r>
              <w:rPr>
                <w:rFonts w:ascii="Arial" w:cs="Arial" w:eastAsia="Arial" w:hAnsi="Arial"/>
                <w:sz w:val="21"/>
                <w:szCs w:val="21"/>
                <w:b w:val="1"/>
                <w:bCs w:val="1"/>
                <w:color w:val="FFFFFF"/>
                <w:vertAlign w:val="superscript"/>
              </w:rPr>
              <w:t>(1)</w:t>
            </w:r>
          </w:p>
        </w:tc>
      </w:tr>
      <w:tr>
        <w:trPr>
          <w:trHeight w:val="250"/>
        </w:trPr>
        <w:tc>
          <w:tcPr>
            <w:tcW w:w="7940" w:type="dxa"/>
            <w:vAlign w:val="bottom"/>
            <w:tcBorders>
              <w:bottom w:val="single" w:sz="8" w:color="E2E6F4"/>
            </w:tcBorders>
            <w:shd w:val="clear" w:color="auto" w:fill="E2E6F4"/>
          </w:tcPr>
          <w:p>
            <w:pPr>
              <w:ind w:left="20"/>
              <w:spacing w:after="0"/>
              <w:rPr>
                <w:sz w:val="20"/>
                <w:szCs w:val="20"/>
                <w:color w:val="auto"/>
              </w:rPr>
            </w:pPr>
            <w:r>
              <w:rPr>
                <w:rFonts w:ascii="Arial" w:cs="Arial" w:eastAsia="Arial" w:hAnsi="Arial"/>
                <w:sz w:val="18"/>
                <w:szCs w:val="18"/>
                <w:color w:val="auto"/>
              </w:rPr>
              <w:t>5% Shareholders:</w:t>
            </w:r>
          </w:p>
        </w:tc>
        <w:tc>
          <w:tcPr>
            <w:tcW w:w="1820" w:type="dxa"/>
            <w:vAlign w:val="bottom"/>
            <w:tcBorders>
              <w:bottom w:val="single" w:sz="8" w:color="E2E6F4"/>
            </w:tcBorders>
            <w:shd w:val="clear" w:color="auto" w:fill="E2E6F4"/>
          </w:tcPr>
          <w:p>
            <w:pPr>
              <w:spacing w:after="0"/>
              <w:rPr>
                <w:sz w:val="21"/>
                <w:szCs w:val="21"/>
                <w:color w:val="auto"/>
              </w:rPr>
            </w:pPr>
          </w:p>
        </w:tc>
        <w:tc>
          <w:tcPr>
            <w:tcW w:w="1480" w:type="dxa"/>
            <w:vAlign w:val="bottom"/>
            <w:tcBorders>
              <w:bottom w:val="single" w:sz="8" w:color="E2E6F4"/>
            </w:tcBorders>
            <w:shd w:val="clear" w:color="auto" w:fill="E2E6F4"/>
          </w:tcPr>
          <w:p>
            <w:pPr>
              <w:spacing w:after="0"/>
              <w:rPr>
                <w:sz w:val="21"/>
                <w:szCs w:val="21"/>
                <w:color w:val="auto"/>
              </w:rPr>
            </w:pPr>
          </w:p>
        </w:tc>
      </w:tr>
      <w:tr>
        <w:trPr>
          <w:trHeight w:val="278"/>
        </w:trPr>
        <w:tc>
          <w:tcPr>
            <w:tcW w:w="7940" w:type="dxa"/>
            <w:vAlign w:val="bottom"/>
          </w:tcPr>
          <w:p>
            <w:pPr>
              <w:ind w:left="220"/>
              <w:spacing w:after="0"/>
              <w:rPr>
                <w:sz w:val="20"/>
                <w:szCs w:val="20"/>
                <w:color w:val="auto"/>
              </w:rPr>
            </w:pPr>
            <w:r>
              <w:rPr>
                <w:rFonts w:ascii="Arial" w:cs="Arial" w:eastAsia="Arial" w:hAnsi="Arial"/>
                <w:sz w:val="18"/>
                <w:szCs w:val="18"/>
                <w:color w:val="auto"/>
              </w:rPr>
              <w:t>Vanguard Group Inc.</w:t>
            </w:r>
            <w:r>
              <w:rPr>
                <w:rFonts w:ascii="Arial" w:cs="Arial" w:eastAsia="Arial" w:hAnsi="Arial"/>
                <w:sz w:val="23"/>
                <w:szCs w:val="23"/>
                <w:color w:val="auto"/>
                <w:vertAlign w:val="superscript"/>
              </w:rPr>
              <w:t>(2)</w:t>
            </w:r>
          </w:p>
        </w:tc>
        <w:tc>
          <w:tcPr>
            <w:tcW w:w="1820" w:type="dxa"/>
            <w:vAlign w:val="bottom"/>
          </w:tcPr>
          <w:p>
            <w:pPr>
              <w:spacing w:after="0"/>
              <w:rPr>
                <w:sz w:val="24"/>
                <w:szCs w:val="24"/>
                <w:color w:val="auto"/>
              </w:rPr>
            </w:pPr>
          </w:p>
        </w:tc>
        <w:tc>
          <w:tcPr>
            <w:tcW w:w="1480" w:type="dxa"/>
            <w:vAlign w:val="bottom"/>
          </w:tcPr>
          <w:p>
            <w:pPr>
              <w:spacing w:after="0"/>
              <w:rPr>
                <w:sz w:val="24"/>
                <w:szCs w:val="24"/>
                <w:color w:val="auto"/>
              </w:rPr>
            </w:pPr>
          </w:p>
        </w:tc>
      </w:tr>
      <w:tr>
        <w:trPr>
          <w:trHeight w:val="239"/>
        </w:trPr>
        <w:tc>
          <w:tcPr>
            <w:tcW w:w="7940" w:type="dxa"/>
            <w:vAlign w:val="bottom"/>
          </w:tcPr>
          <w:p>
            <w:pPr>
              <w:ind w:left="220"/>
              <w:spacing w:after="0"/>
              <w:rPr>
                <w:sz w:val="20"/>
                <w:szCs w:val="20"/>
                <w:color w:val="auto"/>
              </w:rPr>
            </w:pPr>
            <w:r>
              <w:rPr>
                <w:rFonts w:ascii="Arial" w:cs="Arial" w:eastAsia="Arial" w:hAnsi="Arial"/>
                <w:sz w:val="18"/>
                <w:szCs w:val="18"/>
                <w:color w:val="auto"/>
              </w:rPr>
              <w:t>100 Vanguard Boulevard</w:t>
            </w:r>
          </w:p>
        </w:tc>
        <w:tc>
          <w:tcPr>
            <w:tcW w:w="1820" w:type="dxa"/>
            <w:vAlign w:val="bottom"/>
          </w:tcPr>
          <w:p>
            <w:pPr>
              <w:spacing w:after="0"/>
              <w:rPr>
                <w:sz w:val="20"/>
                <w:szCs w:val="20"/>
                <w:color w:val="auto"/>
              </w:rPr>
            </w:pPr>
          </w:p>
        </w:tc>
        <w:tc>
          <w:tcPr>
            <w:tcW w:w="1480" w:type="dxa"/>
            <w:vAlign w:val="bottom"/>
          </w:tcPr>
          <w:p>
            <w:pPr>
              <w:spacing w:after="0"/>
              <w:rPr>
                <w:sz w:val="20"/>
                <w:szCs w:val="20"/>
                <w:color w:val="auto"/>
              </w:rPr>
            </w:pPr>
          </w:p>
        </w:tc>
      </w:tr>
      <w:tr>
        <w:trPr>
          <w:trHeight w:val="270"/>
        </w:trPr>
        <w:tc>
          <w:tcPr>
            <w:tcW w:w="7940" w:type="dxa"/>
            <w:vAlign w:val="bottom"/>
          </w:tcPr>
          <w:p>
            <w:pPr>
              <w:ind w:left="220"/>
              <w:spacing w:after="0"/>
              <w:rPr>
                <w:sz w:val="20"/>
                <w:szCs w:val="20"/>
                <w:color w:val="auto"/>
              </w:rPr>
            </w:pPr>
            <w:r>
              <w:rPr>
                <w:rFonts w:ascii="Arial" w:cs="Arial" w:eastAsia="Arial" w:hAnsi="Arial"/>
                <w:sz w:val="18"/>
                <w:szCs w:val="18"/>
                <w:color w:val="auto"/>
              </w:rPr>
              <w:t>Malvern, Pennsylvania 19355</w:t>
            </w:r>
          </w:p>
        </w:tc>
        <w:tc>
          <w:tcPr>
            <w:tcW w:w="1820" w:type="dxa"/>
            <w:vAlign w:val="bottom"/>
          </w:tcPr>
          <w:p>
            <w:pPr>
              <w:jc w:val="right"/>
              <w:ind w:right="235"/>
              <w:spacing w:after="0"/>
              <w:rPr>
                <w:sz w:val="20"/>
                <w:szCs w:val="20"/>
                <w:color w:val="auto"/>
              </w:rPr>
            </w:pPr>
            <w:r>
              <w:rPr>
                <w:rFonts w:ascii="Arial" w:cs="Arial" w:eastAsia="Arial" w:hAnsi="Arial"/>
                <w:sz w:val="18"/>
                <w:szCs w:val="18"/>
                <w:color w:val="auto"/>
              </w:rPr>
              <w:t>49,618,676</w:t>
            </w:r>
          </w:p>
        </w:tc>
        <w:tc>
          <w:tcPr>
            <w:tcW w:w="1480" w:type="dxa"/>
            <w:vAlign w:val="bottom"/>
          </w:tcPr>
          <w:p>
            <w:pPr>
              <w:jc w:val="right"/>
              <w:spacing w:after="0"/>
              <w:rPr>
                <w:sz w:val="20"/>
                <w:szCs w:val="20"/>
                <w:color w:val="auto"/>
              </w:rPr>
            </w:pPr>
            <w:r>
              <w:rPr>
                <w:rFonts w:ascii="Arial" w:cs="Arial" w:eastAsia="Arial" w:hAnsi="Arial"/>
                <w:sz w:val="18"/>
                <w:szCs w:val="18"/>
                <w:color w:val="auto"/>
              </w:rPr>
              <w:t>10.2%</w:t>
            </w:r>
          </w:p>
        </w:tc>
      </w:tr>
      <w:tr>
        <w:trPr>
          <w:trHeight w:val="23"/>
        </w:trPr>
        <w:tc>
          <w:tcPr>
            <w:tcW w:w="794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70"/>
        </w:trPr>
        <w:tc>
          <w:tcPr>
            <w:tcW w:w="7940" w:type="dxa"/>
            <w:vAlign w:val="bottom"/>
            <w:shd w:val="clear" w:color="auto" w:fill="E2E6F4"/>
          </w:tcPr>
          <w:p>
            <w:pPr>
              <w:ind w:left="240"/>
              <w:spacing w:after="0"/>
              <w:rPr>
                <w:sz w:val="20"/>
                <w:szCs w:val="20"/>
                <w:color w:val="auto"/>
              </w:rPr>
            </w:pPr>
            <w:r>
              <w:rPr>
                <w:rFonts w:ascii="Arial" w:cs="Arial" w:eastAsia="Arial" w:hAnsi="Arial"/>
                <w:sz w:val="18"/>
                <w:szCs w:val="18"/>
                <w:color w:val="auto"/>
              </w:rPr>
              <w:t>BlackRock Inc.</w:t>
            </w:r>
            <w:r>
              <w:rPr>
                <w:rFonts w:ascii="Arial" w:cs="Arial" w:eastAsia="Arial" w:hAnsi="Arial"/>
                <w:sz w:val="23"/>
                <w:szCs w:val="23"/>
                <w:color w:val="auto"/>
                <w:vertAlign w:val="superscript"/>
              </w:rPr>
              <w:t>(3)</w:t>
            </w:r>
          </w:p>
        </w:tc>
        <w:tc>
          <w:tcPr>
            <w:tcW w:w="1820" w:type="dxa"/>
            <w:vAlign w:val="bottom"/>
            <w:shd w:val="clear" w:color="auto" w:fill="E2E6F4"/>
          </w:tcPr>
          <w:p>
            <w:pPr>
              <w:spacing w:after="0"/>
              <w:rPr>
                <w:sz w:val="23"/>
                <w:szCs w:val="23"/>
                <w:color w:val="auto"/>
              </w:rPr>
            </w:pPr>
          </w:p>
        </w:tc>
        <w:tc>
          <w:tcPr>
            <w:tcW w:w="1480" w:type="dxa"/>
            <w:vAlign w:val="bottom"/>
            <w:shd w:val="clear" w:color="auto" w:fill="E2E6F4"/>
          </w:tcPr>
          <w:p>
            <w:pPr>
              <w:spacing w:after="0"/>
              <w:rPr>
                <w:sz w:val="23"/>
                <w:szCs w:val="23"/>
                <w:color w:val="auto"/>
              </w:rPr>
            </w:pPr>
          </w:p>
        </w:tc>
      </w:tr>
      <w:tr>
        <w:trPr>
          <w:trHeight w:val="247"/>
        </w:trPr>
        <w:tc>
          <w:tcPr>
            <w:tcW w:w="7940" w:type="dxa"/>
            <w:vAlign w:val="bottom"/>
            <w:shd w:val="clear" w:color="auto" w:fill="E2E6F4"/>
          </w:tcPr>
          <w:p>
            <w:pPr>
              <w:ind w:left="220"/>
              <w:spacing w:after="0"/>
              <w:rPr>
                <w:sz w:val="20"/>
                <w:szCs w:val="20"/>
                <w:color w:val="auto"/>
              </w:rPr>
            </w:pPr>
            <w:r>
              <w:rPr>
                <w:rFonts w:ascii="Arial" w:cs="Arial" w:eastAsia="Arial" w:hAnsi="Arial"/>
                <w:sz w:val="18"/>
                <w:szCs w:val="18"/>
                <w:color w:val="auto"/>
              </w:rPr>
              <w:t>55 East 52nd Street</w:t>
            </w:r>
          </w:p>
        </w:tc>
        <w:tc>
          <w:tcPr>
            <w:tcW w:w="1820" w:type="dxa"/>
            <w:vAlign w:val="bottom"/>
            <w:shd w:val="clear" w:color="auto" w:fill="E2E6F4"/>
          </w:tcPr>
          <w:p>
            <w:pPr>
              <w:spacing w:after="0"/>
              <w:rPr>
                <w:sz w:val="21"/>
                <w:szCs w:val="21"/>
                <w:color w:val="auto"/>
              </w:rPr>
            </w:pPr>
          </w:p>
        </w:tc>
        <w:tc>
          <w:tcPr>
            <w:tcW w:w="1480" w:type="dxa"/>
            <w:vAlign w:val="bottom"/>
            <w:shd w:val="clear" w:color="auto" w:fill="E2E6F4"/>
          </w:tcPr>
          <w:p>
            <w:pPr>
              <w:spacing w:after="0"/>
              <w:rPr>
                <w:sz w:val="21"/>
                <w:szCs w:val="21"/>
                <w:color w:val="auto"/>
              </w:rPr>
            </w:pPr>
          </w:p>
        </w:tc>
      </w:tr>
      <w:tr>
        <w:trPr>
          <w:trHeight w:val="273"/>
        </w:trPr>
        <w:tc>
          <w:tcPr>
            <w:tcW w:w="7940" w:type="dxa"/>
            <w:vAlign w:val="bottom"/>
            <w:tcBorders>
              <w:bottom w:val="single" w:sz="8" w:color="E2E6F4"/>
            </w:tcBorders>
            <w:shd w:val="clear" w:color="auto" w:fill="E2E6F4"/>
          </w:tcPr>
          <w:p>
            <w:pPr>
              <w:ind w:left="220"/>
              <w:spacing w:after="0"/>
              <w:rPr>
                <w:sz w:val="20"/>
                <w:szCs w:val="20"/>
                <w:color w:val="auto"/>
              </w:rPr>
            </w:pPr>
            <w:r>
              <w:rPr>
                <w:rFonts w:ascii="Arial" w:cs="Arial" w:eastAsia="Arial" w:hAnsi="Arial"/>
                <w:sz w:val="18"/>
                <w:szCs w:val="18"/>
                <w:color w:val="auto"/>
              </w:rPr>
              <w:t>New York, New York 10055</w:t>
            </w:r>
          </w:p>
        </w:tc>
        <w:tc>
          <w:tcPr>
            <w:tcW w:w="1820" w:type="dxa"/>
            <w:vAlign w:val="bottom"/>
            <w:tcBorders>
              <w:bottom w:val="single" w:sz="8" w:color="E2E6F4"/>
            </w:tcBorders>
            <w:shd w:val="clear" w:color="auto" w:fill="E2E6F4"/>
          </w:tcPr>
          <w:p>
            <w:pPr>
              <w:jc w:val="right"/>
              <w:ind w:right="235"/>
              <w:spacing w:after="0"/>
              <w:rPr>
                <w:sz w:val="20"/>
                <w:szCs w:val="20"/>
                <w:color w:val="auto"/>
              </w:rPr>
            </w:pPr>
            <w:r>
              <w:rPr>
                <w:rFonts w:ascii="Arial" w:cs="Arial" w:eastAsia="Arial" w:hAnsi="Arial"/>
                <w:sz w:val="18"/>
                <w:szCs w:val="18"/>
                <w:color w:val="auto"/>
              </w:rPr>
              <w:t>38,733,607</w:t>
            </w:r>
          </w:p>
        </w:tc>
        <w:tc>
          <w:tcPr>
            <w:tcW w:w="1480" w:type="dxa"/>
            <w:vAlign w:val="bottom"/>
            <w:tcBorders>
              <w:bottom w:val="single" w:sz="8" w:color="E2E6F4"/>
            </w:tcBorders>
            <w:shd w:val="clear" w:color="auto" w:fill="E2E6F4"/>
          </w:tcPr>
          <w:p>
            <w:pPr>
              <w:jc w:val="right"/>
              <w:spacing w:after="0"/>
              <w:rPr>
                <w:sz w:val="20"/>
                <w:szCs w:val="20"/>
                <w:color w:val="auto"/>
              </w:rPr>
            </w:pPr>
            <w:r>
              <w:rPr>
                <w:rFonts w:ascii="Arial" w:cs="Arial" w:eastAsia="Arial" w:hAnsi="Arial"/>
                <w:sz w:val="18"/>
                <w:szCs w:val="18"/>
                <w:color w:val="auto"/>
              </w:rPr>
              <w:t>7.9%</w:t>
            </w:r>
          </w:p>
        </w:tc>
      </w:tr>
      <w:tr>
        <w:trPr>
          <w:trHeight w:val="20"/>
        </w:trPr>
        <w:tc>
          <w:tcPr>
            <w:tcW w:w="7940" w:type="dxa"/>
            <w:vAlign w:val="bottom"/>
            <w:shd w:val="clear" w:color="auto" w:fill="0067B3"/>
          </w:tcPr>
          <w:p>
            <w:pPr>
              <w:spacing w:after="0" w:line="20" w:lineRule="exact"/>
              <w:rPr>
                <w:sz w:val="1"/>
                <w:szCs w:val="1"/>
                <w:color w:val="auto"/>
              </w:rPr>
            </w:pPr>
          </w:p>
        </w:tc>
        <w:tc>
          <w:tcPr>
            <w:tcW w:w="1820" w:type="dxa"/>
            <w:vAlign w:val="bottom"/>
            <w:shd w:val="clear" w:color="auto" w:fill="0067B3"/>
          </w:tcPr>
          <w:p>
            <w:pPr>
              <w:spacing w:after="0" w:line="20" w:lineRule="exact"/>
              <w:rPr>
                <w:sz w:val="1"/>
                <w:szCs w:val="1"/>
                <w:color w:val="auto"/>
              </w:rPr>
            </w:pPr>
          </w:p>
        </w:tc>
        <w:tc>
          <w:tcPr>
            <w:tcW w:w="1480" w:type="dxa"/>
            <w:vAlign w:val="bottom"/>
            <w:shd w:val="clear" w:color="auto" w:fill="0067B3"/>
          </w:tcPr>
          <w:p>
            <w:pPr>
              <w:spacing w:after="0" w:line="20" w:lineRule="exact"/>
              <w:rPr>
                <w:sz w:val="1"/>
                <w:szCs w:val="1"/>
                <w:color w:val="auto"/>
              </w:rPr>
            </w:pPr>
          </w:p>
        </w:tc>
      </w:tr>
    </w:tbl>
    <w:p>
      <w:pPr>
        <w:spacing w:after="0" w:line="175" w:lineRule="exact"/>
        <w:rPr>
          <w:sz w:val="20"/>
          <w:szCs w:val="20"/>
          <w:color w:val="auto"/>
        </w:rPr>
      </w:pPr>
    </w:p>
    <w:p>
      <w:pPr>
        <w:ind w:left="200" w:right="640" w:hanging="192"/>
        <w:spacing w:after="0" w:line="235" w:lineRule="auto"/>
        <w:tabs>
          <w:tab w:leader="none" w:pos="215" w:val="left"/>
        </w:tabs>
        <w:numPr>
          <w:ilvl w:val="0"/>
          <w:numId w:val="137"/>
        </w:numPr>
        <w:rPr>
          <w:rFonts w:ascii="Arial" w:cs="Arial" w:eastAsia="Arial" w:hAnsi="Arial"/>
          <w:sz w:val="21"/>
          <w:szCs w:val="21"/>
          <w:color w:val="auto"/>
          <w:vertAlign w:val="superscript"/>
        </w:rPr>
      </w:pPr>
      <w:r>
        <w:rPr>
          <w:rFonts w:ascii="Arial" w:cs="Arial" w:eastAsia="Arial" w:hAnsi="Arial"/>
          <w:sz w:val="16"/>
          <w:szCs w:val="16"/>
          <w:color w:val="auto"/>
        </w:rPr>
        <w:t>The percent ownership for each shareholder on January 8, 2026 is calculated by dividing (1) the total number of shares beneficially owned by the shareholder by (2) the number of shares of our common stock outstanding on January 8, 2026 (488,628,595 shares).</w:t>
      </w:r>
    </w:p>
    <w:p>
      <w:pPr>
        <w:spacing w:after="0" w:line="42" w:lineRule="exact"/>
        <w:rPr>
          <w:rFonts w:ascii="Arial" w:cs="Arial" w:eastAsia="Arial" w:hAnsi="Arial"/>
          <w:sz w:val="21"/>
          <w:szCs w:val="21"/>
          <w:color w:val="auto"/>
          <w:vertAlign w:val="superscript"/>
        </w:rPr>
      </w:pPr>
    </w:p>
    <w:p>
      <w:pPr>
        <w:ind w:left="200" w:right="60" w:hanging="192"/>
        <w:spacing w:after="0" w:line="238" w:lineRule="auto"/>
        <w:tabs>
          <w:tab w:leader="none" w:pos="215" w:val="left"/>
        </w:tabs>
        <w:numPr>
          <w:ilvl w:val="0"/>
          <w:numId w:val="137"/>
        </w:numPr>
        <w:rPr>
          <w:rFonts w:ascii="Arial" w:cs="Arial" w:eastAsia="Arial" w:hAnsi="Arial"/>
          <w:sz w:val="21"/>
          <w:szCs w:val="21"/>
          <w:color w:val="auto"/>
          <w:vertAlign w:val="superscript"/>
        </w:rPr>
      </w:pPr>
      <w:r>
        <w:rPr>
          <w:rFonts w:ascii="Arial" w:cs="Arial" w:eastAsia="Arial" w:hAnsi="Arial"/>
          <w:sz w:val="16"/>
          <w:szCs w:val="16"/>
          <w:color w:val="auto"/>
        </w:rPr>
        <w:t>Based solely on an Amendment No. 11 to Schedule 13G filed by The Vanguard Group, Inc. on March 6, 2025 reporting stock ownership as of February 28, 2025. The Vanguard Group, Inc. also reported that, as of February 28, 2025, it had sole dispositive power for 47,422,355 shares, shared voting power for 578,746 shares and shared dispositive power with respect to 2,196,321 shares.</w:t>
      </w:r>
    </w:p>
    <w:p>
      <w:pPr>
        <w:spacing w:after="0" w:line="57" w:lineRule="exact"/>
        <w:rPr>
          <w:rFonts w:ascii="Arial" w:cs="Arial" w:eastAsia="Arial" w:hAnsi="Arial"/>
          <w:sz w:val="21"/>
          <w:szCs w:val="21"/>
          <w:color w:val="auto"/>
          <w:vertAlign w:val="superscript"/>
        </w:rPr>
      </w:pPr>
    </w:p>
    <w:p>
      <w:pPr>
        <w:ind w:left="200" w:right="40" w:hanging="192"/>
        <w:spacing w:after="0" w:line="238" w:lineRule="auto"/>
        <w:tabs>
          <w:tab w:leader="none" w:pos="215" w:val="left"/>
        </w:tabs>
        <w:numPr>
          <w:ilvl w:val="0"/>
          <w:numId w:val="137"/>
        </w:numPr>
        <w:rPr>
          <w:rFonts w:ascii="Arial" w:cs="Arial" w:eastAsia="Arial" w:hAnsi="Arial"/>
          <w:sz w:val="21"/>
          <w:szCs w:val="21"/>
          <w:color w:val="auto"/>
          <w:vertAlign w:val="superscript"/>
        </w:rPr>
      </w:pPr>
      <w:r>
        <w:rPr>
          <w:rFonts w:ascii="Arial" w:cs="Arial" w:eastAsia="Arial" w:hAnsi="Arial"/>
          <w:sz w:val="16"/>
          <w:szCs w:val="16"/>
          <w:color w:val="auto"/>
        </w:rPr>
        <w:t>Based solely on an Amendment No. 11 to Schedule 13G filed by BlackRock, Inc. on January 26, 2024 reporting stock ownership as of December 31, 2023. BlackRock, Inc. also reported that, as of December 31, 2023, it had sole voting power with respect to 35,303,358 shares and sole dispositive power for 38,733,607 shares.</w:t>
      </w:r>
    </w:p>
    <w:p>
      <w:pPr>
        <w:spacing w:after="0" w:line="200" w:lineRule="exact"/>
        <w:rPr>
          <w:sz w:val="20"/>
          <w:szCs w:val="20"/>
          <w:color w:val="auto"/>
        </w:rPr>
      </w:pP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78"/>
        </w:trPr>
        <w:tc>
          <w:tcPr>
            <w:tcW w:w="10800" w:type="dxa"/>
            <w:vAlign w:val="bottom"/>
          </w:tcPr>
          <w:p>
            <w:pPr>
              <w:ind w:left="8980"/>
              <w:spacing w:after="0"/>
              <w:rPr>
                <w:sz w:val="20"/>
                <w:szCs w:val="20"/>
                <w:color w:val="auto"/>
              </w:rPr>
            </w:pPr>
            <w:r>
              <w:rPr>
                <w:rFonts w:ascii="Arial" w:cs="Arial" w:eastAsia="Arial" w:hAnsi="Arial"/>
                <w:sz w:val="16"/>
                <w:szCs w:val="16"/>
                <w:color w:val="0067B3"/>
              </w:rPr>
              <w:t>2026 Proxy Statement</w:t>
            </w:r>
          </w:p>
        </w:tc>
        <w:tc>
          <w:tcPr>
            <w:tcW w:w="440" w:type="dxa"/>
            <w:vAlign w:val="bottom"/>
          </w:tcPr>
          <w:p>
            <w:pPr>
              <w:jc w:val="right"/>
              <w:spacing w:after="0"/>
              <w:rPr>
                <w:sz w:val="20"/>
                <w:szCs w:val="20"/>
                <w:color w:val="auto"/>
              </w:rPr>
            </w:pPr>
            <w:r>
              <w:rPr>
                <w:rFonts w:ascii="Arial" w:cs="Arial" w:eastAsia="Arial" w:hAnsi="Arial"/>
                <w:sz w:val="20"/>
                <w:szCs w:val="20"/>
                <w:b w:val="1"/>
                <w:bCs w:val="1"/>
                <w:color w:val="auto"/>
              </w:rPr>
              <w:t>75</w:t>
            </w:r>
          </w:p>
        </w:tc>
      </w:tr>
      <w:tr>
        <w:trPr>
          <w:trHeight w:val="333"/>
        </w:trPr>
        <w:tc>
          <w:tcPr>
            <w:tcW w:w="1080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26" w:right="339" w:bottom="1440" w:gutter="0" w:footer="0" w:header="0"/>
        </w:sectPr>
      </w:pPr>
    </w:p>
    <w:bookmarkStart w:id="83" w:name="page84"/>
    <w:bookmarkEnd w:id="83"/>
    <w:p>
      <w:pPr>
        <w:spacing w:after="0"/>
        <w:rPr>
          <w:sz w:val="20"/>
          <w:szCs w:val="20"/>
          <w:color w:val="auto"/>
        </w:rPr>
      </w:pPr>
      <w:r>
        <w:rPr>
          <w:rFonts w:ascii="Arial" w:cs="Arial" w:eastAsia="Arial" w:hAnsi="Arial"/>
          <w:sz w:val="41"/>
          <w:szCs w:val="41"/>
          <w:b w:val="1"/>
          <w:bCs w:val="1"/>
          <w:color w:val="0067B3"/>
        </w:rPr>
        <w:t>Security Ownership of Directors and Executive Officers</w:t>
      </w:r>
    </w:p>
    <w:p>
      <w:pPr>
        <w:spacing w:after="0" w:line="169" w:lineRule="exact"/>
        <w:rPr>
          <w:sz w:val="20"/>
          <w:szCs w:val="20"/>
          <w:color w:val="auto"/>
        </w:rPr>
      </w:pPr>
    </w:p>
    <w:p>
      <w:pPr>
        <w:ind w:right="140"/>
        <w:spacing w:after="0" w:line="268" w:lineRule="auto"/>
        <w:rPr>
          <w:sz w:val="20"/>
          <w:szCs w:val="20"/>
          <w:color w:val="auto"/>
        </w:rPr>
      </w:pPr>
      <w:r>
        <w:rPr>
          <w:rFonts w:ascii="Arial" w:cs="Arial" w:eastAsia="Arial" w:hAnsi="Arial"/>
          <w:sz w:val="18"/>
          <w:szCs w:val="18"/>
          <w:color w:val="auto"/>
        </w:rPr>
        <w:t>The following table lists information as of January 8, 2026, about the beneficial ownership of common stock by each director or director nominee, by each executive officer named in the Summary Compensation Table included in this Proxy Statement, and by all of the directors and executive officers of ADI as a group. In the below table, fractional shares have been rounded up to the nearest whole share.</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5940" w:type="dxa"/>
            <w:vAlign w:val="bottom"/>
            <w:shd w:val="clear" w:color="auto" w:fill="0067B3"/>
          </w:tcPr>
          <w:p>
            <w:pPr>
              <w:spacing w:after="0"/>
              <w:rPr>
                <w:sz w:val="17"/>
                <w:szCs w:val="17"/>
                <w:color w:val="auto"/>
              </w:rPr>
            </w:pPr>
          </w:p>
        </w:tc>
        <w:tc>
          <w:tcPr>
            <w:tcW w:w="2060" w:type="dxa"/>
            <w:vAlign w:val="bottom"/>
            <w:shd w:val="clear" w:color="auto" w:fill="0067B3"/>
          </w:tcPr>
          <w:p>
            <w:pPr>
              <w:spacing w:after="0"/>
              <w:rPr>
                <w:sz w:val="17"/>
                <w:szCs w:val="17"/>
                <w:color w:val="auto"/>
              </w:rPr>
            </w:pPr>
          </w:p>
        </w:tc>
        <w:tc>
          <w:tcPr>
            <w:tcW w:w="980" w:type="dxa"/>
            <w:vAlign w:val="bottom"/>
            <w:shd w:val="clear" w:color="auto" w:fill="0067B3"/>
          </w:tcPr>
          <w:p>
            <w:pPr>
              <w:jc w:val="right"/>
              <w:spacing w:after="0"/>
              <w:rPr>
                <w:sz w:val="20"/>
                <w:szCs w:val="20"/>
                <w:color w:val="auto"/>
              </w:rPr>
            </w:pPr>
            <w:r>
              <w:rPr>
                <w:rFonts w:ascii="Arial" w:cs="Arial" w:eastAsia="Arial" w:hAnsi="Arial"/>
                <w:sz w:val="16"/>
                <w:szCs w:val="16"/>
                <w:b w:val="1"/>
                <w:bCs w:val="1"/>
                <w:color w:val="FFFFFF"/>
              </w:rPr>
              <w:t>Shares</w:t>
            </w:r>
          </w:p>
        </w:tc>
        <w:tc>
          <w:tcPr>
            <w:tcW w:w="1000" w:type="dxa"/>
            <w:vAlign w:val="bottom"/>
            <w:shd w:val="clear" w:color="auto" w:fill="0067B3"/>
          </w:tcPr>
          <w:p>
            <w:pPr>
              <w:spacing w:after="0"/>
              <w:rPr>
                <w:sz w:val="17"/>
                <w:szCs w:val="17"/>
                <w:color w:val="auto"/>
              </w:rPr>
            </w:pPr>
          </w:p>
        </w:tc>
        <w:tc>
          <w:tcPr>
            <w:tcW w:w="1260" w:type="dxa"/>
            <w:vAlign w:val="bottom"/>
            <w:shd w:val="clear" w:color="auto" w:fill="0067B3"/>
          </w:tcPr>
          <w:p>
            <w:pPr>
              <w:jc w:val="right"/>
              <w:spacing w:after="0"/>
              <w:rPr>
                <w:sz w:val="20"/>
                <w:szCs w:val="20"/>
                <w:color w:val="auto"/>
              </w:rPr>
            </w:pPr>
            <w:r>
              <w:rPr>
                <w:rFonts w:ascii="Arial" w:cs="Arial" w:eastAsia="Arial" w:hAnsi="Arial"/>
                <w:sz w:val="16"/>
                <w:szCs w:val="16"/>
                <w:b w:val="1"/>
                <w:bCs w:val="1"/>
                <w:color w:val="FFFFFF"/>
              </w:rPr>
              <w:t>Percent of</w:t>
            </w:r>
          </w:p>
        </w:tc>
      </w:tr>
      <w:tr>
        <w:trPr>
          <w:trHeight w:val="203"/>
        </w:trPr>
        <w:tc>
          <w:tcPr>
            <w:tcW w:w="5940" w:type="dxa"/>
            <w:vAlign w:val="bottom"/>
            <w:shd w:val="clear" w:color="auto" w:fill="0067B3"/>
          </w:tcPr>
          <w:p>
            <w:pPr>
              <w:spacing w:after="0"/>
              <w:rPr>
                <w:sz w:val="17"/>
                <w:szCs w:val="17"/>
                <w:color w:val="auto"/>
              </w:rPr>
            </w:pPr>
          </w:p>
        </w:tc>
        <w:tc>
          <w:tcPr>
            <w:tcW w:w="2060" w:type="dxa"/>
            <w:vAlign w:val="bottom"/>
            <w:shd w:val="clear" w:color="auto" w:fill="0067B3"/>
          </w:tcPr>
          <w:p>
            <w:pPr>
              <w:jc w:val="right"/>
              <w:spacing w:after="0"/>
              <w:rPr>
                <w:sz w:val="20"/>
                <w:szCs w:val="20"/>
                <w:color w:val="auto"/>
              </w:rPr>
            </w:pPr>
            <w:r>
              <w:rPr>
                <w:rFonts w:ascii="Arial" w:cs="Arial" w:eastAsia="Arial" w:hAnsi="Arial"/>
                <w:sz w:val="16"/>
                <w:szCs w:val="16"/>
                <w:b w:val="1"/>
                <w:bCs w:val="1"/>
                <w:color w:val="FFFFFF"/>
              </w:rPr>
              <w:t>Shares</w:t>
            </w:r>
          </w:p>
        </w:tc>
        <w:tc>
          <w:tcPr>
            <w:tcW w:w="980" w:type="dxa"/>
            <w:vAlign w:val="bottom"/>
            <w:shd w:val="clear" w:color="auto" w:fill="0067B3"/>
          </w:tcPr>
          <w:p>
            <w:pPr>
              <w:jc w:val="right"/>
              <w:spacing w:after="0"/>
              <w:rPr>
                <w:sz w:val="20"/>
                <w:szCs w:val="20"/>
                <w:color w:val="auto"/>
              </w:rPr>
            </w:pPr>
            <w:r>
              <w:rPr>
                <w:rFonts w:ascii="Arial" w:cs="Arial" w:eastAsia="Arial" w:hAnsi="Arial"/>
                <w:sz w:val="16"/>
                <w:szCs w:val="16"/>
                <w:b w:val="1"/>
                <w:bCs w:val="1"/>
                <w:color w:val="FFFFFF"/>
              </w:rPr>
              <w:t>Acquirable</w:t>
            </w:r>
          </w:p>
        </w:tc>
        <w:tc>
          <w:tcPr>
            <w:tcW w:w="1000" w:type="dxa"/>
            <w:vAlign w:val="bottom"/>
            <w:shd w:val="clear" w:color="auto" w:fill="0067B3"/>
          </w:tcPr>
          <w:p>
            <w:pPr>
              <w:jc w:val="right"/>
              <w:spacing w:after="0"/>
              <w:rPr>
                <w:sz w:val="20"/>
                <w:szCs w:val="20"/>
                <w:color w:val="auto"/>
              </w:rPr>
            </w:pPr>
            <w:r>
              <w:rPr>
                <w:rFonts w:ascii="Arial" w:cs="Arial" w:eastAsia="Arial" w:hAnsi="Arial"/>
                <w:sz w:val="16"/>
                <w:szCs w:val="16"/>
                <w:b w:val="1"/>
                <w:bCs w:val="1"/>
                <w:color w:val="FFFFFF"/>
              </w:rPr>
              <w:t>Total</w:t>
            </w:r>
          </w:p>
        </w:tc>
        <w:tc>
          <w:tcPr>
            <w:tcW w:w="1260" w:type="dxa"/>
            <w:vAlign w:val="bottom"/>
            <w:shd w:val="clear" w:color="auto" w:fill="0067B3"/>
          </w:tcPr>
          <w:p>
            <w:pPr>
              <w:jc w:val="right"/>
              <w:spacing w:after="0"/>
              <w:rPr>
                <w:sz w:val="20"/>
                <w:szCs w:val="20"/>
                <w:color w:val="auto"/>
              </w:rPr>
            </w:pPr>
            <w:r>
              <w:rPr>
                <w:rFonts w:ascii="Arial" w:cs="Arial" w:eastAsia="Arial" w:hAnsi="Arial"/>
                <w:sz w:val="16"/>
                <w:szCs w:val="16"/>
                <w:b w:val="1"/>
                <w:bCs w:val="1"/>
                <w:color w:val="FFFFFF"/>
              </w:rPr>
              <w:t>Common Stock</w:t>
            </w:r>
          </w:p>
        </w:tc>
      </w:tr>
      <w:tr>
        <w:trPr>
          <w:trHeight w:val="189"/>
        </w:trPr>
        <w:tc>
          <w:tcPr>
            <w:tcW w:w="5940" w:type="dxa"/>
            <w:vAlign w:val="bottom"/>
            <w:shd w:val="clear" w:color="auto" w:fill="0067B3"/>
          </w:tcPr>
          <w:p>
            <w:pPr>
              <w:spacing w:after="0"/>
              <w:rPr>
                <w:sz w:val="16"/>
                <w:szCs w:val="16"/>
                <w:color w:val="auto"/>
              </w:rPr>
            </w:pPr>
          </w:p>
        </w:tc>
        <w:tc>
          <w:tcPr>
            <w:tcW w:w="2060" w:type="dxa"/>
            <w:vAlign w:val="bottom"/>
            <w:shd w:val="clear" w:color="auto" w:fill="0067B3"/>
          </w:tcPr>
          <w:p>
            <w:pPr>
              <w:jc w:val="right"/>
              <w:spacing w:after="0"/>
              <w:rPr>
                <w:sz w:val="20"/>
                <w:szCs w:val="20"/>
                <w:color w:val="auto"/>
              </w:rPr>
            </w:pPr>
            <w:r>
              <w:rPr>
                <w:rFonts w:ascii="Arial" w:cs="Arial" w:eastAsia="Arial" w:hAnsi="Arial"/>
                <w:sz w:val="16"/>
                <w:szCs w:val="16"/>
                <w:b w:val="1"/>
                <w:bCs w:val="1"/>
                <w:color w:val="FFFFFF"/>
              </w:rPr>
              <w:t>Beneficially</w:t>
            </w:r>
          </w:p>
        </w:tc>
        <w:tc>
          <w:tcPr>
            <w:tcW w:w="980" w:type="dxa"/>
            <w:vAlign w:val="bottom"/>
            <w:shd w:val="clear" w:color="auto" w:fill="0067B3"/>
          </w:tcPr>
          <w:p>
            <w:pPr>
              <w:jc w:val="right"/>
              <w:spacing w:after="0"/>
              <w:rPr>
                <w:sz w:val="20"/>
                <w:szCs w:val="20"/>
                <w:color w:val="auto"/>
              </w:rPr>
            </w:pPr>
            <w:r>
              <w:rPr>
                <w:rFonts w:ascii="Arial" w:cs="Arial" w:eastAsia="Arial" w:hAnsi="Arial"/>
                <w:sz w:val="16"/>
                <w:szCs w:val="16"/>
                <w:b w:val="1"/>
                <w:bCs w:val="1"/>
                <w:color w:val="FFFFFF"/>
              </w:rPr>
              <w:t>Within</w:t>
            </w:r>
          </w:p>
        </w:tc>
        <w:tc>
          <w:tcPr>
            <w:tcW w:w="1000" w:type="dxa"/>
            <w:vAlign w:val="bottom"/>
            <w:shd w:val="clear" w:color="auto" w:fill="0067B3"/>
          </w:tcPr>
          <w:p>
            <w:pPr>
              <w:jc w:val="right"/>
              <w:spacing w:after="0"/>
              <w:rPr>
                <w:sz w:val="20"/>
                <w:szCs w:val="20"/>
                <w:color w:val="auto"/>
              </w:rPr>
            </w:pPr>
            <w:r>
              <w:rPr>
                <w:rFonts w:ascii="Arial" w:cs="Arial" w:eastAsia="Arial" w:hAnsi="Arial"/>
                <w:sz w:val="16"/>
                <w:szCs w:val="16"/>
                <w:b w:val="1"/>
                <w:bCs w:val="1"/>
                <w:color w:val="FFFFFF"/>
              </w:rPr>
              <w:t>Beneficial</w:t>
            </w:r>
          </w:p>
        </w:tc>
        <w:tc>
          <w:tcPr>
            <w:tcW w:w="1260" w:type="dxa"/>
            <w:vAlign w:val="bottom"/>
            <w:shd w:val="clear" w:color="auto" w:fill="0067B3"/>
          </w:tcPr>
          <w:p>
            <w:pPr>
              <w:jc w:val="right"/>
              <w:spacing w:after="0"/>
              <w:rPr>
                <w:sz w:val="20"/>
                <w:szCs w:val="20"/>
                <w:color w:val="auto"/>
              </w:rPr>
            </w:pPr>
            <w:r>
              <w:rPr>
                <w:rFonts w:ascii="Arial" w:cs="Arial" w:eastAsia="Arial" w:hAnsi="Arial"/>
                <w:sz w:val="16"/>
                <w:szCs w:val="16"/>
                <w:b w:val="1"/>
                <w:bCs w:val="1"/>
                <w:color w:val="FFFFFF"/>
              </w:rPr>
              <w:t>Beneficially</w:t>
            </w:r>
          </w:p>
        </w:tc>
      </w:tr>
      <w:tr>
        <w:trPr>
          <w:trHeight w:val="244"/>
        </w:trPr>
        <w:tc>
          <w:tcPr>
            <w:tcW w:w="5940" w:type="dxa"/>
            <w:vAlign w:val="bottom"/>
            <w:shd w:val="clear" w:color="auto" w:fill="0067B3"/>
          </w:tcPr>
          <w:p>
            <w:pPr>
              <w:ind w:left="20"/>
              <w:spacing w:after="0"/>
              <w:rPr>
                <w:sz w:val="20"/>
                <w:szCs w:val="20"/>
                <w:color w:val="auto"/>
              </w:rPr>
            </w:pPr>
            <w:r>
              <w:rPr>
                <w:rFonts w:ascii="Arial" w:cs="Arial" w:eastAsia="Arial" w:hAnsi="Arial"/>
                <w:sz w:val="16"/>
                <w:szCs w:val="16"/>
                <w:b w:val="1"/>
                <w:bCs w:val="1"/>
                <w:color w:val="FFFFFF"/>
              </w:rPr>
              <w:t>Name and Address of Beneficial Owner</w:t>
            </w:r>
            <w:r>
              <w:rPr>
                <w:rFonts w:ascii="Arial" w:cs="Arial" w:eastAsia="Arial" w:hAnsi="Arial"/>
                <w:sz w:val="21"/>
                <w:szCs w:val="21"/>
                <w:b w:val="1"/>
                <w:bCs w:val="1"/>
                <w:color w:val="FFFFFF"/>
                <w:vertAlign w:val="superscript"/>
              </w:rPr>
              <w:t>(1)</w:t>
            </w:r>
          </w:p>
        </w:tc>
        <w:tc>
          <w:tcPr>
            <w:tcW w:w="2060" w:type="dxa"/>
            <w:vAlign w:val="bottom"/>
            <w:shd w:val="clear" w:color="auto" w:fill="0067B3"/>
          </w:tcPr>
          <w:p>
            <w:pPr>
              <w:jc w:val="right"/>
              <w:spacing w:after="0"/>
              <w:rPr>
                <w:sz w:val="20"/>
                <w:szCs w:val="20"/>
                <w:color w:val="auto"/>
              </w:rPr>
            </w:pPr>
            <w:r>
              <w:rPr>
                <w:rFonts w:ascii="Arial" w:cs="Arial" w:eastAsia="Arial" w:hAnsi="Arial"/>
                <w:sz w:val="16"/>
                <w:szCs w:val="16"/>
                <w:b w:val="1"/>
                <w:bCs w:val="1"/>
                <w:color w:val="FFFFFF"/>
              </w:rPr>
              <w:t>Owned</w:t>
            </w:r>
            <w:r>
              <w:rPr>
                <w:rFonts w:ascii="Arial" w:cs="Arial" w:eastAsia="Arial" w:hAnsi="Arial"/>
                <w:sz w:val="21"/>
                <w:szCs w:val="21"/>
                <w:b w:val="1"/>
                <w:bCs w:val="1"/>
                <w:color w:val="FFFFFF"/>
                <w:vertAlign w:val="superscript"/>
              </w:rPr>
              <w:t>(2)</w:t>
            </w:r>
          </w:p>
        </w:tc>
        <w:tc>
          <w:tcPr>
            <w:tcW w:w="980" w:type="dxa"/>
            <w:vAlign w:val="bottom"/>
            <w:shd w:val="clear" w:color="auto" w:fill="0067B3"/>
          </w:tcPr>
          <w:p>
            <w:pPr>
              <w:jc w:val="right"/>
              <w:spacing w:after="0"/>
              <w:rPr>
                <w:sz w:val="20"/>
                <w:szCs w:val="20"/>
                <w:color w:val="auto"/>
              </w:rPr>
            </w:pPr>
            <w:r>
              <w:rPr>
                <w:rFonts w:ascii="Arial" w:cs="Arial" w:eastAsia="Arial" w:hAnsi="Arial"/>
                <w:sz w:val="16"/>
                <w:szCs w:val="16"/>
                <w:b w:val="1"/>
                <w:bCs w:val="1"/>
                <w:color w:val="FFFFFF"/>
              </w:rPr>
              <w:t>60 Days</w:t>
            </w:r>
            <w:r>
              <w:rPr>
                <w:rFonts w:ascii="Arial" w:cs="Arial" w:eastAsia="Arial" w:hAnsi="Arial"/>
                <w:sz w:val="21"/>
                <w:szCs w:val="21"/>
                <w:b w:val="1"/>
                <w:bCs w:val="1"/>
                <w:color w:val="FFFFFF"/>
                <w:vertAlign w:val="superscript"/>
              </w:rPr>
              <w:t>(3)</w:t>
            </w:r>
          </w:p>
        </w:tc>
        <w:tc>
          <w:tcPr>
            <w:tcW w:w="1000" w:type="dxa"/>
            <w:vAlign w:val="bottom"/>
            <w:shd w:val="clear" w:color="auto" w:fill="0067B3"/>
          </w:tcPr>
          <w:p>
            <w:pPr>
              <w:jc w:val="right"/>
              <w:spacing w:after="0"/>
              <w:rPr>
                <w:sz w:val="20"/>
                <w:szCs w:val="20"/>
                <w:color w:val="auto"/>
              </w:rPr>
            </w:pPr>
            <w:r>
              <w:rPr>
                <w:rFonts w:ascii="Arial" w:cs="Arial" w:eastAsia="Arial" w:hAnsi="Arial"/>
                <w:sz w:val="16"/>
                <w:szCs w:val="16"/>
                <w:b w:val="1"/>
                <w:bCs w:val="1"/>
                <w:color w:val="FFFFFF"/>
              </w:rPr>
              <w:t>Ownership</w:t>
            </w:r>
          </w:p>
        </w:tc>
        <w:tc>
          <w:tcPr>
            <w:tcW w:w="1260" w:type="dxa"/>
            <w:vAlign w:val="bottom"/>
            <w:shd w:val="clear" w:color="auto" w:fill="0067B3"/>
          </w:tcPr>
          <w:p>
            <w:pPr>
              <w:jc w:val="right"/>
              <w:spacing w:after="0"/>
              <w:rPr>
                <w:sz w:val="20"/>
                <w:szCs w:val="20"/>
                <w:color w:val="auto"/>
              </w:rPr>
            </w:pPr>
            <w:r>
              <w:rPr>
                <w:rFonts w:ascii="Arial" w:cs="Arial" w:eastAsia="Arial" w:hAnsi="Arial"/>
                <w:sz w:val="16"/>
                <w:szCs w:val="16"/>
                <w:b w:val="1"/>
                <w:bCs w:val="1"/>
                <w:color w:val="FFFFFF"/>
              </w:rPr>
              <w:t>Owned</w:t>
            </w:r>
            <w:r>
              <w:rPr>
                <w:rFonts w:ascii="Arial" w:cs="Arial" w:eastAsia="Arial" w:hAnsi="Arial"/>
                <w:sz w:val="21"/>
                <w:szCs w:val="21"/>
                <w:b w:val="1"/>
                <w:bCs w:val="1"/>
                <w:color w:val="FFFFFF"/>
                <w:vertAlign w:val="superscript"/>
              </w:rPr>
              <w:t>(4)</w:t>
            </w:r>
          </w:p>
        </w:tc>
      </w:tr>
      <w:tr>
        <w:trPr>
          <w:trHeight w:val="270"/>
        </w:trPr>
        <w:tc>
          <w:tcPr>
            <w:tcW w:w="5940" w:type="dxa"/>
            <w:vAlign w:val="bottom"/>
            <w:shd w:val="clear" w:color="auto" w:fill="E2E6F4"/>
          </w:tcPr>
          <w:p>
            <w:pPr>
              <w:ind w:left="20"/>
              <w:spacing w:after="0"/>
              <w:rPr>
                <w:sz w:val="20"/>
                <w:szCs w:val="20"/>
                <w:color w:val="auto"/>
              </w:rPr>
            </w:pPr>
            <w:r>
              <w:rPr>
                <w:rFonts w:ascii="Arial" w:cs="Arial" w:eastAsia="Arial" w:hAnsi="Arial"/>
                <w:sz w:val="18"/>
                <w:szCs w:val="18"/>
                <w:b w:val="1"/>
                <w:bCs w:val="1"/>
                <w:color w:val="0067B3"/>
              </w:rPr>
              <w:t>André Andonian</w:t>
            </w:r>
          </w:p>
        </w:tc>
        <w:tc>
          <w:tcPr>
            <w:tcW w:w="2060" w:type="dxa"/>
            <w:vAlign w:val="bottom"/>
            <w:shd w:val="clear" w:color="auto" w:fill="E2E6F4"/>
          </w:tcPr>
          <w:p>
            <w:pPr>
              <w:jc w:val="right"/>
              <w:ind w:right="51"/>
              <w:spacing w:after="0"/>
              <w:rPr>
                <w:sz w:val="20"/>
                <w:szCs w:val="20"/>
                <w:color w:val="auto"/>
              </w:rPr>
            </w:pPr>
            <w:r>
              <w:rPr>
                <w:rFonts w:ascii="Arial" w:cs="Arial" w:eastAsia="Arial" w:hAnsi="Arial"/>
                <w:sz w:val="18"/>
                <w:szCs w:val="18"/>
                <w:color w:val="auto"/>
              </w:rPr>
              <w:t>3,078</w:t>
            </w:r>
          </w:p>
        </w:tc>
        <w:tc>
          <w:tcPr>
            <w:tcW w:w="980" w:type="dxa"/>
            <w:vAlign w:val="bottom"/>
            <w:shd w:val="clear" w:color="auto" w:fill="E2E6F4"/>
          </w:tcPr>
          <w:p>
            <w:pPr>
              <w:jc w:val="right"/>
              <w:ind w:right="32"/>
              <w:spacing w:after="0"/>
              <w:rPr>
                <w:sz w:val="20"/>
                <w:szCs w:val="20"/>
                <w:color w:val="auto"/>
              </w:rPr>
            </w:pPr>
            <w:r>
              <w:rPr>
                <w:rFonts w:ascii="Arial" w:cs="Arial" w:eastAsia="Arial" w:hAnsi="Arial"/>
                <w:sz w:val="18"/>
                <w:szCs w:val="18"/>
                <w:color w:val="auto"/>
              </w:rPr>
              <w:t>—</w:t>
            </w:r>
          </w:p>
        </w:tc>
        <w:tc>
          <w:tcPr>
            <w:tcW w:w="1000" w:type="dxa"/>
            <w:vAlign w:val="bottom"/>
            <w:shd w:val="clear" w:color="auto" w:fill="E2E6F4"/>
          </w:tcPr>
          <w:p>
            <w:pPr>
              <w:jc w:val="right"/>
              <w:ind w:right="31"/>
              <w:spacing w:after="0"/>
              <w:rPr>
                <w:sz w:val="20"/>
                <w:szCs w:val="20"/>
                <w:color w:val="auto"/>
              </w:rPr>
            </w:pPr>
            <w:r>
              <w:rPr>
                <w:rFonts w:ascii="Arial" w:cs="Arial" w:eastAsia="Arial" w:hAnsi="Arial"/>
                <w:sz w:val="18"/>
                <w:szCs w:val="18"/>
                <w:color w:val="auto"/>
              </w:rPr>
              <w:t>3,078</w:t>
            </w:r>
          </w:p>
        </w:tc>
        <w:tc>
          <w:tcPr>
            <w:tcW w:w="1260" w:type="dxa"/>
            <w:vAlign w:val="bottom"/>
            <w:shd w:val="clear" w:color="auto" w:fill="E2E6F4"/>
          </w:tcPr>
          <w:p>
            <w:pPr>
              <w:jc w:val="right"/>
              <w:spacing w:after="0"/>
              <w:rPr>
                <w:sz w:val="20"/>
                <w:szCs w:val="20"/>
                <w:color w:val="auto"/>
              </w:rPr>
            </w:pPr>
            <w:r>
              <w:rPr>
                <w:rFonts w:ascii="Arial" w:cs="Arial" w:eastAsia="Arial" w:hAnsi="Arial"/>
                <w:sz w:val="18"/>
                <w:szCs w:val="18"/>
                <w:color w:val="auto"/>
              </w:rPr>
              <w:t>*</w:t>
            </w:r>
          </w:p>
        </w:tc>
      </w:tr>
      <w:tr>
        <w:trPr>
          <w:trHeight w:val="262"/>
        </w:trPr>
        <w:tc>
          <w:tcPr>
            <w:tcW w:w="5940" w:type="dxa"/>
            <w:vAlign w:val="bottom"/>
          </w:tcPr>
          <w:p>
            <w:pPr>
              <w:ind w:left="20"/>
              <w:spacing w:after="0"/>
              <w:rPr>
                <w:sz w:val="20"/>
                <w:szCs w:val="20"/>
                <w:color w:val="auto"/>
              </w:rPr>
            </w:pPr>
            <w:r>
              <w:rPr>
                <w:rFonts w:ascii="Arial" w:cs="Arial" w:eastAsia="Arial" w:hAnsi="Arial"/>
                <w:sz w:val="18"/>
                <w:szCs w:val="18"/>
                <w:b w:val="1"/>
                <w:bCs w:val="1"/>
                <w:color w:val="0067B3"/>
              </w:rPr>
              <w:t>Martin Cotter</w:t>
            </w:r>
          </w:p>
        </w:tc>
        <w:tc>
          <w:tcPr>
            <w:tcW w:w="2060" w:type="dxa"/>
            <w:vAlign w:val="bottom"/>
          </w:tcPr>
          <w:p>
            <w:pPr>
              <w:jc w:val="right"/>
              <w:ind w:right="51"/>
              <w:spacing w:after="0"/>
              <w:rPr>
                <w:sz w:val="20"/>
                <w:szCs w:val="20"/>
                <w:color w:val="auto"/>
              </w:rPr>
            </w:pPr>
            <w:r>
              <w:rPr>
                <w:rFonts w:ascii="Arial" w:cs="Arial" w:eastAsia="Arial" w:hAnsi="Arial"/>
                <w:sz w:val="18"/>
                <w:szCs w:val="18"/>
                <w:color w:val="auto"/>
              </w:rPr>
              <w:t>29,786</w:t>
            </w:r>
          </w:p>
        </w:tc>
        <w:tc>
          <w:tcPr>
            <w:tcW w:w="980" w:type="dxa"/>
            <w:vAlign w:val="bottom"/>
          </w:tcPr>
          <w:p>
            <w:pPr>
              <w:jc w:val="right"/>
              <w:ind w:right="32"/>
              <w:spacing w:after="0"/>
              <w:rPr>
                <w:sz w:val="20"/>
                <w:szCs w:val="20"/>
                <w:color w:val="auto"/>
              </w:rPr>
            </w:pPr>
            <w:r>
              <w:rPr>
                <w:rFonts w:ascii="Arial" w:cs="Arial" w:eastAsia="Arial" w:hAnsi="Arial"/>
                <w:sz w:val="18"/>
                <w:szCs w:val="18"/>
                <w:color w:val="auto"/>
              </w:rPr>
              <w:t>94,212</w:t>
            </w:r>
          </w:p>
        </w:tc>
        <w:tc>
          <w:tcPr>
            <w:tcW w:w="1000" w:type="dxa"/>
            <w:vAlign w:val="bottom"/>
          </w:tcPr>
          <w:p>
            <w:pPr>
              <w:jc w:val="right"/>
              <w:ind w:right="31"/>
              <w:spacing w:after="0"/>
              <w:rPr>
                <w:sz w:val="20"/>
                <w:szCs w:val="20"/>
                <w:color w:val="auto"/>
              </w:rPr>
            </w:pPr>
            <w:r>
              <w:rPr>
                <w:rFonts w:ascii="Arial" w:cs="Arial" w:eastAsia="Arial" w:hAnsi="Arial"/>
                <w:sz w:val="18"/>
                <w:szCs w:val="18"/>
                <w:color w:val="auto"/>
              </w:rPr>
              <w:t>123,998</w:t>
            </w:r>
          </w:p>
        </w:tc>
        <w:tc>
          <w:tcPr>
            <w:tcW w:w="1260" w:type="dxa"/>
            <w:vAlign w:val="bottom"/>
          </w:tcPr>
          <w:p>
            <w:pPr>
              <w:spacing w:after="0"/>
              <w:rPr>
                <w:sz w:val="22"/>
                <w:szCs w:val="22"/>
                <w:color w:val="auto"/>
              </w:rPr>
            </w:pPr>
          </w:p>
        </w:tc>
      </w:tr>
      <w:tr>
        <w:trPr>
          <w:trHeight w:val="278"/>
        </w:trPr>
        <w:tc>
          <w:tcPr>
            <w:tcW w:w="5940" w:type="dxa"/>
            <w:vAlign w:val="bottom"/>
            <w:shd w:val="clear" w:color="auto" w:fill="E2E6F4"/>
          </w:tcPr>
          <w:p>
            <w:pPr>
              <w:ind w:left="20"/>
              <w:spacing w:after="0"/>
              <w:rPr>
                <w:sz w:val="20"/>
                <w:szCs w:val="20"/>
                <w:color w:val="auto"/>
              </w:rPr>
            </w:pPr>
            <w:r>
              <w:rPr>
                <w:rFonts w:ascii="Arial" w:cs="Arial" w:eastAsia="Arial" w:hAnsi="Arial"/>
                <w:sz w:val="18"/>
                <w:szCs w:val="18"/>
                <w:b w:val="1"/>
                <w:bCs w:val="1"/>
                <w:color w:val="0067B3"/>
              </w:rPr>
              <w:t>Edward H. Frank</w:t>
            </w:r>
            <w:r>
              <w:rPr>
                <w:rFonts w:ascii="Arial" w:cs="Arial" w:eastAsia="Arial" w:hAnsi="Arial"/>
                <w:sz w:val="23"/>
                <w:szCs w:val="23"/>
                <w:b w:val="1"/>
                <w:bCs w:val="1"/>
                <w:color w:val="0067B3"/>
                <w:vertAlign w:val="superscript"/>
              </w:rPr>
              <w:t>(5)</w:t>
            </w:r>
          </w:p>
        </w:tc>
        <w:tc>
          <w:tcPr>
            <w:tcW w:w="2060" w:type="dxa"/>
            <w:vAlign w:val="bottom"/>
            <w:shd w:val="clear" w:color="auto" w:fill="E2E6F4"/>
          </w:tcPr>
          <w:p>
            <w:pPr>
              <w:jc w:val="right"/>
              <w:ind w:right="51"/>
              <w:spacing w:after="0"/>
              <w:rPr>
                <w:sz w:val="20"/>
                <w:szCs w:val="20"/>
                <w:color w:val="auto"/>
              </w:rPr>
            </w:pPr>
            <w:r>
              <w:rPr>
                <w:rFonts w:ascii="Arial" w:cs="Arial" w:eastAsia="Arial" w:hAnsi="Arial"/>
                <w:sz w:val="18"/>
                <w:szCs w:val="18"/>
                <w:color w:val="auto"/>
              </w:rPr>
              <w:t>9,958</w:t>
            </w:r>
          </w:p>
        </w:tc>
        <w:tc>
          <w:tcPr>
            <w:tcW w:w="980" w:type="dxa"/>
            <w:vAlign w:val="bottom"/>
            <w:shd w:val="clear" w:color="auto" w:fill="E2E6F4"/>
          </w:tcPr>
          <w:p>
            <w:pPr>
              <w:jc w:val="right"/>
              <w:ind w:right="32"/>
              <w:spacing w:after="0"/>
              <w:rPr>
                <w:sz w:val="20"/>
                <w:szCs w:val="20"/>
                <w:color w:val="auto"/>
              </w:rPr>
            </w:pPr>
            <w:r>
              <w:rPr>
                <w:rFonts w:ascii="Arial" w:cs="Arial" w:eastAsia="Arial" w:hAnsi="Arial"/>
                <w:sz w:val="18"/>
                <w:szCs w:val="18"/>
                <w:color w:val="auto"/>
              </w:rPr>
              <w:t>—</w:t>
            </w:r>
          </w:p>
        </w:tc>
        <w:tc>
          <w:tcPr>
            <w:tcW w:w="1000" w:type="dxa"/>
            <w:vAlign w:val="bottom"/>
            <w:shd w:val="clear" w:color="auto" w:fill="E2E6F4"/>
          </w:tcPr>
          <w:p>
            <w:pPr>
              <w:jc w:val="right"/>
              <w:ind w:right="31"/>
              <w:spacing w:after="0"/>
              <w:rPr>
                <w:sz w:val="20"/>
                <w:szCs w:val="20"/>
                <w:color w:val="auto"/>
              </w:rPr>
            </w:pPr>
            <w:r>
              <w:rPr>
                <w:rFonts w:ascii="Arial" w:cs="Arial" w:eastAsia="Arial" w:hAnsi="Arial"/>
                <w:sz w:val="18"/>
                <w:szCs w:val="18"/>
                <w:color w:val="auto"/>
              </w:rPr>
              <w:t>9,958</w:t>
            </w:r>
          </w:p>
        </w:tc>
        <w:tc>
          <w:tcPr>
            <w:tcW w:w="1260" w:type="dxa"/>
            <w:vAlign w:val="bottom"/>
            <w:shd w:val="clear" w:color="auto" w:fill="E2E6F4"/>
          </w:tcPr>
          <w:p>
            <w:pPr>
              <w:jc w:val="right"/>
              <w:spacing w:after="0"/>
              <w:rPr>
                <w:sz w:val="20"/>
                <w:szCs w:val="20"/>
                <w:color w:val="auto"/>
              </w:rPr>
            </w:pPr>
            <w:r>
              <w:rPr>
                <w:rFonts w:ascii="Arial" w:cs="Arial" w:eastAsia="Arial" w:hAnsi="Arial"/>
                <w:sz w:val="18"/>
                <w:szCs w:val="18"/>
                <w:color w:val="auto"/>
              </w:rPr>
              <w:t>*</w:t>
            </w:r>
          </w:p>
        </w:tc>
      </w:tr>
      <w:tr>
        <w:trPr>
          <w:trHeight w:val="262"/>
        </w:trPr>
        <w:tc>
          <w:tcPr>
            <w:tcW w:w="5940" w:type="dxa"/>
            <w:vAlign w:val="bottom"/>
          </w:tcPr>
          <w:p>
            <w:pPr>
              <w:ind w:left="20"/>
              <w:spacing w:after="0"/>
              <w:rPr>
                <w:sz w:val="20"/>
                <w:szCs w:val="20"/>
                <w:color w:val="auto"/>
              </w:rPr>
            </w:pPr>
            <w:r>
              <w:rPr>
                <w:rFonts w:ascii="Arial" w:cs="Arial" w:eastAsia="Arial" w:hAnsi="Arial"/>
                <w:sz w:val="18"/>
                <w:szCs w:val="18"/>
                <w:b w:val="1"/>
                <w:bCs w:val="1"/>
                <w:color w:val="0067B3"/>
              </w:rPr>
              <w:t>Karen M. Golz</w:t>
            </w:r>
          </w:p>
        </w:tc>
        <w:tc>
          <w:tcPr>
            <w:tcW w:w="2060" w:type="dxa"/>
            <w:vAlign w:val="bottom"/>
          </w:tcPr>
          <w:p>
            <w:pPr>
              <w:jc w:val="right"/>
              <w:ind w:right="51"/>
              <w:spacing w:after="0"/>
              <w:rPr>
                <w:sz w:val="20"/>
                <w:szCs w:val="20"/>
                <w:color w:val="auto"/>
              </w:rPr>
            </w:pPr>
            <w:r>
              <w:rPr>
                <w:rFonts w:ascii="Arial" w:cs="Arial" w:eastAsia="Arial" w:hAnsi="Arial"/>
                <w:sz w:val="18"/>
                <w:szCs w:val="18"/>
                <w:color w:val="auto"/>
              </w:rPr>
              <w:t>11,112</w:t>
            </w:r>
          </w:p>
        </w:tc>
        <w:tc>
          <w:tcPr>
            <w:tcW w:w="98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31"/>
              <w:spacing w:after="0"/>
              <w:rPr>
                <w:sz w:val="20"/>
                <w:szCs w:val="20"/>
                <w:color w:val="auto"/>
              </w:rPr>
            </w:pPr>
            <w:r>
              <w:rPr>
                <w:rFonts w:ascii="Arial" w:cs="Arial" w:eastAsia="Arial" w:hAnsi="Arial"/>
                <w:sz w:val="18"/>
                <w:szCs w:val="18"/>
                <w:color w:val="auto"/>
              </w:rPr>
              <w:t>11,112</w:t>
            </w:r>
          </w:p>
        </w:tc>
        <w:tc>
          <w:tcPr>
            <w:tcW w:w="12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78"/>
        </w:trPr>
        <w:tc>
          <w:tcPr>
            <w:tcW w:w="5940" w:type="dxa"/>
            <w:vAlign w:val="bottom"/>
            <w:shd w:val="clear" w:color="auto" w:fill="E2E6F4"/>
          </w:tcPr>
          <w:p>
            <w:pPr>
              <w:ind w:left="20"/>
              <w:spacing w:after="0"/>
              <w:rPr>
                <w:sz w:val="20"/>
                <w:szCs w:val="20"/>
                <w:color w:val="auto"/>
              </w:rPr>
            </w:pPr>
            <w:r>
              <w:rPr>
                <w:rFonts w:ascii="Arial" w:cs="Arial" w:eastAsia="Arial" w:hAnsi="Arial"/>
                <w:sz w:val="18"/>
                <w:szCs w:val="18"/>
                <w:b w:val="1"/>
                <w:bCs w:val="1"/>
                <w:color w:val="0067B3"/>
              </w:rPr>
              <w:t>Peter B. Henry</w:t>
            </w:r>
          </w:p>
        </w:tc>
        <w:tc>
          <w:tcPr>
            <w:tcW w:w="2060" w:type="dxa"/>
            <w:vAlign w:val="bottom"/>
            <w:shd w:val="clear" w:color="auto" w:fill="E2E6F4"/>
          </w:tcPr>
          <w:p>
            <w:pPr>
              <w:jc w:val="right"/>
              <w:ind w:right="51"/>
              <w:spacing w:after="0"/>
              <w:rPr>
                <w:sz w:val="20"/>
                <w:szCs w:val="20"/>
                <w:color w:val="auto"/>
              </w:rPr>
            </w:pPr>
            <w:r>
              <w:rPr>
                <w:rFonts w:ascii="Arial" w:cs="Arial" w:eastAsia="Arial" w:hAnsi="Arial"/>
                <w:sz w:val="18"/>
                <w:szCs w:val="18"/>
                <w:color w:val="auto"/>
              </w:rPr>
              <w:t>1,519</w:t>
            </w:r>
          </w:p>
        </w:tc>
        <w:tc>
          <w:tcPr>
            <w:tcW w:w="980" w:type="dxa"/>
            <w:vAlign w:val="bottom"/>
            <w:shd w:val="clear" w:color="auto" w:fill="E2E6F4"/>
          </w:tcPr>
          <w:p>
            <w:pPr>
              <w:jc w:val="right"/>
              <w:ind w:right="32"/>
              <w:spacing w:after="0"/>
              <w:rPr>
                <w:sz w:val="20"/>
                <w:szCs w:val="20"/>
                <w:color w:val="auto"/>
              </w:rPr>
            </w:pPr>
            <w:r>
              <w:rPr>
                <w:rFonts w:ascii="Arial" w:cs="Arial" w:eastAsia="Arial" w:hAnsi="Arial"/>
                <w:sz w:val="18"/>
                <w:szCs w:val="18"/>
                <w:color w:val="auto"/>
              </w:rPr>
              <w:t>—</w:t>
            </w:r>
          </w:p>
        </w:tc>
        <w:tc>
          <w:tcPr>
            <w:tcW w:w="1000" w:type="dxa"/>
            <w:vAlign w:val="bottom"/>
            <w:shd w:val="clear" w:color="auto" w:fill="E2E6F4"/>
          </w:tcPr>
          <w:p>
            <w:pPr>
              <w:jc w:val="right"/>
              <w:ind w:right="31"/>
              <w:spacing w:after="0"/>
              <w:rPr>
                <w:sz w:val="20"/>
                <w:szCs w:val="20"/>
                <w:color w:val="auto"/>
              </w:rPr>
            </w:pPr>
            <w:r>
              <w:rPr>
                <w:rFonts w:ascii="Arial" w:cs="Arial" w:eastAsia="Arial" w:hAnsi="Arial"/>
                <w:sz w:val="18"/>
                <w:szCs w:val="18"/>
                <w:color w:val="auto"/>
              </w:rPr>
              <w:t>1,519</w:t>
            </w:r>
          </w:p>
        </w:tc>
        <w:tc>
          <w:tcPr>
            <w:tcW w:w="1260" w:type="dxa"/>
            <w:vAlign w:val="bottom"/>
            <w:shd w:val="clear" w:color="auto" w:fill="E2E6F4"/>
          </w:tcPr>
          <w:p>
            <w:pPr>
              <w:jc w:val="right"/>
              <w:spacing w:after="0"/>
              <w:rPr>
                <w:sz w:val="20"/>
                <w:szCs w:val="20"/>
                <w:color w:val="auto"/>
              </w:rPr>
            </w:pPr>
            <w:r>
              <w:rPr>
                <w:rFonts w:ascii="Arial" w:cs="Arial" w:eastAsia="Arial" w:hAnsi="Arial"/>
                <w:sz w:val="18"/>
                <w:szCs w:val="18"/>
                <w:color w:val="auto"/>
              </w:rPr>
              <w:t>*</w:t>
            </w:r>
          </w:p>
        </w:tc>
      </w:tr>
      <w:tr>
        <w:trPr>
          <w:trHeight w:val="262"/>
        </w:trPr>
        <w:tc>
          <w:tcPr>
            <w:tcW w:w="5940" w:type="dxa"/>
            <w:vAlign w:val="bottom"/>
          </w:tcPr>
          <w:p>
            <w:pPr>
              <w:ind w:left="20"/>
              <w:spacing w:after="0"/>
              <w:rPr>
                <w:sz w:val="20"/>
                <w:szCs w:val="20"/>
                <w:color w:val="auto"/>
              </w:rPr>
            </w:pPr>
            <w:r>
              <w:rPr>
                <w:rFonts w:ascii="Arial" w:cs="Arial" w:eastAsia="Arial" w:hAnsi="Arial"/>
                <w:sz w:val="18"/>
                <w:szCs w:val="18"/>
                <w:b w:val="1"/>
                <w:bCs w:val="1"/>
                <w:color w:val="0067B3"/>
              </w:rPr>
              <w:t>Vivek Jain</w:t>
            </w:r>
          </w:p>
        </w:tc>
        <w:tc>
          <w:tcPr>
            <w:tcW w:w="2060" w:type="dxa"/>
            <w:vAlign w:val="bottom"/>
          </w:tcPr>
          <w:p>
            <w:pPr>
              <w:jc w:val="right"/>
              <w:ind w:right="51"/>
              <w:spacing w:after="0"/>
              <w:rPr>
                <w:sz w:val="20"/>
                <w:szCs w:val="20"/>
                <w:color w:val="auto"/>
              </w:rPr>
            </w:pPr>
            <w:r>
              <w:rPr>
                <w:rFonts w:ascii="Arial" w:cs="Arial" w:eastAsia="Arial" w:hAnsi="Arial"/>
                <w:sz w:val="18"/>
                <w:szCs w:val="18"/>
                <w:color w:val="auto"/>
              </w:rPr>
              <w:t>12,287</w:t>
            </w:r>
          </w:p>
        </w:tc>
        <w:tc>
          <w:tcPr>
            <w:tcW w:w="98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31"/>
              <w:spacing w:after="0"/>
              <w:rPr>
                <w:sz w:val="20"/>
                <w:szCs w:val="20"/>
                <w:color w:val="auto"/>
              </w:rPr>
            </w:pPr>
            <w:r>
              <w:rPr>
                <w:rFonts w:ascii="Arial" w:cs="Arial" w:eastAsia="Arial" w:hAnsi="Arial"/>
                <w:sz w:val="18"/>
                <w:szCs w:val="18"/>
                <w:color w:val="auto"/>
              </w:rPr>
              <w:t>12,287</w:t>
            </w:r>
          </w:p>
        </w:tc>
        <w:tc>
          <w:tcPr>
            <w:tcW w:w="12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78"/>
        </w:trPr>
        <w:tc>
          <w:tcPr>
            <w:tcW w:w="5940" w:type="dxa"/>
            <w:vAlign w:val="bottom"/>
            <w:shd w:val="clear" w:color="auto" w:fill="E2E6F4"/>
          </w:tcPr>
          <w:p>
            <w:pPr>
              <w:ind w:left="20"/>
              <w:spacing w:after="0"/>
              <w:rPr>
                <w:sz w:val="20"/>
                <w:szCs w:val="20"/>
                <w:color w:val="auto"/>
              </w:rPr>
            </w:pPr>
            <w:r>
              <w:rPr>
                <w:rFonts w:ascii="Arial" w:cs="Arial" w:eastAsia="Arial" w:hAnsi="Arial"/>
                <w:sz w:val="18"/>
                <w:szCs w:val="18"/>
                <w:b w:val="1"/>
                <w:bCs w:val="1"/>
                <w:color w:val="0067B3"/>
              </w:rPr>
              <w:t>Stephen M. Jennings</w:t>
            </w:r>
          </w:p>
        </w:tc>
        <w:tc>
          <w:tcPr>
            <w:tcW w:w="2060" w:type="dxa"/>
            <w:vAlign w:val="bottom"/>
            <w:shd w:val="clear" w:color="auto" w:fill="E2E6F4"/>
          </w:tcPr>
          <w:p>
            <w:pPr>
              <w:jc w:val="right"/>
              <w:ind w:right="51"/>
              <w:spacing w:after="0"/>
              <w:rPr>
                <w:sz w:val="20"/>
                <w:szCs w:val="20"/>
                <w:color w:val="auto"/>
              </w:rPr>
            </w:pPr>
            <w:r>
              <w:rPr>
                <w:rFonts w:ascii="Arial" w:cs="Arial" w:eastAsia="Arial" w:hAnsi="Arial"/>
                <w:sz w:val="18"/>
                <w:szCs w:val="18"/>
                <w:color w:val="auto"/>
              </w:rPr>
              <w:t>2,093</w:t>
            </w:r>
          </w:p>
        </w:tc>
        <w:tc>
          <w:tcPr>
            <w:tcW w:w="980" w:type="dxa"/>
            <w:vAlign w:val="bottom"/>
            <w:shd w:val="clear" w:color="auto" w:fill="E2E6F4"/>
          </w:tcPr>
          <w:p>
            <w:pPr>
              <w:jc w:val="right"/>
              <w:ind w:right="32"/>
              <w:spacing w:after="0"/>
              <w:rPr>
                <w:sz w:val="20"/>
                <w:szCs w:val="20"/>
                <w:color w:val="auto"/>
              </w:rPr>
            </w:pPr>
            <w:r>
              <w:rPr>
                <w:rFonts w:ascii="Arial" w:cs="Arial" w:eastAsia="Arial" w:hAnsi="Arial"/>
                <w:sz w:val="18"/>
                <w:szCs w:val="18"/>
                <w:color w:val="auto"/>
              </w:rPr>
              <w:t>—</w:t>
            </w:r>
          </w:p>
        </w:tc>
        <w:tc>
          <w:tcPr>
            <w:tcW w:w="1000" w:type="dxa"/>
            <w:vAlign w:val="bottom"/>
            <w:shd w:val="clear" w:color="auto" w:fill="E2E6F4"/>
          </w:tcPr>
          <w:p>
            <w:pPr>
              <w:jc w:val="right"/>
              <w:ind w:right="31"/>
              <w:spacing w:after="0"/>
              <w:rPr>
                <w:sz w:val="20"/>
                <w:szCs w:val="20"/>
                <w:color w:val="auto"/>
              </w:rPr>
            </w:pPr>
            <w:r>
              <w:rPr>
                <w:rFonts w:ascii="Arial" w:cs="Arial" w:eastAsia="Arial" w:hAnsi="Arial"/>
                <w:sz w:val="18"/>
                <w:szCs w:val="18"/>
                <w:color w:val="auto"/>
              </w:rPr>
              <w:t>2,093</w:t>
            </w:r>
          </w:p>
        </w:tc>
        <w:tc>
          <w:tcPr>
            <w:tcW w:w="1260" w:type="dxa"/>
            <w:vAlign w:val="bottom"/>
            <w:shd w:val="clear" w:color="auto" w:fill="E2E6F4"/>
          </w:tcPr>
          <w:p>
            <w:pPr>
              <w:jc w:val="right"/>
              <w:spacing w:after="0"/>
              <w:rPr>
                <w:sz w:val="20"/>
                <w:szCs w:val="20"/>
                <w:color w:val="auto"/>
              </w:rPr>
            </w:pPr>
            <w:r>
              <w:rPr>
                <w:rFonts w:ascii="Arial" w:cs="Arial" w:eastAsia="Arial" w:hAnsi="Arial"/>
                <w:sz w:val="18"/>
                <w:szCs w:val="18"/>
                <w:color w:val="auto"/>
              </w:rPr>
              <w:t>*</w:t>
            </w:r>
          </w:p>
        </w:tc>
      </w:tr>
      <w:tr>
        <w:trPr>
          <w:trHeight w:val="262"/>
        </w:trPr>
        <w:tc>
          <w:tcPr>
            <w:tcW w:w="5940" w:type="dxa"/>
            <w:vAlign w:val="bottom"/>
          </w:tcPr>
          <w:p>
            <w:pPr>
              <w:ind w:left="20"/>
              <w:spacing w:after="0"/>
              <w:rPr>
                <w:sz w:val="20"/>
                <w:szCs w:val="20"/>
                <w:color w:val="auto"/>
              </w:rPr>
            </w:pPr>
            <w:r>
              <w:rPr>
                <w:rFonts w:ascii="Arial" w:cs="Arial" w:eastAsia="Arial" w:hAnsi="Arial"/>
                <w:sz w:val="18"/>
                <w:szCs w:val="18"/>
                <w:b w:val="1"/>
                <w:bCs w:val="1"/>
                <w:color w:val="0067B3"/>
              </w:rPr>
              <w:t>Mercedes Johnson</w:t>
            </w:r>
          </w:p>
        </w:tc>
        <w:tc>
          <w:tcPr>
            <w:tcW w:w="2060" w:type="dxa"/>
            <w:vAlign w:val="bottom"/>
          </w:tcPr>
          <w:p>
            <w:pPr>
              <w:jc w:val="right"/>
              <w:ind w:right="51"/>
              <w:spacing w:after="0"/>
              <w:rPr>
                <w:sz w:val="20"/>
                <w:szCs w:val="20"/>
                <w:color w:val="auto"/>
              </w:rPr>
            </w:pPr>
            <w:r>
              <w:rPr>
                <w:rFonts w:ascii="Arial" w:cs="Arial" w:eastAsia="Arial" w:hAnsi="Arial"/>
                <w:sz w:val="18"/>
                <w:szCs w:val="18"/>
                <w:color w:val="auto"/>
              </w:rPr>
              <w:t>3,041</w:t>
            </w:r>
          </w:p>
        </w:tc>
        <w:tc>
          <w:tcPr>
            <w:tcW w:w="98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31"/>
              <w:spacing w:after="0"/>
              <w:rPr>
                <w:sz w:val="20"/>
                <w:szCs w:val="20"/>
                <w:color w:val="auto"/>
              </w:rPr>
            </w:pPr>
            <w:r>
              <w:rPr>
                <w:rFonts w:ascii="Arial" w:cs="Arial" w:eastAsia="Arial" w:hAnsi="Arial"/>
                <w:sz w:val="18"/>
                <w:szCs w:val="18"/>
                <w:color w:val="auto"/>
              </w:rPr>
              <w:t>3,041</w:t>
            </w:r>
          </w:p>
        </w:tc>
        <w:tc>
          <w:tcPr>
            <w:tcW w:w="12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78"/>
        </w:trPr>
        <w:tc>
          <w:tcPr>
            <w:tcW w:w="5940" w:type="dxa"/>
            <w:vAlign w:val="bottom"/>
            <w:shd w:val="clear" w:color="auto" w:fill="E2E6F4"/>
          </w:tcPr>
          <w:p>
            <w:pPr>
              <w:ind w:left="20"/>
              <w:spacing w:after="0"/>
              <w:rPr>
                <w:sz w:val="20"/>
                <w:szCs w:val="20"/>
                <w:color w:val="auto"/>
              </w:rPr>
            </w:pPr>
            <w:r>
              <w:rPr>
                <w:rFonts w:ascii="Arial" w:cs="Arial" w:eastAsia="Arial" w:hAnsi="Arial"/>
                <w:sz w:val="18"/>
                <w:szCs w:val="18"/>
                <w:b w:val="1"/>
                <w:bCs w:val="1"/>
                <w:color w:val="0067B3"/>
              </w:rPr>
              <w:t>Yoky Matsuoka</w:t>
            </w:r>
          </w:p>
        </w:tc>
        <w:tc>
          <w:tcPr>
            <w:tcW w:w="2060" w:type="dxa"/>
            <w:vAlign w:val="bottom"/>
            <w:shd w:val="clear" w:color="auto" w:fill="E2E6F4"/>
          </w:tcPr>
          <w:p>
            <w:pPr>
              <w:jc w:val="right"/>
              <w:ind w:right="51"/>
              <w:spacing w:after="0"/>
              <w:rPr>
                <w:sz w:val="20"/>
                <w:szCs w:val="20"/>
                <w:color w:val="auto"/>
              </w:rPr>
            </w:pPr>
            <w:r>
              <w:rPr>
                <w:rFonts w:ascii="Arial" w:cs="Arial" w:eastAsia="Arial" w:hAnsi="Arial"/>
                <w:sz w:val="18"/>
                <w:szCs w:val="18"/>
                <w:color w:val="auto"/>
              </w:rPr>
              <w:t>—</w:t>
            </w:r>
          </w:p>
        </w:tc>
        <w:tc>
          <w:tcPr>
            <w:tcW w:w="980" w:type="dxa"/>
            <w:vAlign w:val="bottom"/>
            <w:shd w:val="clear" w:color="auto" w:fill="E2E6F4"/>
          </w:tcPr>
          <w:p>
            <w:pPr>
              <w:jc w:val="right"/>
              <w:ind w:right="32"/>
              <w:spacing w:after="0"/>
              <w:rPr>
                <w:sz w:val="20"/>
                <w:szCs w:val="20"/>
                <w:color w:val="auto"/>
              </w:rPr>
            </w:pPr>
            <w:r>
              <w:rPr>
                <w:rFonts w:ascii="Arial" w:cs="Arial" w:eastAsia="Arial" w:hAnsi="Arial"/>
                <w:sz w:val="18"/>
                <w:szCs w:val="18"/>
                <w:color w:val="auto"/>
              </w:rPr>
              <w:t>—</w:t>
            </w:r>
          </w:p>
        </w:tc>
        <w:tc>
          <w:tcPr>
            <w:tcW w:w="1000" w:type="dxa"/>
            <w:vAlign w:val="bottom"/>
            <w:shd w:val="clear" w:color="auto" w:fill="E2E6F4"/>
          </w:tcPr>
          <w:p>
            <w:pPr>
              <w:jc w:val="right"/>
              <w:ind w:right="31"/>
              <w:spacing w:after="0"/>
              <w:rPr>
                <w:sz w:val="20"/>
                <w:szCs w:val="20"/>
                <w:color w:val="auto"/>
              </w:rPr>
            </w:pPr>
            <w:r>
              <w:rPr>
                <w:rFonts w:ascii="Arial" w:cs="Arial" w:eastAsia="Arial" w:hAnsi="Arial"/>
                <w:sz w:val="18"/>
                <w:szCs w:val="18"/>
                <w:color w:val="auto"/>
              </w:rPr>
              <w:t>—</w:t>
            </w:r>
          </w:p>
        </w:tc>
        <w:tc>
          <w:tcPr>
            <w:tcW w:w="1260" w:type="dxa"/>
            <w:vAlign w:val="bottom"/>
            <w:shd w:val="clear" w:color="auto" w:fill="E2E6F4"/>
          </w:tcPr>
          <w:p>
            <w:pPr>
              <w:jc w:val="right"/>
              <w:spacing w:after="0"/>
              <w:rPr>
                <w:sz w:val="20"/>
                <w:szCs w:val="20"/>
                <w:color w:val="auto"/>
              </w:rPr>
            </w:pPr>
            <w:r>
              <w:rPr>
                <w:rFonts w:ascii="Arial" w:cs="Arial" w:eastAsia="Arial" w:hAnsi="Arial"/>
                <w:sz w:val="18"/>
                <w:szCs w:val="18"/>
                <w:color w:val="auto"/>
              </w:rPr>
              <w:t>*</w:t>
            </w:r>
          </w:p>
        </w:tc>
      </w:tr>
      <w:tr>
        <w:trPr>
          <w:trHeight w:val="263"/>
        </w:trPr>
        <w:tc>
          <w:tcPr>
            <w:tcW w:w="5940" w:type="dxa"/>
            <w:vAlign w:val="bottom"/>
          </w:tcPr>
          <w:p>
            <w:pPr>
              <w:ind w:left="20"/>
              <w:spacing w:after="0"/>
              <w:rPr>
                <w:sz w:val="20"/>
                <w:szCs w:val="20"/>
                <w:color w:val="auto"/>
              </w:rPr>
            </w:pPr>
            <w:r>
              <w:rPr>
                <w:rFonts w:ascii="Arial" w:cs="Arial" w:eastAsia="Arial" w:hAnsi="Arial"/>
                <w:sz w:val="18"/>
                <w:szCs w:val="18"/>
                <w:b w:val="1"/>
                <w:bCs w:val="1"/>
                <w:color w:val="0067B3"/>
              </w:rPr>
              <w:t>Katsu Nakamura</w:t>
            </w:r>
          </w:p>
        </w:tc>
        <w:tc>
          <w:tcPr>
            <w:tcW w:w="2060" w:type="dxa"/>
            <w:vAlign w:val="bottom"/>
          </w:tcPr>
          <w:p>
            <w:pPr>
              <w:jc w:val="right"/>
              <w:ind w:right="51"/>
              <w:spacing w:after="0"/>
              <w:rPr>
                <w:sz w:val="20"/>
                <w:szCs w:val="20"/>
                <w:color w:val="auto"/>
              </w:rPr>
            </w:pPr>
            <w:r>
              <w:rPr>
                <w:rFonts w:ascii="Arial" w:cs="Arial" w:eastAsia="Arial" w:hAnsi="Arial"/>
                <w:sz w:val="18"/>
                <w:szCs w:val="18"/>
                <w:color w:val="auto"/>
              </w:rPr>
              <w:t>3,773</w:t>
            </w:r>
          </w:p>
        </w:tc>
        <w:tc>
          <w:tcPr>
            <w:tcW w:w="980" w:type="dxa"/>
            <w:vAlign w:val="bottom"/>
          </w:tcPr>
          <w:p>
            <w:pPr>
              <w:jc w:val="right"/>
              <w:ind w:right="32"/>
              <w:spacing w:after="0"/>
              <w:rPr>
                <w:sz w:val="20"/>
                <w:szCs w:val="20"/>
                <w:color w:val="auto"/>
              </w:rPr>
            </w:pPr>
            <w:r>
              <w:rPr>
                <w:rFonts w:ascii="Arial" w:cs="Arial" w:eastAsia="Arial" w:hAnsi="Arial"/>
                <w:sz w:val="18"/>
                <w:szCs w:val="18"/>
                <w:color w:val="auto"/>
              </w:rPr>
              <w:t>2,320</w:t>
            </w:r>
          </w:p>
        </w:tc>
        <w:tc>
          <w:tcPr>
            <w:tcW w:w="1000" w:type="dxa"/>
            <w:vAlign w:val="bottom"/>
          </w:tcPr>
          <w:p>
            <w:pPr>
              <w:jc w:val="right"/>
              <w:ind w:right="31"/>
              <w:spacing w:after="0"/>
              <w:rPr>
                <w:sz w:val="20"/>
                <w:szCs w:val="20"/>
                <w:color w:val="auto"/>
              </w:rPr>
            </w:pPr>
            <w:r>
              <w:rPr>
                <w:rFonts w:ascii="Arial" w:cs="Arial" w:eastAsia="Arial" w:hAnsi="Arial"/>
                <w:sz w:val="18"/>
                <w:szCs w:val="18"/>
                <w:color w:val="auto"/>
              </w:rPr>
              <w:t>6,093</w:t>
            </w:r>
          </w:p>
        </w:tc>
        <w:tc>
          <w:tcPr>
            <w:tcW w:w="12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78"/>
        </w:trPr>
        <w:tc>
          <w:tcPr>
            <w:tcW w:w="5940" w:type="dxa"/>
            <w:vAlign w:val="bottom"/>
            <w:shd w:val="clear" w:color="auto" w:fill="E2E6F4"/>
          </w:tcPr>
          <w:p>
            <w:pPr>
              <w:ind w:left="20"/>
              <w:spacing w:after="0"/>
              <w:rPr>
                <w:sz w:val="20"/>
                <w:szCs w:val="20"/>
                <w:color w:val="auto"/>
              </w:rPr>
            </w:pPr>
            <w:r>
              <w:rPr>
                <w:rFonts w:ascii="Arial" w:cs="Arial" w:eastAsia="Arial" w:hAnsi="Arial"/>
                <w:sz w:val="18"/>
                <w:szCs w:val="18"/>
                <w:b w:val="1"/>
                <w:bCs w:val="1"/>
                <w:color w:val="0067B3"/>
              </w:rPr>
              <w:t>Richard C. Puccio, Jr.</w:t>
            </w:r>
          </w:p>
        </w:tc>
        <w:tc>
          <w:tcPr>
            <w:tcW w:w="2060" w:type="dxa"/>
            <w:vAlign w:val="bottom"/>
            <w:shd w:val="clear" w:color="auto" w:fill="E2E6F4"/>
          </w:tcPr>
          <w:p>
            <w:pPr>
              <w:jc w:val="right"/>
              <w:ind w:right="51"/>
              <w:spacing w:after="0"/>
              <w:rPr>
                <w:sz w:val="20"/>
                <w:szCs w:val="20"/>
                <w:color w:val="auto"/>
              </w:rPr>
            </w:pPr>
            <w:r>
              <w:rPr>
                <w:rFonts w:ascii="Arial" w:cs="Arial" w:eastAsia="Arial" w:hAnsi="Arial"/>
                <w:sz w:val="18"/>
                <w:szCs w:val="18"/>
                <w:color w:val="auto"/>
              </w:rPr>
              <w:t>6,519</w:t>
            </w:r>
          </w:p>
        </w:tc>
        <w:tc>
          <w:tcPr>
            <w:tcW w:w="980" w:type="dxa"/>
            <w:vAlign w:val="bottom"/>
            <w:shd w:val="clear" w:color="auto" w:fill="E2E6F4"/>
          </w:tcPr>
          <w:p>
            <w:pPr>
              <w:jc w:val="right"/>
              <w:ind w:right="32"/>
              <w:spacing w:after="0"/>
              <w:rPr>
                <w:sz w:val="20"/>
                <w:szCs w:val="20"/>
                <w:color w:val="auto"/>
              </w:rPr>
            </w:pPr>
            <w:r>
              <w:rPr>
                <w:rFonts w:ascii="Arial" w:cs="Arial" w:eastAsia="Arial" w:hAnsi="Arial"/>
                <w:sz w:val="18"/>
                <w:szCs w:val="18"/>
                <w:color w:val="auto"/>
              </w:rPr>
              <w:t>—</w:t>
            </w:r>
          </w:p>
        </w:tc>
        <w:tc>
          <w:tcPr>
            <w:tcW w:w="1000" w:type="dxa"/>
            <w:vAlign w:val="bottom"/>
            <w:shd w:val="clear" w:color="auto" w:fill="E2E6F4"/>
          </w:tcPr>
          <w:p>
            <w:pPr>
              <w:jc w:val="right"/>
              <w:ind w:right="31"/>
              <w:spacing w:after="0"/>
              <w:rPr>
                <w:sz w:val="20"/>
                <w:szCs w:val="20"/>
                <w:color w:val="auto"/>
              </w:rPr>
            </w:pPr>
            <w:r>
              <w:rPr>
                <w:rFonts w:ascii="Arial" w:cs="Arial" w:eastAsia="Arial" w:hAnsi="Arial"/>
                <w:sz w:val="18"/>
                <w:szCs w:val="18"/>
                <w:color w:val="auto"/>
              </w:rPr>
              <w:t>6,519</w:t>
            </w:r>
          </w:p>
        </w:tc>
        <w:tc>
          <w:tcPr>
            <w:tcW w:w="1260" w:type="dxa"/>
            <w:vAlign w:val="bottom"/>
            <w:shd w:val="clear" w:color="auto" w:fill="E2E6F4"/>
          </w:tcPr>
          <w:p>
            <w:pPr>
              <w:jc w:val="right"/>
              <w:spacing w:after="0"/>
              <w:rPr>
                <w:sz w:val="20"/>
                <w:szCs w:val="20"/>
                <w:color w:val="auto"/>
              </w:rPr>
            </w:pPr>
            <w:r>
              <w:rPr>
                <w:rFonts w:ascii="Arial" w:cs="Arial" w:eastAsia="Arial" w:hAnsi="Arial"/>
                <w:sz w:val="18"/>
                <w:szCs w:val="18"/>
                <w:color w:val="auto"/>
              </w:rPr>
              <w:t>*</w:t>
            </w:r>
          </w:p>
        </w:tc>
      </w:tr>
      <w:tr>
        <w:trPr>
          <w:trHeight w:val="270"/>
        </w:trPr>
        <w:tc>
          <w:tcPr>
            <w:tcW w:w="5940" w:type="dxa"/>
            <w:vAlign w:val="bottom"/>
          </w:tcPr>
          <w:p>
            <w:pPr>
              <w:ind w:left="20"/>
              <w:spacing w:after="0"/>
              <w:rPr>
                <w:sz w:val="20"/>
                <w:szCs w:val="20"/>
                <w:color w:val="auto"/>
              </w:rPr>
            </w:pPr>
            <w:r>
              <w:rPr>
                <w:rFonts w:ascii="Arial" w:cs="Arial" w:eastAsia="Arial" w:hAnsi="Arial"/>
                <w:sz w:val="18"/>
                <w:szCs w:val="18"/>
                <w:b w:val="1"/>
                <w:bCs w:val="1"/>
                <w:color w:val="0067B3"/>
              </w:rPr>
              <w:t>Vincent Roche</w:t>
            </w:r>
            <w:r>
              <w:rPr>
                <w:rFonts w:ascii="Arial" w:cs="Arial" w:eastAsia="Arial" w:hAnsi="Arial"/>
                <w:sz w:val="23"/>
                <w:szCs w:val="23"/>
                <w:b w:val="1"/>
                <w:bCs w:val="1"/>
                <w:color w:val="0067B3"/>
                <w:vertAlign w:val="superscript"/>
              </w:rPr>
              <w:t>(6)</w:t>
            </w:r>
          </w:p>
        </w:tc>
        <w:tc>
          <w:tcPr>
            <w:tcW w:w="2060" w:type="dxa"/>
            <w:vAlign w:val="bottom"/>
          </w:tcPr>
          <w:p>
            <w:pPr>
              <w:jc w:val="right"/>
              <w:ind w:right="51"/>
              <w:spacing w:after="0"/>
              <w:rPr>
                <w:sz w:val="20"/>
                <w:szCs w:val="20"/>
                <w:color w:val="auto"/>
              </w:rPr>
            </w:pPr>
            <w:r>
              <w:rPr>
                <w:rFonts w:ascii="Arial" w:cs="Arial" w:eastAsia="Arial" w:hAnsi="Arial"/>
                <w:sz w:val="18"/>
                <w:szCs w:val="18"/>
                <w:color w:val="auto"/>
              </w:rPr>
              <w:t>104,628</w:t>
            </w:r>
          </w:p>
        </w:tc>
        <w:tc>
          <w:tcPr>
            <w:tcW w:w="980" w:type="dxa"/>
            <w:vAlign w:val="bottom"/>
          </w:tcPr>
          <w:p>
            <w:pPr>
              <w:jc w:val="right"/>
              <w:ind w:right="32"/>
              <w:spacing w:after="0"/>
              <w:rPr>
                <w:sz w:val="20"/>
                <w:szCs w:val="20"/>
                <w:color w:val="auto"/>
              </w:rPr>
            </w:pPr>
            <w:r>
              <w:rPr>
                <w:rFonts w:ascii="Arial" w:cs="Arial" w:eastAsia="Arial" w:hAnsi="Arial"/>
                <w:sz w:val="18"/>
                <w:szCs w:val="18"/>
                <w:color w:val="auto"/>
              </w:rPr>
              <w:t>686,226</w:t>
            </w:r>
          </w:p>
        </w:tc>
        <w:tc>
          <w:tcPr>
            <w:tcW w:w="1000" w:type="dxa"/>
            <w:vAlign w:val="bottom"/>
          </w:tcPr>
          <w:p>
            <w:pPr>
              <w:jc w:val="right"/>
              <w:ind w:right="31"/>
              <w:spacing w:after="0"/>
              <w:rPr>
                <w:sz w:val="20"/>
                <w:szCs w:val="20"/>
                <w:color w:val="auto"/>
              </w:rPr>
            </w:pPr>
            <w:r>
              <w:rPr>
                <w:rFonts w:ascii="Arial" w:cs="Arial" w:eastAsia="Arial" w:hAnsi="Arial"/>
                <w:sz w:val="18"/>
                <w:szCs w:val="18"/>
                <w:color w:val="auto"/>
              </w:rPr>
              <w:t>790,854</w:t>
            </w:r>
          </w:p>
        </w:tc>
        <w:tc>
          <w:tcPr>
            <w:tcW w:w="12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70"/>
        </w:trPr>
        <w:tc>
          <w:tcPr>
            <w:tcW w:w="5940" w:type="dxa"/>
            <w:vAlign w:val="bottom"/>
            <w:shd w:val="clear" w:color="auto" w:fill="E2E6F4"/>
          </w:tcPr>
          <w:p>
            <w:pPr>
              <w:ind w:left="20"/>
              <w:spacing w:after="0"/>
              <w:rPr>
                <w:sz w:val="20"/>
                <w:szCs w:val="20"/>
                <w:color w:val="auto"/>
              </w:rPr>
            </w:pPr>
            <w:r>
              <w:rPr>
                <w:rFonts w:ascii="Arial" w:cs="Arial" w:eastAsia="Arial" w:hAnsi="Arial"/>
                <w:sz w:val="18"/>
                <w:szCs w:val="18"/>
                <w:b w:val="1"/>
                <w:bCs w:val="1"/>
                <w:color w:val="0067B3"/>
              </w:rPr>
              <w:t>Ray Stata</w:t>
            </w:r>
            <w:r>
              <w:rPr>
                <w:rFonts w:ascii="Arial" w:cs="Arial" w:eastAsia="Arial" w:hAnsi="Arial"/>
                <w:sz w:val="23"/>
                <w:szCs w:val="23"/>
                <w:b w:val="1"/>
                <w:bCs w:val="1"/>
                <w:color w:val="0067B3"/>
                <w:vertAlign w:val="superscript"/>
              </w:rPr>
              <w:t>(7)</w:t>
            </w:r>
          </w:p>
        </w:tc>
        <w:tc>
          <w:tcPr>
            <w:tcW w:w="2060" w:type="dxa"/>
            <w:vAlign w:val="bottom"/>
            <w:shd w:val="clear" w:color="auto" w:fill="E2E6F4"/>
          </w:tcPr>
          <w:p>
            <w:pPr>
              <w:jc w:val="right"/>
              <w:ind w:right="51"/>
              <w:spacing w:after="0"/>
              <w:rPr>
                <w:sz w:val="20"/>
                <w:szCs w:val="20"/>
                <w:color w:val="auto"/>
              </w:rPr>
            </w:pPr>
            <w:r>
              <w:rPr>
                <w:rFonts w:ascii="Arial" w:cs="Arial" w:eastAsia="Arial" w:hAnsi="Arial"/>
                <w:sz w:val="18"/>
                <w:szCs w:val="18"/>
                <w:color w:val="auto"/>
              </w:rPr>
              <w:t>784,257</w:t>
            </w:r>
          </w:p>
        </w:tc>
        <w:tc>
          <w:tcPr>
            <w:tcW w:w="980" w:type="dxa"/>
            <w:vAlign w:val="bottom"/>
            <w:shd w:val="clear" w:color="auto" w:fill="E2E6F4"/>
          </w:tcPr>
          <w:p>
            <w:pPr>
              <w:jc w:val="right"/>
              <w:ind w:right="32"/>
              <w:spacing w:after="0"/>
              <w:rPr>
                <w:sz w:val="20"/>
                <w:szCs w:val="20"/>
                <w:color w:val="auto"/>
              </w:rPr>
            </w:pPr>
            <w:r>
              <w:rPr>
                <w:rFonts w:ascii="Arial" w:cs="Arial" w:eastAsia="Arial" w:hAnsi="Arial"/>
                <w:sz w:val="18"/>
                <w:szCs w:val="18"/>
                <w:color w:val="auto"/>
              </w:rPr>
              <w:t>7,640</w:t>
            </w:r>
          </w:p>
        </w:tc>
        <w:tc>
          <w:tcPr>
            <w:tcW w:w="1000" w:type="dxa"/>
            <w:vAlign w:val="bottom"/>
            <w:shd w:val="clear" w:color="auto" w:fill="E2E6F4"/>
          </w:tcPr>
          <w:p>
            <w:pPr>
              <w:jc w:val="right"/>
              <w:ind w:right="31"/>
              <w:spacing w:after="0"/>
              <w:rPr>
                <w:sz w:val="20"/>
                <w:szCs w:val="20"/>
                <w:color w:val="auto"/>
              </w:rPr>
            </w:pPr>
            <w:r>
              <w:rPr>
                <w:rFonts w:ascii="Arial" w:cs="Arial" w:eastAsia="Arial" w:hAnsi="Arial"/>
                <w:sz w:val="18"/>
                <w:szCs w:val="18"/>
                <w:color w:val="auto"/>
              </w:rPr>
              <w:t>791,897</w:t>
            </w:r>
          </w:p>
        </w:tc>
        <w:tc>
          <w:tcPr>
            <w:tcW w:w="1260" w:type="dxa"/>
            <w:vAlign w:val="bottom"/>
            <w:shd w:val="clear" w:color="auto" w:fill="E2E6F4"/>
          </w:tcPr>
          <w:p>
            <w:pPr>
              <w:jc w:val="right"/>
              <w:spacing w:after="0"/>
              <w:rPr>
                <w:sz w:val="20"/>
                <w:szCs w:val="20"/>
                <w:color w:val="auto"/>
              </w:rPr>
            </w:pPr>
            <w:r>
              <w:rPr>
                <w:rFonts w:ascii="Arial" w:cs="Arial" w:eastAsia="Arial" w:hAnsi="Arial"/>
                <w:sz w:val="18"/>
                <w:szCs w:val="18"/>
                <w:color w:val="auto"/>
              </w:rPr>
              <w:t>*</w:t>
            </w:r>
          </w:p>
        </w:tc>
      </w:tr>
      <w:tr>
        <w:trPr>
          <w:trHeight w:val="270"/>
        </w:trPr>
        <w:tc>
          <w:tcPr>
            <w:tcW w:w="5940" w:type="dxa"/>
            <w:vAlign w:val="bottom"/>
          </w:tcPr>
          <w:p>
            <w:pPr>
              <w:ind w:left="20"/>
              <w:spacing w:after="0"/>
              <w:rPr>
                <w:sz w:val="20"/>
                <w:szCs w:val="20"/>
                <w:color w:val="auto"/>
              </w:rPr>
            </w:pPr>
            <w:r>
              <w:rPr>
                <w:rFonts w:ascii="Arial" w:cs="Arial" w:eastAsia="Arial" w:hAnsi="Arial"/>
                <w:sz w:val="18"/>
                <w:szCs w:val="18"/>
                <w:b w:val="1"/>
                <w:bCs w:val="1"/>
                <w:color w:val="0067B3"/>
              </w:rPr>
              <w:t>Andrea F. Wainer</w:t>
            </w:r>
            <w:r>
              <w:rPr>
                <w:rFonts w:ascii="Arial" w:cs="Arial" w:eastAsia="Arial" w:hAnsi="Arial"/>
                <w:sz w:val="23"/>
                <w:szCs w:val="23"/>
                <w:b w:val="1"/>
                <w:bCs w:val="1"/>
                <w:color w:val="0067B3"/>
                <w:vertAlign w:val="superscript"/>
              </w:rPr>
              <w:t>(8)</w:t>
            </w:r>
          </w:p>
        </w:tc>
        <w:tc>
          <w:tcPr>
            <w:tcW w:w="2060" w:type="dxa"/>
            <w:vAlign w:val="bottom"/>
          </w:tcPr>
          <w:p>
            <w:pPr>
              <w:jc w:val="right"/>
              <w:ind w:right="51"/>
              <w:spacing w:after="0"/>
              <w:rPr>
                <w:sz w:val="20"/>
                <w:szCs w:val="20"/>
                <w:color w:val="auto"/>
              </w:rPr>
            </w:pPr>
            <w:r>
              <w:rPr>
                <w:rFonts w:ascii="Arial" w:cs="Arial" w:eastAsia="Arial" w:hAnsi="Arial"/>
                <w:sz w:val="18"/>
                <w:szCs w:val="18"/>
                <w:color w:val="auto"/>
              </w:rPr>
              <w:t>468</w:t>
            </w:r>
          </w:p>
        </w:tc>
        <w:tc>
          <w:tcPr>
            <w:tcW w:w="98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31"/>
              <w:spacing w:after="0"/>
              <w:rPr>
                <w:sz w:val="20"/>
                <w:szCs w:val="20"/>
                <w:color w:val="auto"/>
              </w:rPr>
            </w:pPr>
            <w:r>
              <w:rPr>
                <w:rFonts w:ascii="Arial" w:cs="Arial" w:eastAsia="Arial" w:hAnsi="Arial"/>
                <w:sz w:val="18"/>
                <w:szCs w:val="18"/>
                <w:color w:val="auto"/>
              </w:rPr>
              <w:t>468</w:t>
            </w:r>
          </w:p>
        </w:tc>
        <w:tc>
          <w:tcPr>
            <w:tcW w:w="12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70"/>
        </w:trPr>
        <w:tc>
          <w:tcPr>
            <w:tcW w:w="5940" w:type="dxa"/>
            <w:vAlign w:val="bottom"/>
            <w:shd w:val="clear" w:color="auto" w:fill="E2E6F4"/>
          </w:tcPr>
          <w:p>
            <w:pPr>
              <w:ind w:left="20"/>
              <w:spacing w:after="0"/>
              <w:rPr>
                <w:sz w:val="20"/>
                <w:szCs w:val="20"/>
                <w:color w:val="auto"/>
              </w:rPr>
            </w:pPr>
            <w:r>
              <w:rPr>
                <w:rFonts w:ascii="Arial" w:cs="Arial" w:eastAsia="Arial" w:hAnsi="Arial"/>
                <w:sz w:val="18"/>
                <w:szCs w:val="18"/>
                <w:b w:val="1"/>
                <w:bCs w:val="1"/>
                <w:color w:val="0067B3"/>
              </w:rPr>
              <w:t>Susie Wee</w:t>
            </w:r>
          </w:p>
        </w:tc>
        <w:tc>
          <w:tcPr>
            <w:tcW w:w="2060" w:type="dxa"/>
            <w:vAlign w:val="bottom"/>
            <w:shd w:val="clear" w:color="auto" w:fill="E2E6F4"/>
          </w:tcPr>
          <w:p>
            <w:pPr>
              <w:jc w:val="right"/>
              <w:ind w:right="51"/>
              <w:spacing w:after="0"/>
              <w:rPr>
                <w:sz w:val="20"/>
                <w:szCs w:val="20"/>
                <w:color w:val="auto"/>
              </w:rPr>
            </w:pPr>
            <w:r>
              <w:rPr>
                <w:rFonts w:ascii="Arial" w:cs="Arial" w:eastAsia="Arial" w:hAnsi="Arial"/>
                <w:sz w:val="18"/>
                <w:szCs w:val="18"/>
                <w:color w:val="auto"/>
              </w:rPr>
              <w:t>8,184</w:t>
            </w:r>
          </w:p>
        </w:tc>
        <w:tc>
          <w:tcPr>
            <w:tcW w:w="980" w:type="dxa"/>
            <w:vAlign w:val="bottom"/>
            <w:shd w:val="clear" w:color="auto" w:fill="E2E6F4"/>
          </w:tcPr>
          <w:p>
            <w:pPr>
              <w:jc w:val="right"/>
              <w:ind w:right="32"/>
              <w:spacing w:after="0"/>
              <w:rPr>
                <w:sz w:val="20"/>
                <w:szCs w:val="20"/>
                <w:color w:val="auto"/>
              </w:rPr>
            </w:pPr>
            <w:r>
              <w:rPr>
                <w:rFonts w:ascii="Arial" w:cs="Arial" w:eastAsia="Arial" w:hAnsi="Arial"/>
                <w:sz w:val="18"/>
                <w:szCs w:val="18"/>
                <w:color w:val="auto"/>
              </w:rPr>
              <w:t>—</w:t>
            </w:r>
          </w:p>
        </w:tc>
        <w:tc>
          <w:tcPr>
            <w:tcW w:w="1000" w:type="dxa"/>
            <w:vAlign w:val="bottom"/>
            <w:shd w:val="clear" w:color="auto" w:fill="E2E6F4"/>
          </w:tcPr>
          <w:p>
            <w:pPr>
              <w:jc w:val="right"/>
              <w:ind w:right="31"/>
              <w:spacing w:after="0"/>
              <w:rPr>
                <w:sz w:val="20"/>
                <w:szCs w:val="20"/>
                <w:color w:val="auto"/>
              </w:rPr>
            </w:pPr>
            <w:r>
              <w:rPr>
                <w:rFonts w:ascii="Arial" w:cs="Arial" w:eastAsia="Arial" w:hAnsi="Arial"/>
                <w:sz w:val="18"/>
                <w:szCs w:val="18"/>
                <w:color w:val="auto"/>
              </w:rPr>
              <w:t>8,184</w:t>
            </w:r>
          </w:p>
        </w:tc>
        <w:tc>
          <w:tcPr>
            <w:tcW w:w="1260" w:type="dxa"/>
            <w:vAlign w:val="bottom"/>
            <w:shd w:val="clear" w:color="auto" w:fill="E2E6F4"/>
          </w:tcPr>
          <w:p>
            <w:pPr>
              <w:jc w:val="right"/>
              <w:spacing w:after="0"/>
              <w:rPr>
                <w:sz w:val="20"/>
                <w:szCs w:val="20"/>
                <w:color w:val="auto"/>
              </w:rPr>
            </w:pPr>
            <w:r>
              <w:rPr>
                <w:rFonts w:ascii="Arial" w:cs="Arial" w:eastAsia="Arial" w:hAnsi="Arial"/>
                <w:sz w:val="18"/>
                <w:szCs w:val="18"/>
                <w:color w:val="auto"/>
              </w:rPr>
              <w:t>*</w:t>
            </w:r>
          </w:p>
        </w:tc>
      </w:tr>
      <w:tr>
        <w:trPr>
          <w:trHeight w:val="270"/>
        </w:trPr>
        <w:tc>
          <w:tcPr>
            <w:tcW w:w="5940" w:type="dxa"/>
            <w:vAlign w:val="bottom"/>
            <w:tcBorders>
              <w:bottom w:val="single" w:sz="8" w:color="0067B3"/>
            </w:tcBorders>
          </w:tcPr>
          <w:p>
            <w:pPr>
              <w:ind w:left="20"/>
              <w:spacing w:after="0"/>
              <w:rPr>
                <w:sz w:val="20"/>
                <w:szCs w:val="20"/>
                <w:color w:val="auto"/>
              </w:rPr>
            </w:pPr>
            <w:r>
              <w:rPr>
                <w:rFonts w:ascii="Arial" w:cs="Arial" w:eastAsia="Arial" w:hAnsi="Arial"/>
                <w:sz w:val="18"/>
                <w:szCs w:val="18"/>
                <w:color w:val="auto"/>
              </w:rPr>
              <w:t>All directors and executive officers as a group (15 persons)</w:t>
            </w:r>
            <w:r>
              <w:rPr>
                <w:rFonts w:ascii="Arial" w:cs="Arial" w:eastAsia="Arial" w:hAnsi="Arial"/>
                <w:sz w:val="23"/>
                <w:szCs w:val="23"/>
                <w:color w:val="auto"/>
                <w:vertAlign w:val="superscript"/>
              </w:rPr>
              <w:t>(9)</w:t>
            </w:r>
          </w:p>
        </w:tc>
        <w:tc>
          <w:tcPr>
            <w:tcW w:w="2060" w:type="dxa"/>
            <w:vAlign w:val="bottom"/>
            <w:tcBorders>
              <w:bottom w:val="single" w:sz="8" w:color="0067B3"/>
            </w:tcBorders>
          </w:tcPr>
          <w:p>
            <w:pPr>
              <w:jc w:val="right"/>
              <w:ind w:right="51"/>
              <w:spacing w:after="0"/>
              <w:rPr>
                <w:sz w:val="20"/>
                <w:szCs w:val="20"/>
                <w:color w:val="auto"/>
              </w:rPr>
            </w:pPr>
            <w:r>
              <w:rPr>
                <w:rFonts w:ascii="Arial" w:cs="Arial" w:eastAsia="Arial" w:hAnsi="Arial"/>
                <w:sz w:val="18"/>
                <w:szCs w:val="18"/>
                <w:color w:val="auto"/>
              </w:rPr>
              <w:t>980,703</w:t>
            </w:r>
          </w:p>
        </w:tc>
        <w:tc>
          <w:tcPr>
            <w:tcW w:w="980" w:type="dxa"/>
            <w:vAlign w:val="bottom"/>
            <w:tcBorders>
              <w:bottom w:val="single" w:sz="8" w:color="0067B3"/>
            </w:tcBorders>
          </w:tcPr>
          <w:p>
            <w:pPr>
              <w:jc w:val="right"/>
              <w:ind w:right="32"/>
              <w:spacing w:after="0"/>
              <w:rPr>
                <w:sz w:val="20"/>
                <w:szCs w:val="20"/>
                <w:color w:val="auto"/>
              </w:rPr>
            </w:pPr>
            <w:r>
              <w:rPr>
                <w:rFonts w:ascii="Arial" w:cs="Arial" w:eastAsia="Arial" w:hAnsi="Arial"/>
                <w:sz w:val="18"/>
                <w:szCs w:val="18"/>
                <w:color w:val="auto"/>
              </w:rPr>
              <w:t>790,398</w:t>
            </w:r>
          </w:p>
        </w:tc>
        <w:tc>
          <w:tcPr>
            <w:tcW w:w="1000" w:type="dxa"/>
            <w:vAlign w:val="bottom"/>
            <w:tcBorders>
              <w:bottom w:val="single" w:sz="8" w:color="0067B3"/>
            </w:tcBorders>
          </w:tcPr>
          <w:p>
            <w:pPr>
              <w:jc w:val="right"/>
              <w:ind w:right="31"/>
              <w:spacing w:after="0"/>
              <w:rPr>
                <w:sz w:val="20"/>
                <w:szCs w:val="20"/>
                <w:color w:val="auto"/>
              </w:rPr>
            </w:pPr>
            <w:r>
              <w:rPr>
                <w:rFonts w:ascii="Arial" w:cs="Arial" w:eastAsia="Arial" w:hAnsi="Arial"/>
                <w:sz w:val="18"/>
                <w:szCs w:val="18"/>
                <w:color w:val="auto"/>
              </w:rPr>
              <w:t>1,771,101</w:t>
            </w:r>
          </w:p>
        </w:tc>
        <w:tc>
          <w:tcPr>
            <w:tcW w:w="1260" w:type="dxa"/>
            <w:vAlign w:val="bottom"/>
            <w:tcBorders>
              <w:bottom w:val="single" w:sz="8" w:color="0067B3"/>
            </w:tcBorders>
          </w:tcPr>
          <w:p>
            <w:pPr>
              <w:jc w:val="right"/>
              <w:spacing w:after="0"/>
              <w:rPr>
                <w:sz w:val="20"/>
                <w:szCs w:val="20"/>
                <w:color w:val="auto"/>
              </w:rPr>
            </w:pPr>
            <w:r>
              <w:rPr>
                <w:rFonts w:ascii="Arial" w:cs="Arial" w:eastAsia="Arial" w:hAnsi="Arial"/>
                <w:sz w:val="18"/>
                <w:szCs w:val="18"/>
                <w:color w:val="auto"/>
              </w:rPr>
              <w:t>*</w:t>
            </w:r>
          </w:p>
        </w:tc>
      </w:tr>
    </w:tbl>
    <w:p>
      <w:pPr>
        <w:spacing w:after="0" w:line="175" w:lineRule="exact"/>
        <w:rPr>
          <w:sz w:val="20"/>
          <w:szCs w:val="20"/>
          <w:color w:val="auto"/>
        </w:rPr>
      </w:pPr>
    </w:p>
    <w:p>
      <w:pPr>
        <w:ind w:left="260" w:hanging="252"/>
        <w:spacing w:after="0"/>
        <w:tabs>
          <w:tab w:leader="none" w:pos="260" w:val="left"/>
        </w:tabs>
        <w:numPr>
          <w:ilvl w:val="0"/>
          <w:numId w:val="138"/>
        </w:numPr>
        <w:rPr>
          <w:rFonts w:ascii="Arial" w:cs="Arial" w:eastAsia="Arial" w:hAnsi="Arial"/>
          <w:sz w:val="16"/>
          <w:szCs w:val="16"/>
          <w:color w:val="auto"/>
        </w:rPr>
      </w:pPr>
      <w:r>
        <w:rPr>
          <w:rFonts w:ascii="Arial" w:cs="Arial" w:eastAsia="Arial" w:hAnsi="Arial"/>
          <w:sz w:val="16"/>
          <w:szCs w:val="16"/>
          <w:color w:val="auto"/>
        </w:rPr>
        <w:t>Represents less than 1% of the outstanding shares of our common stock.</w:t>
      </w:r>
    </w:p>
    <w:p>
      <w:pPr>
        <w:spacing w:after="0" w:line="59" w:lineRule="exact"/>
        <w:rPr>
          <w:sz w:val="20"/>
          <w:szCs w:val="20"/>
          <w:color w:val="auto"/>
        </w:rPr>
      </w:pPr>
    </w:p>
    <w:p>
      <w:pPr>
        <w:ind w:left="220" w:hanging="212"/>
        <w:spacing w:after="0"/>
        <w:tabs>
          <w:tab w:leader="none" w:pos="220" w:val="left"/>
        </w:tabs>
        <w:numPr>
          <w:ilvl w:val="0"/>
          <w:numId w:val="139"/>
        </w:numPr>
        <w:rPr>
          <w:rFonts w:ascii="Arial" w:cs="Arial" w:eastAsia="Arial" w:hAnsi="Arial"/>
          <w:sz w:val="21"/>
          <w:szCs w:val="21"/>
          <w:color w:val="auto"/>
          <w:vertAlign w:val="superscript"/>
        </w:rPr>
      </w:pPr>
      <w:r>
        <w:rPr>
          <w:rFonts w:ascii="Arial" w:cs="Arial" w:eastAsia="Arial" w:hAnsi="Arial"/>
          <w:sz w:val="16"/>
          <w:szCs w:val="16"/>
          <w:color w:val="auto"/>
        </w:rPr>
        <w:t>Unless otherwise indicated, the address of each beneficial owner listed is c/o Analog Devices, Inc., One Analog Way, Wilmington, Massachusetts 01887.</w:t>
      </w:r>
    </w:p>
    <w:p>
      <w:pPr>
        <w:spacing w:after="0" w:line="70" w:lineRule="exact"/>
        <w:rPr>
          <w:rFonts w:ascii="Arial" w:cs="Arial" w:eastAsia="Arial" w:hAnsi="Arial"/>
          <w:sz w:val="21"/>
          <w:szCs w:val="21"/>
          <w:color w:val="auto"/>
          <w:vertAlign w:val="superscript"/>
        </w:rPr>
      </w:pPr>
    </w:p>
    <w:p>
      <w:pPr>
        <w:ind w:left="200" w:right="40" w:hanging="192"/>
        <w:spacing w:after="0" w:line="232" w:lineRule="auto"/>
        <w:tabs>
          <w:tab w:leader="none" w:pos="215" w:val="left"/>
        </w:tabs>
        <w:numPr>
          <w:ilvl w:val="0"/>
          <w:numId w:val="139"/>
        </w:numPr>
        <w:rPr>
          <w:rFonts w:ascii="Arial" w:cs="Arial" w:eastAsia="Arial" w:hAnsi="Arial"/>
          <w:sz w:val="21"/>
          <w:szCs w:val="21"/>
          <w:color w:val="auto"/>
          <w:vertAlign w:val="superscript"/>
        </w:rPr>
      </w:pPr>
      <w:r>
        <w:rPr>
          <w:rFonts w:ascii="Arial" w:cs="Arial" w:eastAsia="Arial" w:hAnsi="Arial"/>
          <w:sz w:val="16"/>
          <w:szCs w:val="16"/>
          <w:color w:val="auto"/>
        </w:rPr>
        <w:t>For each person, the “Shares Beneficially Owned” column may include shares of common stock attributable to the person because of that person’s voting or investment power. Unless otherwise indicated, each person in the table has sole voting and investment power over the shares listed. The inclusion in the table of any shares, however, does not constitute an admission of beneficial ownership of those shares by the named shareholder.</w:t>
      </w:r>
    </w:p>
    <w:p>
      <w:pPr>
        <w:spacing w:after="0" w:line="43" w:lineRule="exact"/>
        <w:rPr>
          <w:rFonts w:ascii="Arial" w:cs="Arial" w:eastAsia="Arial" w:hAnsi="Arial"/>
          <w:sz w:val="21"/>
          <w:szCs w:val="21"/>
          <w:color w:val="auto"/>
          <w:vertAlign w:val="superscript"/>
        </w:rPr>
      </w:pPr>
    </w:p>
    <w:p>
      <w:pPr>
        <w:ind w:left="200" w:right="220" w:hanging="192"/>
        <w:spacing w:after="0" w:line="246" w:lineRule="auto"/>
        <w:tabs>
          <w:tab w:leader="none" w:pos="215" w:val="left"/>
        </w:tabs>
        <w:numPr>
          <w:ilvl w:val="0"/>
          <w:numId w:val="139"/>
        </w:numPr>
        <w:rPr>
          <w:rFonts w:ascii="Arial" w:cs="Arial" w:eastAsia="Arial" w:hAnsi="Arial"/>
          <w:sz w:val="21"/>
          <w:szCs w:val="21"/>
          <w:color w:val="auto"/>
          <w:vertAlign w:val="superscript"/>
        </w:rPr>
      </w:pPr>
      <w:r>
        <w:rPr>
          <w:rFonts w:ascii="Arial" w:cs="Arial" w:eastAsia="Arial" w:hAnsi="Arial"/>
          <w:sz w:val="16"/>
          <w:szCs w:val="16"/>
          <w:color w:val="auto"/>
        </w:rPr>
        <w:t>The number of shares of common stock beneficially owned by each person is determined under applicable SEC rules. Under these rules, a person is deemed to have “beneficial ownership” of any shares over which that person has or shares voting or investment power, plus any shares that the person has the right to acquire within 60 days, including through the exercise of stock options. Unless otherwise indicated, for each person named in the table, the number in the “Shares Acquirable within 60 Days” column consists of shares covered by stock options that may be exercised and RSUs that vest within 60 days after January 8, 2026.</w:t>
      </w:r>
    </w:p>
    <w:p>
      <w:pPr>
        <w:spacing w:after="0" w:line="51" w:lineRule="exact"/>
        <w:rPr>
          <w:rFonts w:ascii="Arial" w:cs="Arial" w:eastAsia="Arial" w:hAnsi="Arial"/>
          <w:sz w:val="21"/>
          <w:szCs w:val="21"/>
          <w:color w:val="auto"/>
          <w:vertAlign w:val="superscript"/>
        </w:rPr>
      </w:pPr>
    </w:p>
    <w:p>
      <w:pPr>
        <w:ind w:left="200" w:right="640" w:hanging="192"/>
        <w:spacing w:after="0" w:line="233" w:lineRule="auto"/>
        <w:tabs>
          <w:tab w:leader="none" w:pos="215" w:val="left"/>
        </w:tabs>
        <w:numPr>
          <w:ilvl w:val="0"/>
          <w:numId w:val="139"/>
        </w:numPr>
        <w:rPr>
          <w:rFonts w:ascii="Arial" w:cs="Arial" w:eastAsia="Arial" w:hAnsi="Arial"/>
          <w:sz w:val="21"/>
          <w:szCs w:val="21"/>
          <w:color w:val="auto"/>
          <w:vertAlign w:val="superscript"/>
        </w:rPr>
      </w:pPr>
      <w:r>
        <w:rPr>
          <w:rFonts w:ascii="Arial" w:cs="Arial" w:eastAsia="Arial" w:hAnsi="Arial"/>
          <w:sz w:val="16"/>
          <w:szCs w:val="16"/>
          <w:color w:val="auto"/>
        </w:rPr>
        <w:t>The percent ownership for each shareholder on January 8, 2026 is calculated by dividing (1) the total number of shares beneficially owned by the shareholder by (2) the number of shares of our common stock outstanding on January 8, 2026 (488,628,595 shares) plus any shares acquirable (including exercisable stock options) by the shareholder in question within 60 days after January 8, 2026.</w:t>
      </w:r>
    </w:p>
    <w:p>
      <w:pPr>
        <w:spacing w:after="0" w:line="29" w:lineRule="exact"/>
        <w:rPr>
          <w:rFonts w:ascii="Arial" w:cs="Arial" w:eastAsia="Arial" w:hAnsi="Arial"/>
          <w:sz w:val="21"/>
          <w:szCs w:val="21"/>
          <w:color w:val="auto"/>
          <w:vertAlign w:val="superscript"/>
        </w:rPr>
      </w:pPr>
    </w:p>
    <w:p>
      <w:pPr>
        <w:ind w:left="220" w:hanging="212"/>
        <w:spacing w:after="0"/>
        <w:tabs>
          <w:tab w:leader="none" w:pos="220" w:val="left"/>
        </w:tabs>
        <w:numPr>
          <w:ilvl w:val="0"/>
          <w:numId w:val="139"/>
        </w:numPr>
        <w:rPr>
          <w:rFonts w:ascii="Arial" w:cs="Arial" w:eastAsia="Arial" w:hAnsi="Arial"/>
          <w:sz w:val="21"/>
          <w:szCs w:val="21"/>
          <w:color w:val="auto"/>
          <w:vertAlign w:val="superscript"/>
        </w:rPr>
      </w:pPr>
      <w:r>
        <w:rPr>
          <w:rFonts w:ascii="Arial" w:cs="Arial" w:eastAsia="Arial" w:hAnsi="Arial"/>
          <w:sz w:val="16"/>
          <w:szCs w:val="16"/>
          <w:color w:val="auto"/>
        </w:rPr>
        <w:t>Includes 6,000 shares held by irrevocable trusts for the benefit of Dr. Frank’s daughters, of which Dr. Frank is a trustee.</w:t>
      </w:r>
    </w:p>
    <w:p>
      <w:pPr>
        <w:spacing w:after="0" w:line="70" w:lineRule="exact"/>
        <w:rPr>
          <w:rFonts w:ascii="Arial" w:cs="Arial" w:eastAsia="Arial" w:hAnsi="Arial"/>
          <w:sz w:val="21"/>
          <w:szCs w:val="21"/>
          <w:color w:val="auto"/>
          <w:vertAlign w:val="superscript"/>
        </w:rPr>
      </w:pPr>
    </w:p>
    <w:p>
      <w:pPr>
        <w:ind w:left="220" w:hanging="212"/>
        <w:spacing w:after="0" w:line="197" w:lineRule="auto"/>
        <w:tabs>
          <w:tab w:leader="none" w:pos="220" w:val="left"/>
        </w:tabs>
        <w:numPr>
          <w:ilvl w:val="0"/>
          <w:numId w:val="139"/>
        </w:numPr>
        <w:rPr>
          <w:rFonts w:ascii="Arial" w:cs="Arial" w:eastAsia="Arial" w:hAnsi="Arial"/>
          <w:sz w:val="21"/>
          <w:szCs w:val="21"/>
          <w:color w:val="auto"/>
          <w:vertAlign w:val="superscript"/>
        </w:rPr>
      </w:pPr>
      <w:r>
        <w:rPr>
          <w:rFonts w:ascii="Arial" w:cs="Arial" w:eastAsia="Arial" w:hAnsi="Arial"/>
          <w:sz w:val="16"/>
          <w:szCs w:val="16"/>
          <w:color w:val="auto"/>
        </w:rPr>
        <w:t>Includes 23,515 shares held in the Vincent Roche 2024 Grantor Retained Annuity Trust dated October 3, 2024.</w:t>
      </w:r>
    </w:p>
    <w:p>
      <w:pPr>
        <w:spacing w:after="0" w:line="71" w:lineRule="exact"/>
        <w:rPr>
          <w:rFonts w:ascii="Arial" w:cs="Arial" w:eastAsia="Arial" w:hAnsi="Arial"/>
          <w:sz w:val="21"/>
          <w:szCs w:val="21"/>
          <w:color w:val="auto"/>
          <w:vertAlign w:val="superscript"/>
        </w:rPr>
      </w:pPr>
    </w:p>
    <w:p>
      <w:pPr>
        <w:ind w:left="200" w:right="240" w:hanging="192"/>
        <w:spacing w:after="0" w:line="227" w:lineRule="auto"/>
        <w:tabs>
          <w:tab w:leader="none" w:pos="215" w:val="left"/>
        </w:tabs>
        <w:numPr>
          <w:ilvl w:val="0"/>
          <w:numId w:val="139"/>
        </w:numPr>
        <w:rPr>
          <w:rFonts w:ascii="Arial" w:cs="Arial" w:eastAsia="Arial" w:hAnsi="Arial"/>
          <w:sz w:val="21"/>
          <w:szCs w:val="21"/>
          <w:color w:val="auto"/>
          <w:vertAlign w:val="superscript"/>
        </w:rPr>
      </w:pPr>
      <w:r>
        <w:rPr>
          <w:rFonts w:ascii="Arial" w:cs="Arial" w:eastAsia="Arial" w:hAnsi="Arial"/>
          <w:sz w:val="16"/>
          <w:szCs w:val="16"/>
          <w:color w:val="auto"/>
        </w:rPr>
        <w:t>Includes 652,221 shares held by Mr. Stata’s spouse, as to which Mr. Stata disclaims beneficial ownership. 643,396 of the shares held by Mr. Stata’s spouse and 102,946 shares held directly by Mr. Stata are pledged as collateral for a line of credit from a bank. Since January 2013, we have prohibited our directors and executive officers from future pledging of their company securities as collateral for a loan.</w:t>
      </w:r>
    </w:p>
    <w:p>
      <w:pPr>
        <w:spacing w:after="0" w:line="29" w:lineRule="exact"/>
        <w:rPr>
          <w:rFonts w:ascii="Arial" w:cs="Arial" w:eastAsia="Arial" w:hAnsi="Arial"/>
          <w:sz w:val="21"/>
          <w:szCs w:val="21"/>
          <w:color w:val="auto"/>
          <w:vertAlign w:val="superscript"/>
        </w:rPr>
      </w:pPr>
    </w:p>
    <w:p>
      <w:pPr>
        <w:ind w:left="220" w:hanging="212"/>
        <w:spacing w:after="0"/>
        <w:tabs>
          <w:tab w:leader="none" w:pos="220" w:val="left"/>
        </w:tabs>
        <w:numPr>
          <w:ilvl w:val="0"/>
          <w:numId w:val="139"/>
        </w:numPr>
        <w:rPr>
          <w:rFonts w:ascii="Arial" w:cs="Arial" w:eastAsia="Arial" w:hAnsi="Arial"/>
          <w:sz w:val="21"/>
          <w:szCs w:val="21"/>
          <w:color w:val="auto"/>
          <w:vertAlign w:val="superscript"/>
        </w:rPr>
      </w:pPr>
      <w:r>
        <w:rPr>
          <w:rFonts w:ascii="Arial" w:cs="Arial" w:eastAsia="Arial" w:hAnsi="Arial"/>
          <w:sz w:val="16"/>
          <w:szCs w:val="16"/>
          <w:color w:val="auto"/>
        </w:rPr>
        <w:t>Includes 50 shares held by Ms. Wainer’s spouse.</w:t>
      </w:r>
    </w:p>
    <w:p>
      <w:pPr>
        <w:spacing w:after="0" w:line="70" w:lineRule="exact"/>
        <w:rPr>
          <w:rFonts w:ascii="Arial" w:cs="Arial" w:eastAsia="Arial" w:hAnsi="Arial"/>
          <w:sz w:val="21"/>
          <w:szCs w:val="21"/>
          <w:color w:val="auto"/>
          <w:vertAlign w:val="superscript"/>
        </w:rPr>
      </w:pPr>
    </w:p>
    <w:p>
      <w:pPr>
        <w:ind w:left="220" w:hanging="212"/>
        <w:spacing w:after="0" w:line="197" w:lineRule="auto"/>
        <w:tabs>
          <w:tab w:leader="none" w:pos="220" w:val="left"/>
        </w:tabs>
        <w:numPr>
          <w:ilvl w:val="0"/>
          <w:numId w:val="139"/>
        </w:numPr>
        <w:rPr>
          <w:rFonts w:ascii="Arial" w:cs="Arial" w:eastAsia="Arial" w:hAnsi="Arial"/>
          <w:sz w:val="21"/>
          <w:szCs w:val="21"/>
          <w:color w:val="auto"/>
          <w:vertAlign w:val="superscript"/>
        </w:rPr>
      </w:pPr>
      <w:r>
        <w:rPr>
          <w:rFonts w:ascii="Arial" w:cs="Arial" w:eastAsia="Arial" w:hAnsi="Arial"/>
          <w:sz w:val="16"/>
          <w:szCs w:val="16"/>
          <w:color w:val="auto"/>
        </w:rPr>
        <w:t>All directors and executive officers as a group disclaim beneficial ownership of a total of 652,221 shares.</w:t>
      </w:r>
    </w:p>
    <w:p>
      <w:pPr>
        <w:spacing w:after="0" w:line="200" w:lineRule="exact"/>
        <w:rPr>
          <w:sz w:val="20"/>
          <w:szCs w:val="20"/>
          <w:color w:val="auto"/>
        </w:rPr>
      </w:pPr>
    </w:p>
    <w:p>
      <w:pPr>
        <w:spacing w:after="0" w:line="259" w:lineRule="exact"/>
        <w:rPr>
          <w:sz w:val="20"/>
          <w:szCs w:val="20"/>
          <w:color w:val="auto"/>
        </w:rPr>
      </w:pPr>
    </w:p>
    <w:p>
      <w:pPr>
        <w:ind w:left="640" w:hanging="614"/>
        <w:spacing w:after="0"/>
        <w:tabs>
          <w:tab w:leader="none" w:pos="640" w:val="left"/>
        </w:tabs>
        <w:numPr>
          <w:ilvl w:val="0"/>
          <w:numId w:val="140"/>
        </w:numPr>
        <w:rPr>
          <w:rFonts w:ascii="Arial" w:cs="Arial" w:eastAsia="Arial" w:hAnsi="Arial"/>
          <w:sz w:val="20"/>
          <w:szCs w:val="20"/>
          <w:b w:val="1"/>
          <w:bCs w:val="1"/>
          <w:color w:val="auto"/>
        </w:rPr>
      </w:pPr>
      <w:r>
        <w:rPr>
          <w:rFonts w:ascii="Arial" w:cs="Arial" w:eastAsia="Arial" w:hAnsi="Arial"/>
          <w:sz w:val="16"/>
          <w:szCs w:val="16"/>
          <w:color w:val="6D6E71"/>
        </w:rPr>
        <w:t>Beneficial Ownership of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194310</wp:posOffset>
            </wp:positionV>
            <wp:extent cx="7157720" cy="42545"/>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56" w:right="339" w:bottom="1440" w:gutter="0" w:footer="0" w:header="0"/>
        </w:sectPr>
      </w:pPr>
    </w:p>
    <w:bookmarkStart w:id="84" w:name="page85"/>
    <w:bookmarkEnd w:id="84"/>
    <w:p>
      <w:pPr>
        <w:spacing w:after="0"/>
        <w:rPr>
          <w:sz w:val="20"/>
          <w:szCs w:val="20"/>
          <w:color w:val="auto"/>
        </w:rPr>
      </w:pPr>
      <w:r>
        <w:rPr>
          <w:rFonts w:ascii="Arial" w:cs="Arial" w:eastAsia="Arial" w:hAnsi="Arial"/>
          <w:sz w:val="41"/>
          <w:szCs w:val="41"/>
          <w:b w:val="1"/>
          <w:bCs w:val="1"/>
          <w:color w:val="0067B3"/>
        </w:rPr>
        <w:t>Delinquent Section 16(a) Reports</w:t>
      </w:r>
    </w:p>
    <w:p>
      <w:pPr>
        <w:spacing w:after="0" w:line="169" w:lineRule="exact"/>
        <w:rPr>
          <w:sz w:val="20"/>
          <w:szCs w:val="20"/>
          <w:color w:val="auto"/>
        </w:rPr>
      </w:pPr>
    </w:p>
    <w:p>
      <w:pPr>
        <w:ind w:right="300"/>
        <w:spacing w:after="0" w:line="247" w:lineRule="auto"/>
        <w:rPr>
          <w:sz w:val="20"/>
          <w:szCs w:val="20"/>
          <w:color w:val="auto"/>
        </w:rPr>
      </w:pPr>
      <w:r>
        <w:rPr>
          <w:rFonts w:ascii="Arial" w:cs="Arial" w:eastAsia="Arial" w:hAnsi="Arial"/>
          <w:sz w:val="18"/>
          <w:szCs w:val="18"/>
          <w:color w:val="auto"/>
        </w:rPr>
        <w:t>Section 16(a) of the Exchange Act requires our executive officers, directors and the holders of more than 10% of our common stock to file with the SEC initial reports of ownership of our common stock and other equity securities on a Form 3 and reports of changes in such ownership on a Form 4 or Form 5. To our knowledge, based solely on a review of reports filed pursuant to Section 16(a) and written representations by the persons required to file these reports, all filing requirements of Section 16(a) were satisfied on a timely basis with respect to fiscal year 2025.</w:t>
      </w:r>
    </w:p>
    <w:p>
      <w:pPr>
        <w:spacing w:after="0" w:line="198" w:lineRule="exact"/>
        <w:rPr>
          <w:sz w:val="20"/>
          <w:szCs w:val="20"/>
          <w:color w:val="auto"/>
        </w:rPr>
      </w:pPr>
    </w:p>
    <w:p>
      <w:pPr>
        <w:spacing w:after="0"/>
        <w:rPr>
          <w:sz w:val="20"/>
          <w:szCs w:val="20"/>
          <w:color w:val="auto"/>
        </w:rPr>
      </w:pPr>
      <w:r>
        <w:rPr>
          <w:rFonts w:ascii="Arial" w:cs="Arial" w:eastAsia="Arial" w:hAnsi="Arial"/>
          <w:sz w:val="41"/>
          <w:szCs w:val="41"/>
          <w:b w:val="1"/>
          <w:bCs w:val="1"/>
          <w:color w:val="0067B3"/>
        </w:rPr>
        <w:t>Equity Award Program Description</w:t>
      </w:r>
    </w:p>
    <w:p>
      <w:pPr>
        <w:spacing w:after="0" w:line="169" w:lineRule="exact"/>
        <w:rPr>
          <w:sz w:val="20"/>
          <w:szCs w:val="20"/>
          <w:color w:val="auto"/>
        </w:rPr>
      </w:pPr>
    </w:p>
    <w:p>
      <w:pPr>
        <w:spacing w:after="0" w:line="241" w:lineRule="auto"/>
        <w:rPr>
          <w:sz w:val="20"/>
          <w:szCs w:val="20"/>
          <w:color w:val="auto"/>
        </w:rPr>
      </w:pPr>
      <w:r>
        <w:rPr>
          <w:rFonts w:ascii="Arial" w:cs="Arial" w:eastAsia="Arial" w:hAnsi="Arial"/>
          <w:sz w:val="18"/>
          <w:szCs w:val="18"/>
          <w:color w:val="auto"/>
        </w:rPr>
        <w:t>Our equity award program is a broad-based, long-term employee retention program that is intended to attract, retain and motivate our employees, executive officers, and directors and to align their interests with those of our shareholders. Our shareholders approved our 2020 Plan at our 2020 annual meeting of shareholders held on March 11, 2020. Under our 2020 Plan, we may grant options to purchase shares of our common stock, stock appreciation rights, restricted stock, restricted stock units and other stock-based awards to all employees, executive officers, directors, consultants, and advisors of ADI. All stock options have a maximum term of ten years, and for employees, generally vest in four equal installments on each of the first, second, third and fourth anniversaries of the date of grant, subject to full or partial acceleration upon death, disability or a change in control. The 2020 Plan does not permit us to grant options at exercise prices that are below the fair market value of our common stock on the date of grant. Generally, our employee time-based RSUs vest in four equal installments on each of the first, second, third and fourth anniversaries of the date of grant. Our Relative TSR PRSUs have a three-year performance period under which the number of shares of ADI common stock received following vesting, if any, will be based on ADI’s TSR performance measured against the median TSR of a comparator group of companies over the three-year period. The Financial Metric PRSUs that we granted during fiscal year 2024 have a three-year vesting period under which the number of shares of ADI common stock received following vesting, if any, will be based on ADI’s achievement of non-GAAP OPBT targets set by the Compensation and Talent Committee over a three-year cumulative performance period. RSUs and PRSUs granted under the 2020 Plan are subject to full or partial acceleration upon death, disability, or a change in control.</w:t>
      </w:r>
    </w:p>
    <w:p>
      <w:pPr>
        <w:spacing w:after="0" w:line="68" w:lineRule="exact"/>
        <w:rPr>
          <w:sz w:val="20"/>
          <w:szCs w:val="20"/>
          <w:color w:val="auto"/>
        </w:rPr>
      </w:pPr>
    </w:p>
    <w:p>
      <w:pPr>
        <w:ind w:right="20"/>
        <w:spacing w:after="0" w:line="243" w:lineRule="auto"/>
        <w:rPr>
          <w:sz w:val="20"/>
          <w:szCs w:val="20"/>
          <w:color w:val="auto"/>
        </w:rPr>
      </w:pPr>
      <w:r>
        <w:rPr>
          <w:rFonts w:ascii="Arial" w:cs="Arial" w:eastAsia="Arial" w:hAnsi="Arial"/>
          <w:sz w:val="18"/>
          <w:szCs w:val="18"/>
          <w:color w:val="auto"/>
        </w:rPr>
        <w:t>Under our 2006 Plan, we granted options to purchase shares of our common stock, stock appreciation rights, restricted stock, restricted stock units and other stock-based awards to all employees, executive officers, directors, consultants, and advisors of ADI. The 2006 Plan expired by its terms on March 12, 2021, but awards outstanding under the 2006 Plan will remain in effect. We have not granted any new awards under the 2006 Plan since our shareholders approved our 2020 Plan on March 11, 2020. All stock options have a term of ten years, and for employees, generally vest in four equal installments on each of the first, second, third and fourth anniversaries of the date of grant, subject to full or partial acceleration upon death, disability or a change in control. The 2006 Plan did not permit us to grant options at exercise prices that are below the fair market value of our common stock on the date of grant. Generally, our employee time-based RSUs vest in four equal installments on each of the first, second, third and fourth anniversaries of the date of grant. Our Relative TSR PRSUs have three -year performance periods under which the number of shares of ADI common stock received following vesting, if any, will be based on ADI’s TSR performance measured against the median TSR of a comparator group of companies over the three-year period. Our Financial Metric PRSUs have a three-year vesting period under which the number of shares of ADI common stock received following vesting, if any, will be based on ADI’s achievement of non-GAAP OPBT targets set by the Compensation and Talent Committee for one-year, two-year cumulative and three -year cumulative performance periods. RSUs granted under the 2006 Plan are subject to full or partial acceleration upon death, disability, or a change in control.</w:t>
      </w:r>
    </w:p>
    <w:p>
      <w:pPr>
        <w:spacing w:after="0" w:line="63" w:lineRule="exact"/>
        <w:rPr>
          <w:sz w:val="20"/>
          <w:szCs w:val="20"/>
          <w:color w:val="auto"/>
        </w:rPr>
      </w:pPr>
    </w:p>
    <w:p>
      <w:pPr>
        <w:ind w:right="60"/>
        <w:spacing w:after="0" w:line="244" w:lineRule="auto"/>
        <w:rPr>
          <w:sz w:val="20"/>
          <w:szCs w:val="20"/>
          <w:color w:val="auto"/>
        </w:rPr>
      </w:pPr>
      <w:r>
        <w:rPr>
          <w:rFonts w:ascii="Arial" w:cs="Arial" w:eastAsia="Arial" w:hAnsi="Arial"/>
          <w:sz w:val="18"/>
          <w:szCs w:val="18"/>
          <w:color w:val="auto"/>
        </w:rPr>
        <w:t>In connection with the Maxim acquisition, we assumed and amended and restated the Maxim Amended and Restated 1996 Stock Incentive Plan. We also assumed Maxim’s existing share reserve under the 1996 Plan. The 1996 Plan expired by its terms on August 11, 2024, but awards outstanding under the 1996 Plan will remain in effect. Under the 1996 Plan we were permitted to grant options to purchase shares of our common stock, restricted stock, restricted stock units and other stock-based awards. There are no stock options outstanding under the 1996 Plan. Employee time-based RSUs and RSAs previously granted by Maxim under the 1996 Plan continue to vest on the same schedule provided under the original Maxim awards. New RSUs typically will vest in four equal installments on each of the first, second, third and fourth anniversaries of the date of grant. Generally, stock options, RSUs, and RSAs under the 1996 Plan are subject to full acceleration upon death.</w:t>
      </w:r>
    </w:p>
    <w:p>
      <w:pPr>
        <w:spacing w:after="0" w:line="58" w:lineRule="exact"/>
        <w:rPr>
          <w:sz w:val="20"/>
          <w:szCs w:val="20"/>
          <w:color w:val="auto"/>
        </w:rPr>
      </w:pPr>
    </w:p>
    <w:p>
      <w:pPr>
        <w:spacing w:after="0" w:line="243" w:lineRule="auto"/>
        <w:rPr>
          <w:sz w:val="20"/>
          <w:szCs w:val="20"/>
          <w:color w:val="auto"/>
        </w:rPr>
      </w:pPr>
      <w:r>
        <w:rPr>
          <w:rFonts w:ascii="Arial" w:cs="Arial" w:eastAsia="Arial" w:hAnsi="Arial"/>
          <w:sz w:val="18"/>
          <w:szCs w:val="18"/>
          <w:color w:val="auto"/>
        </w:rPr>
        <w:t>Our shareholders approved our ESPP at our 2022 annual meeting of shareholders, which provides for 5,000,000 shares of our common stock to be available for purchase by eligible employees in accordance with the terms of the plan. The ESPP permits eligible employees to purchase shares of our common stock at a discount during consecutive six-month plan periods. Our Board of Directors, the Compensation and Talent Committee, or its delegate will determine the purchase price of the shares in a given plan period, including whether such purchase price will be determined based on the lesser of the closing price of our common stock on the first business day of the plan period and the last business day of the plan period, or will be based solely on the closing price of our common stock on the last day of the plan period; provided, however, that such purchase price shall be, in either case, (i) at least 85% of the applicable closing price in the case of a Section 423 offering under the Internal Revenue Code and (ii) at least 80% of the applicable closing price in the case of a nonqualified offering under the Internal Revenue Code. Employee contributions are made through payroll deductions or other contributions at a specified whole percentage of the participating employee’s compensation, subject to a minimum permitted percentage of 1% and a maximum permitted percentage of 20%. Our Board of Directors, the Compensation and Talent Committee or its delegate may, in its discretion, designate a higher minimum, and/or a lower maximum, contribution rate.</w:t>
      </w:r>
    </w:p>
    <w:p>
      <w:pPr>
        <w:spacing w:after="0" w:line="50" w:lineRule="exact"/>
        <w:rPr>
          <w:sz w:val="20"/>
          <w:szCs w:val="20"/>
          <w:color w:val="auto"/>
        </w:rPr>
      </w:pPr>
    </w:p>
    <w:p>
      <w:pPr>
        <w:ind w:right="200"/>
        <w:spacing w:after="0" w:line="261" w:lineRule="auto"/>
        <w:rPr>
          <w:sz w:val="20"/>
          <w:szCs w:val="20"/>
          <w:color w:val="auto"/>
        </w:rPr>
      </w:pPr>
      <w:r>
        <w:rPr>
          <w:rFonts w:ascii="Arial" w:cs="Arial" w:eastAsia="Arial" w:hAnsi="Arial"/>
          <w:sz w:val="18"/>
          <w:szCs w:val="18"/>
          <w:color w:val="auto"/>
        </w:rPr>
        <w:t>We can make equity award grants to executive officers and directors only from shareholder-approved plans after the Compensation and Talent Committee reviews and approves the grants. All members of the Compensation and Talent Committee are independent directors, as defined by the Nasdaq Rules.</w:t>
      </w:r>
    </w:p>
    <w:p>
      <w:pPr>
        <w:sectPr>
          <w:pgSz w:w="11900" w:h="16838" w:orient="portrait"/>
          <w:cols w:equalWidth="0" w:num="1">
            <w:col w:w="11240"/>
          </w:cols>
          <w:pgMar w:left="320" w:top="1356" w:right="339" w:bottom="576" w:gutter="0" w:footer="0" w:header="0"/>
        </w:sectPr>
      </w:pPr>
    </w:p>
    <w:p>
      <w:pPr>
        <w:spacing w:after="0" w:line="200" w:lineRule="exact"/>
        <w:rPr>
          <w:sz w:val="20"/>
          <w:szCs w:val="20"/>
          <w:color w:val="auto"/>
        </w:rPr>
      </w:pPr>
    </w:p>
    <w:p>
      <w:pPr>
        <w:spacing w:after="0" w:line="213" w:lineRule="exact"/>
        <w:rPr>
          <w:sz w:val="20"/>
          <w:szCs w:val="20"/>
          <w:color w:val="auto"/>
        </w:rPr>
      </w:pPr>
    </w:p>
    <w:p>
      <w:pPr>
        <w:ind w:left="8980"/>
        <w:spacing w:after="0"/>
        <w:tabs>
          <w:tab w:leader="none" w:pos="10980" w:val="left"/>
        </w:tabs>
        <w:rPr>
          <w:sz w:val="20"/>
          <w:szCs w:val="20"/>
          <w:color w:val="auto"/>
        </w:rPr>
      </w:pPr>
      <w:r>
        <w:rPr>
          <w:rFonts w:ascii="Arial" w:cs="Arial" w:eastAsia="Arial" w:hAnsi="Arial"/>
          <w:sz w:val="16"/>
          <w:szCs w:val="16"/>
          <w:color w:val="0067B3"/>
        </w:rPr>
        <w:t>2026 Proxy Statement</w:t>
      </w:r>
      <w:r>
        <w:rPr>
          <w:sz w:val="20"/>
          <w:szCs w:val="20"/>
          <w:color w:val="auto"/>
        </w:rPr>
        <w:tab/>
      </w:r>
      <w:r>
        <w:rPr>
          <w:rFonts w:ascii="Arial" w:cs="Arial" w:eastAsia="Arial" w:hAnsi="Arial"/>
          <w:sz w:val="19"/>
          <w:szCs w:val="19"/>
          <w:b w:val="1"/>
          <w:bCs w:val="1"/>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232410</wp:posOffset>
            </wp:positionV>
            <wp:extent cx="7157720" cy="42545"/>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56" w:right="339" w:bottom="576" w:gutter="0" w:footer="0" w:header="0"/>
          <w:type w:val="continuous"/>
        </w:sectPr>
      </w:pPr>
    </w:p>
    <w:bookmarkStart w:id="85" w:name="page86"/>
    <w:bookmarkEnd w:id="85"/>
    <w:p>
      <w:pPr>
        <w:ind w:right="1780"/>
        <w:spacing w:after="0" w:line="276" w:lineRule="auto"/>
        <w:rPr>
          <w:sz w:val="20"/>
          <w:szCs w:val="20"/>
          <w:color w:val="auto"/>
        </w:rPr>
      </w:pPr>
      <w:r>
        <w:rPr>
          <w:rFonts w:ascii="Arial" w:cs="Arial" w:eastAsia="Arial" w:hAnsi="Arial"/>
          <w:sz w:val="41"/>
          <w:szCs w:val="41"/>
          <w:b w:val="1"/>
          <w:bCs w:val="1"/>
          <w:color w:val="0067B3"/>
        </w:rPr>
        <w:t>Securities Authorized for Issuance under Equity Compensation Plans</w:t>
      </w:r>
    </w:p>
    <w:p>
      <w:pPr>
        <w:spacing w:after="0" w:line="2"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The following table provides information as of November 1, 2025 about the securities that may be issued under outstanding equity awards, or authorized for future issuance, as applicable, under our 2020 Plan and the ESPP, and the securities that may be issued under outstanding equity awards under our 2006 Plan and our 1996 Plan, which was assumed in connection with the Maxim acquisition.</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4860" w:type="dxa"/>
            <w:vAlign w:val="bottom"/>
            <w:shd w:val="clear" w:color="auto" w:fill="0067B3"/>
          </w:tcPr>
          <w:p>
            <w:pPr>
              <w:spacing w:after="0"/>
              <w:rPr>
                <w:sz w:val="21"/>
                <w:szCs w:val="21"/>
                <w:color w:val="auto"/>
              </w:rPr>
            </w:pPr>
          </w:p>
        </w:tc>
        <w:tc>
          <w:tcPr>
            <w:tcW w:w="1760" w:type="dxa"/>
            <w:vAlign w:val="bottom"/>
            <w:shd w:val="clear" w:color="auto" w:fill="0067B3"/>
          </w:tcPr>
          <w:p>
            <w:pPr>
              <w:jc w:val="right"/>
              <w:ind w:right="576"/>
              <w:spacing w:after="0"/>
              <w:rPr>
                <w:sz w:val="20"/>
                <w:szCs w:val="20"/>
                <w:color w:val="auto"/>
              </w:rPr>
            </w:pPr>
            <w:r>
              <w:rPr>
                <w:rFonts w:ascii="Arial" w:cs="Arial" w:eastAsia="Arial" w:hAnsi="Arial"/>
                <w:sz w:val="16"/>
                <w:szCs w:val="16"/>
                <w:b w:val="1"/>
                <w:bCs w:val="1"/>
                <w:color w:val="FFFFFF"/>
              </w:rPr>
              <w:t>(a)</w:t>
            </w:r>
          </w:p>
        </w:tc>
        <w:tc>
          <w:tcPr>
            <w:tcW w:w="480" w:type="dxa"/>
            <w:vAlign w:val="bottom"/>
            <w:shd w:val="clear" w:color="auto" w:fill="0067B3"/>
          </w:tcPr>
          <w:p>
            <w:pPr>
              <w:spacing w:after="0"/>
              <w:rPr>
                <w:sz w:val="21"/>
                <w:szCs w:val="21"/>
                <w:color w:val="auto"/>
              </w:rPr>
            </w:pPr>
          </w:p>
        </w:tc>
        <w:tc>
          <w:tcPr>
            <w:tcW w:w="1680" w:type="dxa"/>
            <w:vAlign w:val="bottom"/>
            <w:gridSpan w:val="2"/>
            <w:shd w:val="clear" w:color="auto" w:fill="0067B3"/>
          </w:tcPr>
          <w:p>
            <w:pPr>
              <w:jc w:val="center"/>
              <w:ind w:left="216"/>
              <w:spacing w:after="0"/>
              <w:rPr>
                <w:sz w:val="20"/>
                <w:szCs w:val="20"/>
                <w:color w:val="auto"/>
              </w:rPr>
            </w:pPr>
            <w:r>
              <w:rPr>
                <w:rFonts w:ascii="Arial" w:cs="Arial" w:eastAsia="Arial" w:hAnsi="Arial"/>
                <w:sz w:val="16"/>
                <w:szCs w:val="16"/>
                <w:b w:val="1"/>
                <w:bCs w:val="1"/>
                <w:color w:val="FFFFFF"/>
              </w:rPr>
              <w:t>(b)</w:t>
            </w:r>
          </w:p>
        </w:tc>
        <w:tc>
          <w:tcPr>
            <w:tcW w:w="420" w:type="dxa"/>
            <w:vAlign w:val="bottom"/>
            <w:shd w:val="clear" w:color="auto" w:fill="0067B3"/>
          </w:tcPr>
          <w:p>
            <w:pPr>
              <w:spacing w:after="0"/>
              <w:rPr>
                <w:sz w:val="21"/>
                <w:szCs w:val="21"/>
                <w:color w:val="auto"/>
              </w:rPr>
            </w:pPr>
          </w:p>
        </w:tc>
        <w:tc>
          <w:tcPr>
            <w:tcW w:w="1780" w:type="dxa"/>
            <w:vAlign w:val="bottom"/>
            <w:shd w:val="clear" w:color="auto" w:fill="0067B3"/>
          </w:tcPr>
          <w:p>
            <w:pPr>
              <w:jc w:val="right"/>
              <w:ind w:right="517"/>
              <w:spacing w:after="0"/>
              <w:rPr>
                <w:sz w:val="20"/>
                <w:szCs w:val="20"/>
                <w:color w:val="auto"/>
              </w:rPr>
            </w:pPr>
            <w:r>
              <w:rPr>
                <w:rFonts w:ascii="Arial" w:cs="Arial" w:eastAsia="Arial" w:hAnsi="Arial"/>
                <w:sz w:val="16"/>
                <w:szCs w:val="16"/>
                <w:b w:val="1"/>
                <w:bCs w:val="1"/>
                <w:color w:val="FFFFFF"/>
              </w:rPr>
              <w:t>(c)</w:t>
            </w:r>
          </w:p>
        </w:tc>
        <w:tc>
          <w:tcPr>
            <w:tcW w:w="260" w:type="dxa"/>
            <w:vAlign w:val="bottom"/>
            <w:shd w:val="clear" w:color="auto" w:fill="0067B3"/>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4860" w:type="dxa"/>
            <w:vAlign w:val="bottom"/>
            <w:shd w:val="clear" w:color="auto" w:fill="0067B3"/>
          </w:tcPr>
          <w:p>
            <w:pPr>
              <w:spacing w:after="0"/>
              <w:rPr>
                <w:sz w:val="19"/>
                <w:szCs w:val="19"/>
                <w:color w:val="auto"/>
              </w:rPr>
            </w:pPr>
          </w:p>
        </w:tc>
        <w:tc>
          <w:tcPr>
            <w:tcW w:w="1760" w:type="dxa"/>
            <w:vAlign w:val="bottom"/>
            <w:shd w:val="clear" w:color="auto" w:fill="0067B3"/>
          </w:tcPr>
          <w:p>
            <w:pPr>
              <w:spacing w:after="0"/>
              <w:rPr>
                <w:sz w:val="19"/>
                <w:szCs w:val="19"/>
                <w:color w:val="auto"/>
              </w:rPr>
            </w:pPr>
          </w:p>
        </w:tc>
        <w:tc>
          <w:tcPr>
            <w:tcW w:w="480" w:type="dxa"/>
            <w:vAlign w:val="bottom"/>
            <w:shd w:val="clear" w:color="auto" w:fill="0067B3"/>
          </w:tcPr>
          <w:p>
            <w:pPr>
              <w:spacing w:after="0"/>
              <w:rPr>
                <w:sz w:val="19"/>
                <w:szCs w:val="19"/>
                <w:color w:val="auto"/>
              </w:rPr>
            </w:pPr>
          </w:p>
        </w:tc>
        <w:tc>
          <w:tcPr>
            <w:tcW w:w="1040" w:type="dxa"/>
            <w:vAlign w:val="bottom"/>
            <w:shd w:val="clear" w:color="auto" w:fill="0067B3"/>
          </w:tcPr>
          <w:p>
            <w:pPr>
              <w:spacing w:after="0"/>
              <w:rPr>
                <w:sz w:val="19"/>
                <w:szCs w:val="19"/>
                <w:color w:val="auto"/>
              </w:rPr>
            </w:pPr>
          </w:p>
        </w:tc>
        <w:tc>
          <w:tcPr>
            <w:tcW w:w="640" w:type="dxa"/>
            <w:vAlign w:val="bottom"/>
            <w:shd w:val="clear" w:color="auto" w:fill="0067B3"/>
          </w:tcPr>
          <w:p>
            <w:pPr>
              <w:spacing w:after="0"/>
              <w:rPr>
                <w:sz w:val="19"/>
                <w:szCs w:val="19"/>
                <w:color w:val="auto"/>
              </w:rPr>
            </w:pPr>
          </w:p>
        </w:tc>
        <w:tc>
          <w:tcPr>
            <w:tcW w:w="420" w:type="dxa"/>
            <w:vAlign w:val="bottom"/>
            <w:shd w:val="clear" w:color="auto" w:fill="0067B3"/>
          </w:tcPr>
          <w:p>
            <w:pPr>
              <w:spacing w:after="0"/>
              <w:rPr>
                <w:sz w:val="19"/>
                <w:szCs w:val="19"/>
                <w:color w:val="auto"/>
              </w:rPr>
            </w:pPr>
          </w:p>
        </w:tc>
        <w:tc>
          <w:tcPr>
            <w:tcW w:w="2040" w:type="dxa"/>
            <w:vAlign w:val="bottom"/>
            <w:gridSpan w:val="2"/>
            <w:shd w:val="clear" w:color="auto" w:fill="0067B3"/>
          </w:tcPr>
          <w:p>
            <w:pPr>
              <w:jc w:val="right"/>
              <w:spacing w:after="0"/>
              <w:rPr>
                <w:sz w:val="20"/>
                <w:szCs w:val="20"/>
                <w:color w:val="auto"/>
              </w:rPr>
            </w:pPr>
            <w:r>
              <w:rPr>
                <w:rFonts w:ascii="Arial" w:cs="Arial" w:eastAsia="Arial" w:hAnsi="Arial"/>
                <w:sz w:val="16"/>
                <w:szCs w:val="16"/>
                <w:b w:val="1"/>
                <w:bCs w:val="1"/>
                <w:color w:val="FFFFFF"/>
              </w:rPr>
              <w:t>Number of Securities</w:t>
            </w:r>
          </w:p>
        </w:tc>
        <w:tc>
          <w:tcPr>
            <w:tcW w:w="0" w:type="dxa"/>
            <w:vAlign w:val="bottom"/>
          </w:tcPr>
          <w:p>
            <w:pPr>
              <w:spacing w:after="0"/>
              <w:rPr>
                <w:sz w:val="1"/>
                <w:szCs w:val="1"/>
                <w:color w:val="auto"/>
              </w:rPr>
            </w:pPr>
          </w:p>
        </w:tc>
      </w:tr>
      <w:tr>
        <w:trPr>
          <w:trHeight w:val="189"/>
        </w:trPr>
        <w:tc>
          <w:tcPr>
            <w:tcW w:w="4860" w:type="dxa"/>
            <w:vAlign w:val="bottom"/>
            <w:shd w:val="clear" w:color="auto" w:fill="0067B3"/>
          </w:tcPr>
          <w:p>
            <w:pPr>
              <w:spacing w:after="0"/>
              <w:rPr>
                <w:sz w:val="16"/>
                <w:szCs w:val="16"/>
                <w:color w:val="auto"/>
              </w:rPr>
            </w:pPr>
          </w:p>
        </w:tc>
        <w:tc>
          <w:tcPr>
            <w:tcW w:w="1760" w:type="dxa"/>
            <w:vAlign w:val="bottom"/>
            <w:shd w:val="clear" w:color="auto" w:fill="0067B3"/>
          </w:tcPr>
          <w:p>
            <w:pPr>
              <w:spacing w:after="0"/>
              <w:rPr>
                <w:sz w:val="16"/>
                <w:szCs w:val="16"/>
                <w:color w:val="auto"/>
              </w:rPr>
            </w:pPr>
          </w:p>
        </w:tc>
        <w:tc>
          <w:tcPr>
            <w:tcW w:w="480" w:type="dxa"/>
            <w:vAlign w:val="bottom"/>
            <w:shd w:val="clear" w:color="auto" w:fill="0067B3"/>
          </w:tcPr>
          <w:p>
            <w:pPr>
              <w:spacing w:after="0"/>
              <w:rPr>
                <w:sz w:val="16"/>
                <w:szCs w:val="16"/>
                <w:color w:val="auto"/>
              </w:rPr>
            </w:pPr>
          </w:p>
        </w:tc>
        <w:tc>
          <w:tcPr>
            <w:tcW w:w="1040" w:type="dxa"/>
            <w:vAlign w:val="bottom"/>
            <w:shd w:val="clear" w:color="auto" w:fill="0067B3"/>
          </w:tcPr>
          <w:p>
            <w:pPr>
              <w:spacing w:after="0"/>
              <w:rPr>
                <w:sz w:val="16"/>
                <w:szCs w:val="16"/>
                <w:color w:val="auto"/>
              </w:rPr>
            </w:pPr>
          </w:p>
        </w:tc>
        <w:tc>
          <w:tcPr>
            <w:tcW w:w="640" w:type="dxa"/>
            <w:vAlign w:val="bottom"/>
            <w:shd w:val="clear" w:color="auto" w:fill="0067B3"/>
          </w:tcPr>
          <w:p>
            <w:pPr>
              <w:spacing w:after="0"/>
              <w:rPr>
                <w:sz w:val="16"/>
                <w:szCs w:val="16"/>
                <w:color w:val="auto"/>
              </w:rPr>
            </w:pPr>
          </w:p>
        </w:tc>
        <w:tc>
          <w:tcPr>
            <w:tcW w:w="420" w:type="dxa"/>
            <w:vAlign w:val="bottom"/>
            <w:shd w:val="clear" w:color="auto" w:fill="0067B3"/>
          </w:tcPr>
          <w:p>
            <w:pPr>
              <w:spacing w:after="0"/>
              <w:rPr>
                <w:sz w:val="16"/>
                <w:szCs w:val="16"/>
                <w:color w:val="auto"/>
              </w:rPr>
            </w:pPr>
          </w:p>
        </w:tc>
        <w:tc>
          <w:tcPr>
            <w:tcW w:w="2040" w:type="dxa"/>
            <w:vAlign w:val="bottom"/>
            <w:gridSpan w:val="2"/>
            <w:shd w:val="clear" w:color="auto" w:fill="0067B3"/>
          </w:tcPr>
          <w:p>
            <w:pPr>
              <w:jc w:val="right"/>
              <w:spacing w:after="0"/>
              <w:rPr>
                <w:sz w:val="20"/>
                <w:szCs w:val="20"/>
                <w:color w:val="auto"/>
              </w:rPr>
            </w:pPr>
            <w:r>
              <w:rPr>
                <w:rFonts w:ascii="Arial" w:cs="Arial" w:eastAsia="Arial" w:hAnsi="Arial"/>
                <w:sz w:val="16"/>
                <w:szCs w:val="16"/>
                <w:b w:val="1"/>
                <w:bCs w:val="1"/>
                <w:color w:val="FFFFFF"/>
              </w:rPr>
              <w:t>Remaining Available for</w:t>
            </w:r>
          </w:p>
        </w:tc>
        <w:tc>
          <w:tcPr>
            <w:tcW w:w="0" w:type="dxa"/>
            <w:vAlign w:val="bottom"/>
          </w:tcPr>
          <w:p>
            <w:pPr>
              <w:spacing w:after="0"/>
              <w:rPr>
                <w:sz w:val="1"/>
                <w:szCs w:val="1"/>
                <w:color w:val="auto"/>
              </w:rPr>
            </w:pPr>
          </w:p>
        </w:tc>
      </w:tr>
      <w:tr>
        <w:trPr>
          <w:trHeight w:val="203"/>
        </w:trPr>
        <w:tc>
          <w:tcPr>
            <w:tcW w:w="4860" w:type="dxa"/>
            <w:vAlign w:val="bottom"/>
            <w:shd w:val="clear" w:color="auto" w:fill="0067B3"/>
          </w:tcPr>
          <w:p>
            <w:pPr>
              <w:spacing w:after="0"/>
              <w:rPr>
                <w:sz w:val="17"/>
                <w:szCs w:val="17"/>
                <w:color w:val="auto"/>
              </w:rPr>
            </w:pPr>
          </w:p>
        </w:tc>
        <w:tc>
          <w:tcPr>
            <w:tcW w:w="2240" w:type="dxa"/>
            <w:vAlign w:val="bottom"/>
            <w:gridSpan w:val="2"/>
            <w:vMerge w:val="restart"/>
            <w:shd w:val="clear" w:color="auto" w:fill="0067B3"/>
          </w:tcPr>
          <w:p>
            <w:pPr>
              <w:jc w:val="right"/>
              <w:ind w:right="202"/>
              <w:spacing w:after="0"/>
              <w:rPr>
                <w:sz w:val="20"/>
                <w:szCs w:val="20"/>
                <w:color w:val="auto"/>
              </w:rPr>
            </w:pPr>
            <w:r>
              <w:rPr>
                <w:rFonts w:ascii="Arial" w:cs="Arial" w:eastAsia="Arial" w:hAnsi="Arial"/>
                <w:sz w:val="16"/>
                <w:szCs w:val="16"/>
                <w:b w:val="1"/>
                <w:bCs w:val="1"/>
                <w:color w:val="FFFFFF"/>
              </w:rPr>
              <w:t>Number of Securities to</w:t>
            </w:r>
          </w:p>
        </w:tc>
        <w:tc>
          <w:tcPr>
            <w:tcW w:w="2100" w:type="dxa"/>
            <w:vAlign w:val="bottom"/>
            <w:gridSpan w:val="3"/>
            <w:vMerge w:val="restart"/>
            <w:shd w:val="clear" w:color="auto" w:fill="0067B3"/>
          </w:tcPr>
          <w:p>
            <w:pPr>
              <w:jc w:val="right"/>
              <w:ind w:right="142"/>
              <w:spacing w:after="0"/>
              <w:rPr>
                <w:sz w:val="20"/>
                <w:szCs w:val="20"/>
                <w:color w:val="auto"/>
              </w:rPr>
            </w:pPr>
            <w:r>
              <w:rPr>
                <w:rFonts w:ascii="Arial" w:cs="Arial" w:eastAsia="Arial" w:hAnsi="Arial"/>
                <w:sz w:val="16"/>
                <w:szCs w:val="16"/>
                <w:b w:val="1"/>
                <w:bCs w:val="1"/>
                <w:color w:val="FFFFFF"/>
              </w:rPr>
              <w:t>Weighted-Average</w:t>
            </w:r>
          </w:p>
        </w:tc>
        <w:tc>
          <w:tcPr>
            <w:tcW w:w="2040" w:type="dxa"/>
            <w:vAlign w:val="bottom"/>
            <w:gridSpan w:val="2"/>
            <w:shd w:val="clear" w:color="auto" w:fill="0067B3"/>
          </w:tcPr>
          <w:p>
            <w:pPr>
              <w:jc w:val="right"/>
              <w:spacing w:after="0"/>
              <w:rPr>
                <w:sz w:val="20"/>
                <w:szCs w:val="20"/>
                <w:color w:val="auto"/>
              </w:rPr>
            </w:pPr>
            <w:r>
              <w:rPr>
                <w:rFonts w:ascii="Arial" w:cs="Arial" w:eastAsia="Arial" w:hAnsi="Arial"/>
                <w:sz w:val="16"/>
                <w:szCs w:val="16"/>
                <w:b w:val="1"/>
                <w:bCs w:val="1"/>
                <w:color w:val="FFFFFF"/>
              </w:rPr>
              <w:t>Future Issuance Under</w:t>
            </w:r>
          </w:p>
        </w:tc>
        <w:tc>
          <w:tcPr>
            <w:tcW w:w="0" w:type="dxa"/>
            <w:vAlign w:val="bottom"/>
          </w:tcPr>
          <w:p>
            <w:pPr>
              <w:spacing w:after="0"/>
              <w:rPr>
                <w:sz w:val="1"/>
                <w:szCs w:val="1"/>
                <w:color w:val="auto"/>
              </w:rPr>
            </w:pPr>
          </w:p>
        </w:tc>
      </w:tr>
      <w:tr>
        <w:trPr>
          <w:trHeight w:val="189"/>
        </w:trPr>
        <w:tc>
          <w:tcPr>
            <w:tcW w:w="4860" w:type="dxa"/>
            <w:vAlign w:val="bottom"/>
            <w:shd w:val="clear" w:color="auto" w:fill="0067B3"/>
          </w:tcPr>
          <w:p>
            <w:pPr>
              <w:spacing w:after="0"/>
              <w:rPr>
                <w:sz w:val="16"/>
                <w:szCs w:val="16"/>
                <w:color w:val="auto"/>
              </w:rPr>
            </w:pPr>
          </w:p>
        </w:tc>
        <w:tc>
          <w:tcPr>
            <w:tcW w:w="2240" w:type="dxa"/>
            <w:vAlign w:val="bottom"/>
            <w:gridSpan w:val="2"/>
            <w:vMerge w:val="continue"/>
            <w:shd w:val="clear" w:color="auto" w:fill="0067B3"/>
          </w:tcPr>
          <w:p>
            <w:pPr>
              <w:spacing w:after="0"/>
              <w:rPr>
                <w:sz w:val="16"/>
                <w:szCs w:val="16"/>
                <w:color w:val="auto"/>
              </w:rPr>
            </w:pPr>
          </w:p>
        </w:tc>
        <w:tc>
          <w:tcPr>
            <w:tcW w:w="2100" w:type="dxa"/>
            <w:vAlign w:val="bottom"/>
            <w:gridSpan w:val="3"/>
            <w:vMerge w:val="continue"/>
            <w:shd w:val="clear" w:color="auto" w:fill="0067B3"/>
          </w:tcPr>
          <w:p>
            <w:pPr>
              <w:spacing w:after="0"/>
              <w:rPr>
                <w:sz w:val="16"/>
                <w:szCs w:val="16"/>
                <w:color w:val="auto"/>
              </w:rPr>
            </w:pPr>
          </w:p>
        </w:tc>
        <w:tc>
          <w:tcPr>
            <w:tcW w:w="2040" w:type="dxa"/>
            <w:vAlign w:val="bottom"/>
            <w:gridSpan w:val="2"/>
            <w:shd w:val="clear" w:color="auto" w:fill="0067B3"/>
          </w:tcPr>
          <w:p>
            <w:pPr>
              <w:jc w:val="right"/>
              <w:spacing w:after="0"/>
              <w:rPr>
                <w:sz w:val="20"/>
                <w:szCs w:val="20"/>
                <w:color w:val="auto"/>
              </w:rPr>
            </w:pPr>
            <w:r>
              <w:rPr>
                <w:rFonts w:ascii="Arial" w:cs="Arial" w:eastAsia="Arial" w:hAnsi="Arial"/>
                <w:sz w:val="16"/>
                <w:szCs w:val="16"/>
                <w:b w:val="1"/>
                <w:bCs w:val="1"/>
                <w:color w:val="FFFFFF"/>
              </w:rPr>
              <w:t>Equity Compensation</w:t>
            </w:r>
          </w:p>
        </w:tc>
        <w:tc>
          <w:tcPr>
            <w:tcW w:w="0" w:type="dxa"/>
            <w:vAlign w:val="bottom"/>
          </w:tcPr>
          <w:p>
            <w:pPr>
              <w:spacing w:after="0"/>
              <w:rPr>
                <w:sz w:val="1"/>
                <w:szCs w:val="1"/>
                <w:color w:val="auto"/>
              </w:rPr>
            </w:pPr>
          </w:p>
        </w:tc>
      </w:tr>
      <w:tr>
        <w:trPr>
          <w:trHeight w:val="189"/>
        </w:trPr>
        <w:tc>
          <w:tcPr>
            <w:tcW w:w="4860" w:type="dxa"/>
            <w:vAlign w:val="bottom"/>
            <w:shd w:val="clear" w:color="auto" w:fill="0067B3"/>
          </w:tcPr>
          <w:p>
            <w:pPr>
              <w:spacing w:after="0"/>
              <w:rPr>
                <w:sz w:val="16"/>
                <w:szCs w:val="16"/>
                <w:color w:val="auto"/>
              </w:rPr>
            </w:pPr>
          </w:p>
        </w:tc>
        <w:tc>
          <w:tcPr>
            <w:tcW w:w="2240" w:type="dxa"/>
            <w:vAlign w:val="bottom"/>
            <w:gridSpan w:val="2"/>
            <w:shd w:val="clear" w:color="auto" w:fill="0067B3"/>
          </w:tcPr>
          <w:p>
            <w:pPr>
              <w:jc w:val="right"/>
              <w:ind w:right="202"/>
              <w:spacing w:after="0"/>
              <w:rPr>
                <w:sz w:val="20"/>
                <w:szCs w:val="20"/>
                <w:color w:val="auto"/>
              </w:rPr>
            </w:pPr>
            <w:r>
              <w:rPr>
                <w:rFonts w:ascii="Arial" w:cs="Arial" w:eastAsia="Arial" w:hAnsi="Arial"/>
                <w:sz w:val="16"/>
                <w:szCs w:val="16"/>
                <w:b w:val="1"/>
                <w:bCs w:val="1"/>
                <w:color w:val="FFFFFF"/>
              </w:rPr>
              <w:t>be Issued Upon Exercise</w:t>
            </w:r>
          </w:p>
        </w:tc>
        <w:tc>
          <w:tcPr>
            <w:tcW w:w="2100" w:type="dxa"/>
            <w:vAlign w:val="bottom"/>
            <w:gridSpan w:val="3"/>
            <w:shd w:val="clear" w:color="auto" w:fill="0067B3"/>
          </w:tcPr>
          <w:p>
            <w:pPr>
              <w:jc w:val="right"/>
              <w:ind w:right="142"/>
              <w:spacing w:after="0"/>
              <w:rPr>
                <w:sz w:val="20"/>
                <w:szCs w:val="20"/>
                <w:color w:val="auto"/>
              </w:rPr>
            </w:pPr>
            <w:r>
              <w:rPr>
                <w:rFonts w:ascii="Arial" w:cs="Arial" w:eastAsia="Arial" w:hAnsi="Arial"/>
                <w:sz w:val="16"/>
                <w:szCs w:val="16"/>
                <w:b w:val="1"/>
                <w:bCs w:val="1"/>
                <w:color w:val="FFFFFF"/>
              </w:rPr>
              <w:t>Exercise Price of</w:t>
            </w:r>
          </w:p>
        </w:tc>
        <w:tc>
          <w:tcPr>
            <w:tcW w:w="2040" w:type="dxa"/>
            <w:vAlign w:val="bottom"/>
            <w:gridSpan w:val="2"/>
            <w:shd w:val="clear" w:color="auto" w:fill="0067B3"/>
          </w:tcPr>
          <w:p>
            <w:pPr>
              <w:jc w:val="right"/>
              <w:spacing w:after="0"/>
              <w:rPr>
                <w:sz w:val="20"/>
                <w:szCs w:val="20"/>
                <w:color w:val="auto"/>
              </w:rPr>
            </w:pPr>
            <w:r>
              <w:rPr>
                <w:rFonts w:ascii="Arial" w:cs="Arial" w:eastAsia="Arial" w:hAnsi="Arial"/>
                <w:sz w:val="16"/>
                <w:szCs w:val="16"/>
                <w:b w:val="1"/>
                <w:bCs w:val="1"/>
                <w:color w:val="FFFFFF"/>
              </w:rPr>
              <w:t>Plans (Excluding</w:t>
            </w:r>
          </w:p>
        </w:tc>
        <w:tc>
          <w:tcPr>
            <w:tcW w:w="0" w:type="dxa"/>
            <w:vAlign w:val="bottom"/>
          </w:tcPr>
          <w:p>
            <w:pPr>
              <w:spacing w:after="0"/>
              <w:rPr>
                <w:sz w:val="1"/>
                <w:szCs w:val="1"/>
                <w:color w:val="auto"/>
              </w:rPr>
            </w:pPr>
          </w:p>
        </w:tc>
      </w:tr>
      <w:tr>
        <w:trPr>
          <w:trHeight w:val="203"/>
        </w:trPr>
        <w:tc>
          <w:tcPr>
            <w:tcW w:w="4860" w:type="dxa"/>
            <w:vAlign w:val="bottom"/>
            <w:shd w:val="clear" w:color="auto" w:fill="0067B3"/>
          </w:tcPr>
          <w:p>
            <w:pPr>
              <w:spacing w:after="0"/>
              <w:rPr>
                <w:sz w:val="17"/>
                <w:szCs w:val="17"/>
                <w:color w:val="auto"/>
              </w:rPr>
            </w:pPr>
          </w:p>
        </w:tc>
        <w:tc>
          <w:tcPr>
            <w:tcW w:w="2240" w:type="dxa"/>
            <w:vAlign w:val="bottom"/>
            <w:gridSpan w:val="2"/>
            <w:shd w:val="clear" w:color="auto" w:fill="0067B3"/>
          </w:tcPr>
          <w:p>
            <w:pPr>
              <w:jc w:val="right"/>
              <w:ind w:right="202"/>
              <w:spacing w:after="0"/>
              <w:rPr>
                <w:sz w:val="20"/>
                <w:szCs w:val="20"/>
                <w:color w:val="auto"/>
              </w:rPr>
            </w:pPr>
            <w:r>
              <w:rPr>
                <w:rFonts w:ascii="Arial" w:cs="Arial" w:eastAsia="Arial" w:hAnsi="Arial"/>
                <w:sz w:val="16"/>
                <w:szCs w:val="16"/>
                <w:b w:val="1"/>
                <w:bCs w:val="1"/>
                <w:color w:val="FFFFFF"/>
              </w:rPr>
              <w:t>of Outstanding Options,</w:t>
            </w:r>
          </w:p>
        </w:tc>
        <w:tc>
          <w:tcPr>
            <w:tcW w:w="2100" w:type="dxa"/>
            <w:vAlign w:val="bottom"/>
            <w:gridSpan w:val="3"/>
            <w:shd w:val="clear" w:color="auto" w:fill="0067B3"/>
          </w:tcPr>
          <w:p>
            <w:pPr>
              <w:jc w:val="right"/>
              <w:ind w:right="142"/>
              <w:spacing w:after="0"/>
              <w:rPr>
                <w:sz w:val="20"/>
                <w:szCs w:val="20"/>
                <w:color w:val="auto"/>
              </w:rPr>
            </w:pPr>
            <w:r>
              <w:rPr>
                <w:rFonts w:ascii="Arial" w:cs="Arial" w:eastAsia="Arial" w:hAnsi="Arial"/>
                <w:sz w:val="16"/>
                <w:szCs w:val="16"/>
                <w:b w:val="1"/>
                <w:bCs w:val="1"/>
                <w:color w:val="FFFFFF"/>
              </w:rPr>
              <w:t>Outstanding Options,</w:t>
            </w:r>
          </w:p>
        </w:tc>
        <w:tc>
          <w:tcPr>
            <w:tcW w:w="2040" w:type="dxa"/>
            <w:vAlign w:val="bottom"/>
            <w:gridSpan w:val="2"/>
            <w:shd w:val="clear" w:color="auto" w:fill="0067B3"/>
          </w:tcPr>
          <w:p>
            <w:pPr>
              <w:jc w:val="right"/>
              <w:spacing w:after="0"/>
              <w:rPr>
                <w:sz w:val="20"/>
                <w:szCs w:val="20"/>
                <w:color w:val="auto"/>
              </w:rPr>
            </w:pPr>
            <w:r>
              <w:rPr>
                <w:rFonts w:ascii="Arial" w:cs="Arial" w:eastAsia="Arial" w:hAnsi="Arial"/>
                <w:sz w:val="16"/>
                <w:szCs w:val="16"/>
                <w:b w:val="1"/>
                <w:bCs w:val="1"/>
                <w:color w:val="FFFFFF"/>
              </w:rPr>
              <w:t>Securities Reflected</w:t>
            </w:r>
          </w:p>
        </w:tc>
        <w:tc>
          <w:tcPr>
            <w:tcW w:w="0" w:type="dxa"/>
            <w:vAlign w:val="bottom"/>
          </w:tcPr>
          <w:p>
            <w:pPr>
              <w:spacing w:after="0"/>
              <w:rPr>
                <w:sz w:val="1"/>
                <w:szCs w:val="1"/>
                <w:color w:val="auto"/>
              </w:rPr>
            </w:pPr>
          </w:p>
        </w:tc>
      </w:tr>
      <w:tr>
        <w:trPr>
          <w:trHeight w:val="230"/>
        </w:trPr>
        <w:tc>
          <w:tcPr>
            <w:tcW w:w="4860" w:type="dxa"/>
            <w:vAlign w:val="bottom"/>
            <w:shd w:val="clear" w:color="auto" w:fill="0067B3"/>
          </w:tcPr>
          <w:p>
            <w:pPr>
              <w:ind w:left="20"/>
              <w:spacing w:after="0"/>
              <w:rPr>
                <w:sz w:val="20"/>
                <w:szCs w:val="20"/>
                <w:color w:val="auto"/>
              </w:rPr>
            </w:pPr>
            <w:r>
              <w:rPr>
                <w:rFonts w:ascii="Arial" w:cs="Arial" w:eastAsia="Arial" w:hAnsi="Arial"/>
                <w:sz w:val="16"/>
                <w:szCs w:val="16"/>
                <w:b w:val="1"/>
                <w:bCs w:val="1"/>
                <w:color w:val="FFFFFF"/>
              </w:rPr>
              <w:t>Plan Category</w:t>
            </w:r>
          </w:p>
        </w:tc>
        <w:tc>
          <w:tcPr>
            <w:tcW w:w="2240" w:type="dxa"/>
            <w:vAlign w:val="bottom"/>
            <w:gridSpan w:val="2"/>
            <w:shd w:val="clear" w:color="auto" w:fill="0067B3"/>
          </w:tcPr>
          <w:p>
            <w:pPr>
              <w:jc w:val="right"/>
              <w:ind w:right="202"/>
              <w:spacing w:after="0"/>
              <w:rPr>
                <w:sz w:val="20"/>
                <w:szCs w:val="20"/>
                <w:color w:val="auto"/>
              </w:rPr>
            </w:pPr>
            <w:r>
              <w:rPr>
                <w:rFonts w:ascii="Arial" w:cs="Arial" w:eastAsia="Arial" w:hAnsi="Arial"/>
                <w:sz w:val="16"/>
                <w:szCs w:val="16"/>
                <w:b w:val="1"/>
                <w:bCs w:val="1"/>
                <w:color w:val="FFFFFF"/>
              </w:rPr>
              <w:t>Warrants, and Rights</w:t>
            </w:r>
          </w:p>
        </w:tc>
        <w:tc>
          <w:tcPr>
            <w:tcW w:w="2100" w:type="dxa"/>
            <w:vAlign w:val="bottom"/>
            <w:gridSpan w:val="3"/>
            <w:shd w:val="clear" w:color="auto" w:fill="0067B3"/>
          </w:tcPr>
          <w:p>
            <w:pPr>
              <w:jc w:val="right"/>
              <w:ind w:right="142"/>
              <w:spacing w:after="0"/>
              <w:rPr>
                <w:sz w:val="20"/>
                <w:szCs w:val="20"/>
                <w:color w:val="auto"/>
              </w:rPr>
            </w:pPr>
            <w:r>
              <w:rPr>
                <w:rFonts w:ascii="Arial" w:cs="Arial" w:eastAsia="Arial" w:hAnsi="Arial"/>
                <w:sz w:val="16"/>
                <w:szCs w:val="16"/>
                <w:b w:val="1"/>
                <w:bCs w:val="1"/>
                <w:color w:val="FFFFFF"/>
              </w:rPr>
              <w:t>Warrants, and Rights</w:t>
            </w:r>
          </w:p>
        </w:tc>
        <w:tc>
          <w:tcPr>
            <w:tcW w:w="2040" w:type="dxa"/>
            <w:vAlign w:val="bottom"/>
            <w:gridSpan w:val="2"/>
            <w:shd w:val="clear" w:color="auto" w:fill="0067B3"/>
          </w:tcPr>
          <w:p>
            <w:pPr>
              <w:jc w:val="right"/>
              <w:spacing w:after="0"/>
              <w:rPr>
                <w:sz w:val="20"/>
                <w:szCs w:val="20"/>
                <w:color w:val="auto"/>
              </w:rPr>
            </w:pPr>
            <w:r>
              <w:rPr>
                <w:rFonts w:ascii="Arial" w:cs="Arial" w:eastAsia="Arial" w:hAnsi="Arial"/>
                <w:sz w:val="16"/>
                <w:szCs w:val="16"/>
                <w:b w:val="1"/>
                <w:bCs w:val="1"/>
                <w:color w:val="FFFFFF"/>
              </w:rPr>
              <w:t>in Column (a))</w:t>
            </w:r>
          </w:p>
        </w:tc>
        <w:tc>
          <w:tcPr>
            <w:tcW w:w="0" w:type="dxa"/>
            <w:vAlign w:val="bottom"/>
          </w:tcPr>
          <w:p>
            <w:pPr>
              <w:spacing w:after="0"/>
              <w:rPr>
                <w:sz w:val="1"/>
                <w:szCs w:val="1"/>
                <w:color w:val="auto"/>
              </w:rPr>
            </w:pPr>
          </w:p>
        </w:tc>
      </w:tr>
      <w:tr>
        <w:trPr>
          <w:trHeight w:val="250"/>
        </w:trPr>
        <w:tc>
          <w:tcPr>
            <w:tcW w:w="4860" w:type="dxa"/>
            <w:vAlign w:val="bottom"/>
            <w:tcBorders>
              <w:bottom w:val="single" w:sz="8" w:color="E2E6F4"/>
            </w:tcBorders>
            <w:shd w:val="clear" w:color="auto" w:fill="E2E6F4"/>
          </w:tcPr>
          <w:p>
            <w:pPr>
              <w:ind w:left="20"/>
              <w:spacing w:after="0"/>
              <w:rPr>
                <w:sz w:val="20"/>
                <w:szCs w:val="20"/>
                <w:color w:val="auto"/>
              </w:rPr>
            </w:pPr>
            <w:r>
              <w:rPr>
                <w:rFonts w:ascii="Arial" w:cs="Arial" w:eastAsia="Arial" w:hAnsi="Arial"/>
                <w:sz w:val="18"/>
                <w:szCs w:val="18"/>
                <w:color w:val="auto"/>
              </w:rPr>
              <w:t>Equity compensation plans approved by shareholders</w:t>
            </w:r>
          </w:p>
        </w:tc>
        <w:tc>
          <w:tcPr>
            <w:tcW w:w="1760" w:type="dxa"/>
            <w:vAlign w:val="bottom"/>
            <w:tcBorders>
              <w:bottom w:val="single" w:sz="8" w:color="E2E6F4"/>
            </w:tcBorders>
            <w:shd w:val="clear" w:color="auto" w:fill="E2E6F4"/>
          </w:tcPr>
          <w:p>
            <w:pPr>
              <w:jc w:val="right"/>
              <w:ind w:right="16"/>
              <w:spacing w:after="0"/>
              <w:rPr>
                <w:sz w:val="20"/>
                <w:szCs w:val="20"/>
                <w:color w:val="auto"/>
              </w:rPr>
            </w:pPr>
            <w:r>
              <w:rPr>
                <w:rFonts w:ascii="Arial" w:cs="Arial" w:eastAsia="Arial" w:hAnsi="Arial"/>
                <w:sz w:val="18"/>
                <w:szCs w:val="18"/>
                <w:color w:val="auto"/>
              </w:rPr>
              <w:t>5,387,303</w:t>
            </w:r>
          </w:p>
        </w:tc>
        <w:tc>
          <w:tcPr>
            <w:tcW w:w="480" w:type="dxa"/>
            <w:vAlign w:val="bottom"/>
            <w:tcBorders>
              <w:bottom w:val="single" w:sz="8" w:color="E2E6F4"/>
            </w:tcBorders>
            <w:shd w:val="clear" w:color="auto" w:fill="E2E6F4"/>
          </w:tcPr>
          <w:p>
            <w:pPr>
              <w:jc w:val="right"/>
              <w:ind w:right="202"/>
              <w:spacing w:after="0"/>
              <w:rPr>
                <w:sz w:val="20"/>
                <w:szCs w:val="20"/>
                <w:color w:val="auto"/>
              </w:rPr>
            </w:pPr>
            <w:r>
              <w:rPr>
                <w:rFonts w:ascii="Arial" w:cs="Arial" w:eastAsia="Arial" w:hAnsi="Arial"/>
                <w:sz w:val="12"/>
                <w:szCs w:val="12"/>
                <w:color w:val="auto"/>
              </w:rPr>
              <w:t>(1)</w:t>
            </w:r>
          </w:p>
        </w:tc>
        <w:tc>
          <w:tcPr>
            <w:tcW w:w="1040" w:type="dxa"/>
            <w:vAlign w:val="bottom"/>
            <w:tcBorders>
              <w:bottom w:val="single" w:sz="8" w:color="E2E6F4"/>
            </w:tcBorders>
            <w:shd w:val="clear" w:color="auto" w:fill="E2E6F4"/>
          </w:tcPr>
          <w:p>
            <w:pPr>
              <w:jc w:val="center"/>
              <w:ind w:left="816"/>
              <w:spacing w:after="0"/>
              <w:rPr>
                <w:sz w:val="20"/>
                <w:szCs w:val="20"/>
                <w:color w:val="auto"/>
              </w:rPr>
            </w:pPr>
            <w:r>
              <w:rPr>
                <w:rFonts w:ascii="Arial" w:cs="Arial" w:eastAsia="Arial" w:hAnsi="Arial"/>
                <w:sz w:val="18"/>
                <w:szCs w:val="18"/>
                <w:color w:val="auto"/>
                <w:w w:val="99"/>
              </w:rPr>
              <w:t>$</w:t>
            </w:r>
          </w:p>
        </w:tc>
        <w:tc>
          <w:tcPr>
            <w:tcW w:w="640" w:type="dxa"/>
            <w:vAlign w:val="bottom"/>
            <w:tcBorders>
              <w:bottom w:val="single" w:sz="8" w:color="E2E6F4"/>
            </w:tcBorders>
            <w:shd w:val="clear" w:color="auto" w:fill="E2E6F4"/>
          </w:tcPr>
          <w:p>
            <w:pPr>
              <w:jc w:val="right"/>
              <w:ind w:right="10"/>
              <w:spacing w:after="0"/>
              <w:rPr>
                <w:sz w:val="20"/>
                <w:szCs w:val="20"/>
                <w:color w:val="auto"/>
              </w:rPr>
            </w:pPr>
            <w:r>
              <w:rPr>
                <w:rFonts w:ascii="Arial" w:cs="Arial" w:eastAsia="Arial" w:hAnsi="Arial"/>
                <w:sz w:val="18"/>
                <w:szCs w:val="18"/>
                <w:color w:val="auto"/>
                <w:w w:val="94"/>
              </w:rPr>
              <w:t>115.14</w:t>
            </w:r>
          </w:p>
        </w:tc>
        <w:tc>
          <w:tcPr>
            <w:tcW w:w="420" w:type="dxa"/>
            <w:vAlign w:val="bottom"/>
            <w:tcBorders>
              <w:bottom w:val="single" w:sz="8" w:color="E2E6F4"/>
            </w:tcBorders>
            <w:shd w:val="clear" w:color="auto" w:fill="E2E6F4"/>
          </w:tcPr>
          <w:p>
            <w:pPr>
              <w:jc w:val="right"/>
              <w:ind w:right="142"/>
              <w:spacing w:after="0"/>
              <w:rPr>
                <w:sz w:val="20"/>
                <w:szCs w:val="20"/>
                <w:color w:val="auto"/>
              </w:rPr>
            </w:pPr>
            <w:r>
              <w:rPr>
                <w:rFonts w:ascii="Arial" w:cs="Arial" w:eastAsia="Arial" w:hAnsi="Arial"/>
                <w:sz w:val="12"/>
                <w:szCs w:val="12"/>
                <w:color w:val="auto"/>
              </w:rPr>
              <w:t>(2)</w:t>
            </w:r>
          </w:p>
        </w:tc>
        <w:tc>
          <w:tcPr>
            <w:tcW w:w="1780" w:type="dxa"/>
            <w:vAlign w:val="bottom"/>
            <w:tcBorders>
              <w:bottom w:val="single" w:sz="8" w:color="E2E6F4"/>
            </w:tcBorders>
            <w:shd w:val="clear" w:color="auto" w:fill="E2E6F4"/>
          </w:tcPr>
          <w:p>
            <w:pPr>
              <w:jc w:val="right"/>
              <w:spacing w:after="0"/>
              <w:rPr>
                <w:sz w:val="20"/>
                <w:szCs w:val="20"/>
                <w:color w:val="auto"/>
              </w:rPr>
            </w:pPr>
            <w:r>
              <w:rPr>
                <w:rFonts w:ascii="Arial" w:cs="Arial" w:eastAsia="Arial" w:hAnsi="Arial"/>
                <w:sz w:val="18"/>
                <w:szCs w:val="18"/>
                <w:color w:val="auto"/>
              </w:rPr>
              <w:t>15,272,619</w:t>
            </w:r>
          </w:p>
        </w:tc>
        <w:tc>
          <w:tcPr>
            <w:tcW w:w="260" w:type="dxa"/>
            <w:vAlign w:val="bottom"/>
            <w:tcBorders>
              <w:bottom w:val="single" w:sz="8" w:color="E2E6F4"/>
            </w:tcBorders>
            <w:shd w:val="clear" w:color="auto" w:fill="E2E6F4"/>
          </w:tcPr>
          <w:p>
            <w:pPr>
              <w:jc w:val="right"/>
              <w:spacing w:after="0"/>
              <w:rPr>
                <w:sz w:val="20"/>
                <w:szCs w:val="20"/>
                <w:color w:val="auto"/>
              </w:rPr>
            </w:pPr>
            <w:r>
              <w:rPr>
                <w:rFonts w:ascii="Arial" w:cs="Arial" w:eastAsia="Arial" w:hAnsi="Arial"/>
                <w:sz w:val="12"/>
                <w:szCs w:val="12"/>
                <w:color w:val="auto"/>
              </w:rPr>
              <w:t>(3)</w:t>
            </w:r>
          </w:p>
        </w:tc>
        <w:tc>
          <w:tcPr>
            <w:tcW w:w="0" w:type="dxa"/>
            <w:vAlign w:val="bottom"/>
          </w:tcPr>
          <w:p>
            <w:pPr>
              <w:spacing w:after="0"/>
              <w:rPr>
                <w:sz w:val="1"/>
                <w:szCs w:val="1"/>
                <w:color w:val="auto"/>
              </w:rPr>
            </w:pPr>
          </w:p>
        </w:tc>
      </w:tr>
      <w:tr>
        <w:trPr>
          <w:trHeight w:val="270"/>
        </w:trPr>
        <w:tc>
          <w:tcPr>
            <w:tcW w:w="4860" w:type="dxa"/>
            <w:vAlign w:val="bottom"/>
          </w:tcPr>
          <w:p>
            <w:pPr>
              <w:ind w:left="20"/>
              <w:spacing w:after="0"/>
              <w:rPr>
                <w:sz w:val="20"/>
                <w:szCs w:val="20"/>
                <w:color w:val="auto"/>
              </w:rPr>
            </w:pPr>
            <w:r>
              <w:rPr>
                <w:rFonts w:ascii="Arial" w:cs="Arial" w:eastAsia="Arial" w:hAnsi="Arial"/>
                <w:sz w:val="18"/>
                <w:szCs w:val="18"/>
                <w:color w:val="auto"/>
              </w:rPr>
              <w:t>Equity compensation plans not approved by shareholders</w:t>
            </w:r>
            <w:r>
              <w:rPr>
                <w:rFonts w:ascii="Arial" w:cs="Arial" w:eastAsia="Arial" w:hAnsi="Arial"/>
                <w:sz w:val="23"/>
                <w:szCs w:val="23"/>
                <w:color w:val="auto"/>
                <w:vertAlign w:val="superscript"/>
              </w:rPr>
              <w:t>(4)</w:t>
            </w:r>
          </w:p>
        </w:tc>
        <w:tc>
          <w:tcPr>
            <w:tcW w:w="1760" w:type="dxa"/>
            <w:vAlign w:val="bottom"/>
          </w:tcPr>
          <w:p>
            <w:pPr>
              <w:jc w:val="right"/>
              <w:ind w:right="16"/>
              <w:spacing w:after="0"/>
              <w:rPr>
                <w:sz w:val="20"/>
                <w:szCs w:val="20"/>
                <w:color w:val="auto"/>
              </w:rPr>
            </w:pPr>
            <w:r>
              <w:rPr>
                <w:rFonts w:ascii="Arial" w:cs="Arial" w:eastAsia="Arial" w:hAnsi="Arial"/>
                <w:sz w:val="18"/>
                <w:szCs w:val="18"/>
                <w:color w:val="auto"/>
              </w:rPr>
              <w:t>236,343</w:t>
            </w:r>
          </w:p>
        </w:tc>
        <w:tc>
          <w:tcPr>
            <w:tcW w:w="480" w:type="dxa"/>
            <w:vAlign w:val="bottom"/>
          </w:tcPr>
          <w:p>
            <w:pPr>
              <w:jc w:val="right"/>
              <w:ind w:right="202"/>
              <w:spacing w:after="0"/>
              <w:rPr>
                <w:sz w:val="20"/>
                <w:szCs w:val="20"/>
                <w:color w:val="auto"/>
              </w:rPr>
            </w:pPr>
            <w:r>
              <w:rPr>
                <w:rFonts w:ascii="Arial" w:cs="Arial" w:eastAsia="Arial" w:hAnsi="Arial"/>
                <w:sz w:val="12"/>
                <w:szCs w:val="12"/>
                <w:color w:val="auto"/>
              </w:rPr>
              <w:t>(4)</w:t>
            </w:r>
          </w:p>
        </w:tc>
        <w:tc>
          <w:tcPr>
            <w:tcW w:w="1040" w:type="dxa"/>
            <w:vAlign w:val="bottom"/>
          </w:tcPr>
          <w:p>
            <w:pPr>
              <w:jc w:val="center"/>
              <w:ind w:left="816"/>
              <w:spacing w:after="0"/>
              <w:rPr>
                <w:sz w:val="20"/>
                <w:szCs w:val="20"/>
                <w:color w:val="auto"/>
              </w:rPr>
            </w:pPr>
            <w:r>
              <w:rPr>
                <w:rFonts w:ascii="Arial" w:cs="Arial" w:eastAsia="Arial" w:hAnsi="Arial"/>
                <w:sz w:val="18"/>
                <w:szCs w:val="18"/>
                <w:color w:val="auto"/>
                <w:w w:val="99"/>
              </w:rPr>
              <w:t>$</w:t>
            </w:r>
          </w:p>
        </w:tc>
        <w:tc>
          <w:tcPr>
            <w:tcW w:w="6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23"/>
                <w:szCs w:val="23"/>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4860" w:type="dxa"/>
            <w:vAlign w:val="bottom"/>
            <w:tcBorders>
              <w:bottom w:val="single" w:sz="8" w:color="E2E6F4"/>
            </w:tcBorders>
            <w:shd w:val="clear" w:color="auto" w:fill="E2E6F4"/>
          </w:tcPr>
          <w:p>
            <w:pPr>
              <w:ind w:left="20"/>
              <w:spacing w:after="0"/>
              <w:rPr>
                <w:sz w:val="20"/>
                <w:szCs w:val="20"/>
                <w:color w:val="auto"/>
              </w:rPr>
            </w:pPr>
            <w:r>
              <w:rPr>
                <w:rFonts w:ascii="Arial" w:cs="Arial" w:eastAsia="Arial" w:hAnsi="Arial"/>
                <w:sz w:val="18"/>
                <w:szCs w:val="18"/>
                <w:color w:val="auto"/>
              </w:rPr>
              <w:t>Total</w:t>
            </w:r>
          </w:p>
        </w:tc>
        <w:tc>
          <w:tcPr>
            <w:tcW w:w="1760" w:type="dxa"/>
            <w:vAlign w:val="bottom"/>
            <w:tcBorders>
              <w:bottom w:val="single" w:sz="8" w:color="E2E6F4"/>
            </w:tcBorders>
            <w:shd w:val="clear" w:color="auto" w:fill="E2E6F4"/>
          </w:tcPr>
          <w:p>
            <w:pPr>
              <w:jc w:val="right"/>
              <w:ind w:right="16"/>
              <w:spacing w:after="0"/>
              <w:rPr>
                <w:sz w:val="20"/>
                <w:szCs w:val="20"/>
                <w:color w:val="auto"/>
              </w:rPr>
            </w:pPr>
            <w:r>
              <w:rPr>
                <w:rFonts w:ascii="Arial" w:cs="Arial" w:eastAsia="Arial" w:hAnsi="Arial"/>
                <w:sz w:val="18"/>
                <w:szCs w:val="18"/>
                <w:color w:val="auto"/>
              </w:rPr>
              <w:t>5,623,646</w:t>
            </w:r>
          </w:p>
        </w:tc>
        <w:tc>
          <w:tcPr>
            <w:tcW w:w="480" w:type="dxa"/>
            <w:vAlign w:val="bottom"/>
            <w:tcBorders>
              <w:bottom w:val="single" w:sz="8" w:color="E2E6F4"/>
            </w:tcBorders>
            <w:shd w:val="clear" w:color="auto" w:fill="E2E6F4"/>
          </w:tcPr>
          <w:p>
            <w:pPr>
              <w:spacing w:after="0"/>
              <w:rPr>
                <w:sz w:val="21"/>
                <w:szCs w:val="21"/>
                <w:color w:val="auto"/>
              </w:rPr>
            </w:pPr>
          </w:p>
        </w:tc>
        <w:tc>
          <w:tcPr>
            <w:tcW w:w="1040" w:type="dxa"/>
            <w:vAlign w:val="bottom"/>
            <w:tcBorders>
              <w:bottom w:val="single" w:sz="8" w:color="E2E6F4"/>
            </w:tcBorders>
            <w:shd w:val="clear" w:color="auto" w:fill="E2E6F4"/>
          </w:tcPr>
          <w:p>
            <w:pPr>
              <w:jc w:val="center"/>
              <w:ind w:left="816"/>
              <w:spacing w:after="0"/>
              <w:rPr>
                <w:sz w:val="20"/>
                <w:szCs w:val="20"/>
                <w:color w:val="auto"/>
              </w:rPr>
            </w:pPr>
            <w:r>
              <w:rPr>
                <w:rFonts w:ascii="Arial" w:cs="Arial" w:eastAsia="Arial" w:hAnsi="Arial"/>
                <w:sz w:val="18"/>
                <w:szCs w:val="18"/>
                <w:color w:val="auto"/>
                <w:w w:val="99"/>
              </w:rPr>
              <w:t>$</w:t>
            </w:r>
          </w:p>
        </w:tc>
        <w:tc>
          <w:tcPr>
            <w:tcW w:w="640" w:type="dxa"/>
            <w:vAlign w:val="bottom"/>
            <w:tcBorders>
              <w:bottom w:val="single" w:sz="8" w:color="E2E6F4"/>
            </w:tcBorders>
            <w:shd w:val="clear" w:color="auto" w:fill="E2E6F4"/>
          </w:tcPr>
          <w:p>
            <w:pPr>
              <w:jc w:val="right"/>
              <w:ind w:right="10"/>
              <w:spacing w:after="0"/>
              <w:rPr>
                <w:sz w:val="20"/>
                <w:szCs w:val="20"/>
                <w:color w:val="auto"/>
              </w:rPr>
            </w:pPr>
            <w:r>
              <w:rPr>
                <w:rFonts w:ascii="Arial" w:cs="Arial" w:eastAsia="Arial" w:hAnsi="Arial"/>
                <w:sz w:val="18"/>
                <w:szCs w:val="18"/>
                <w:color w:val="auto"/>
                <w:w w:val="94"/>
              </w:rPr>
              <w:t>115.14</w:t>
            </w:r>
          </w:p>
        </w:tc>
        <w:tc>
          <w:tcPr>
            <w:tcW w:w="420" w:type="dxa"/>
            <w:vAlign w:val="bottom"/>
            <w:tcBorders>
              <w:bottom w:val="single" w:sz="8" w:color="E2E6F4"/>
            </w:tcBorders>
            <w:shd w:val="clear" w:color="auto" w:fill="E2E6F4"/>
          </w:tcPr>
          <w:p>
            <w:pPr>
              <w:jc w:val="right"/>
              <w:ind w:right="142"/>
              <w:spacing w:after="0"/>
              <w:rPr>
                <w:sz w:val="20"/>
                <w:szCs w:val="20"/>
                <w:color w:val="auto"/>
              </w:rPr>
            </w:pPr>
            <w:r>
              <w:rPr>
                <w:rFonts w:ascii="Arial" w:cs="Arial" w:eastAsia="Arial" w:hAnsi="Arial"/>
                <w:sz w:val="12"/>
                <w:szCs w:val="12"/>
                <w:color w:val="auto"/>
              </w:rPr>
              <w:t>(2)</w:t>
            </w:r>
          </w:p>
        </w:tc>
        <w:tc>
          <w:tcPr>
            <w:tcW w:w="1780" w:type="dxa"/>
            <w:vAlign w:val="bottom"/>
            <w:tcBorders>
              <w:bottom w:val="single" w:sz="8" w:color="E2E6F4"/>
            </w:tcBorders>
            <w:shd w:val="clear" w:color="auto" w:fill="E2E6F4"/>
          </w:tcPr>
          <w:p>
            <w:pPr>
              <w:jc w:val="right"/>
              <w:spacing w:after="0"/>
              <w:rPr>
                <w:sz w:val="20"/>
                <w:szCs w:val="20"/>
                <w:color w:val="auto"/>
              </w:rPr>
            </w:pPr>
            <w:r>
              <w:rPr>
                <w:rFonts w:ascii="Arial" w:cs="Arial" w:eastAsia="Arial" w:hAnsi="Arial"/>
                <w:sz w:val="18"/>
                <w:szCs w:val="18"/>
                <w:color w:val="auto"/>
              </w:rPr>
              <w:t>15,272,619</w:t>
            </w:r>
          </w:p>
        </w:tc>
        <w:tc>
          <w:tcPr>
            <w:tcW w:w="260" w:type="dxa"/>
            <w:vAlign w:val="bottom"/>
            <w:tcBorders>
              <w:bottom w:val="single" w:sz="8" w:color="E2E6F4"/>
            </w:tcBorders>
            <w:shd w:val="clear" w:color="auto" w:fill="E2E6F4"/>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860" w:type="dxa"/>
            <w:vAlign w:val="bottom"/>
            <w:shd w:val="clear" w:color="auto" w:fill="0067B3"/>
          </w:tcPr>
          <w:p>
            <w:pPr>
              <w:spacing w:after="0" w:line="20" w:lineRule="exact"/>
              <w:rPr>
                <w:sz w:val="1"/>
                <w:szCs w:val="1"/>
                <w:color w:val="auto"/>
              </w:rPr>
            </w:pPr>
          </w:p>
        </w:tc>
        <w:tc>
          <w:tcPr>
            <w:tcW w:w="1760" w:type="dxa"/>
            <w:vAlign w:val="bottom"/>
            <w:shd w:val="clear" w:color="auto" w:fill="0067B3"/>
          </w:tcPr>
          <w:p>
            <w:pPr>
              <w:spacing w:after="0" w:line="20" w:lineRule="exact"/>
              <w:rPr>
                <w:sz w:val="1"/>
                <w:szCs w:val="1"/>
                <w:color w:val="auto"/>
              </w:rPr>
            </w:pPr>
          </w:p>
        </w:tc>
        <w:tc>
          <w:tcPr>
            <w:tcW w:w="480" w:type="dxa"/>
            <w:vAlign w:val="bottom"/>
            <w:shd w:val="clear" w:color="auto" w:fill="0067B3"/>
          </w:tcPr>
          <w:p>
            <w:pPr>
              <w:spacing w:after="0" w:line="20" w:lineRule="exact"/>
              <w:rPr>
                <w:sz w:val="1"/>
                <w:szCs w:val="1"/>
                <w:color w:val="auto"/>
              </w:rPr>
            </w:pPr>
          </w:p>
        </w:tc>
        <w:tc>
          <w:tcPr>
            <w:tcW w:w="1040" w:type="dxa"/>
            <w:vAlign w:val="bottom"/>
            <w:shd w:val="clear" w:color="auto" w:fill="0067B3"/>
          </w:tcPr>
          <w:p>
            <w:pPr>
              <w:spacing w:after="0" w:line="20" w:lineRule="exact"/>
              <w:rPr>
                <w:sz w:val="1"/>
                <w:szCs w:val="1"/>
                <w:color w:val="auto"/>
              </w:rPr>
            </w:pPr>
          </w:p>
        </w:tc>
        <w:tc>
          <w:tcPr>
            <w:tcW w:w="640" w:type="dxa"/>
            <w:vAlign w:val="bottom"/>
            <w:shd w:val="clear" w:color="auto" w:fill="0067B3"/>
          </w:tcPr>
          <w:p>
            <w:pPr>
              <w:spacing w:after="0" w:line="20" w:lineRule="exact"/>
              <w:rPr>
                <w:sz w:val="1"/>
                <w:szCs w:val="1"/>
                <w:color w:val="auto"/>
              </w:rPr>
            </w:pPr>
          </w:p>
        </w:tc>
        <w:tc>
          <w:tcPr>
            <w:tcW w:w="420" w:type="dxa"/>
            <w:vAlign w:val="bottom"/>
            <w:shd w:val="clear" w:color="auto" w:fill="0067B3"/>
          </w:tcPr>
          <w:p>
            <w:pPr>
              <w:spacing w:after="0" w:line="20" w:lineRule="exact"/>
              <w:rPr>
                <w:sz w:val="1"/>
                <w:szCs w:val="1"/>
                <w:color w:val="auto"/>
              </w:rPr>
            </w:pPr>
          </w:p>
        </w:tc>
        <w:tc>
          <w:tcPr>
            <w:tcW w:w="1780" w:type="dxa"/>
            <w:vAlign w:val="bottom"/>
            <w:shd w:val="clear" w:color="auto" w:fill="0067B3"/>
          </w:tcPr>
          <w:p>
            <w:pPr>
              <w:spacing w:after="0" w:line="20" w:lineRule="exact"/>
              <w:rPr>
                <w:sz w:val="1"/>
                <w:szCs w:val="1"/>
                <w:color w:val="auto"/>
              </w:rPr>
            </w:pPr>
          </w:p>
        </w:tc>
        <w:tc>
          <w:tcPr>
            <w:tcW w:w="260" w:type="dxa"/>
            <w:vAlign w:val="bottom"/>
            <w:shd w:val="clear" w:color="auto" w:fill="0067B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3091180</wp:posOffset>
            </wp:positionH>
            <wp:positionV relativeFrom="paragraph">
              <wp:posOffset>-1430655</wp:posOffset>
            </wp:positionV>
            <wp:extent cx="4046220" cy="8255"/>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5">
                      <a:extLst>
                        <a:ext uri="{28A0092B-C50C-407E-A947-70E740481C1C}"/>
                      </a:extLst>
                    </a:blip>
                    <a:srcRect/>
                    <a:stretch>
                      <a:fillRect/>
                    </a:stretch>
                  </pic:blipFill>
                  <pic:spPr bwMode="auto">
                    <a:xfrm>
                      <a:off x="0" y="0"/>
                      <a:ext cx="4046220" cy="8255"/>
                    </a:xfrm>
                    <a:prstGeom prst="rect">
                      <a:avLst/>
                    </a:prstGeom>
                    <a:noFill/>
                  </pic:spPr>
                </pic:pic>
              </a:graphicData>
            </a:graphic>
          </wp:anchor>
        </w:drawing>
      </w:r>
    </w:p>
    <w:p>
      <w:pPr>
        <w:spacing w:after="0" w:line="168" w:lineRule="exact"/>
        <w:rPr>
          <w:sz w:val="20"/>
          <w:szCs w:val="20"/>
          <w:color w:val="auto"/>
        </w:rPr>
      </w:pPr>
    </w:p>
    <w:p>
      <w:pPr>
        <w:ind w:left="200" w:right="780" w:hanging="192"/>
        <w:spacing w:after="0" w:line="235" w:lineRule="auto"/>
        <w:tabs>
          <w:tab w:leader="none" w:pos="215" w:val="left"/>
        </w:tabs>
        <w:numPr>
          <w:ilvl w:val="0"/>
          <w:numId w:val="141"/>
        </w:numPr>
        <w:rPr>
          <w:rFonts w:ascii="Arial" w:cs="Arial" w:eastAsia="Arial" w:hAnsi="Arial"/>
          <w:sz w:val="21"/>
          <w:szCs w:val="21"/>
          <w:color w:val="auto"/>
          <w:vertAlign w:val="superscript"/>
        </w:rPr>
      </w:pPr>
      <w:r>
        <w:rPr>
          <w:rFonts w:ascii="Arial" w:cs="Arial" w:eastAsia="Arial" w:hAnsi="Arial"/>
          <w:sz w:val="16"/>
          <w:szCs w:val="16"/>
          <w:color w:val="auto"/>
        </w:rPr>
        <w:t>Includes (i) 504,866 shares for awards under our 2006 Plan and (ii) 4,882,437 shares for awards under our 2020 Plan that were outstanding on November 1, 2025.</w:t>
      </w:r>
    </w:p>
    <w:p>
      <w:pPr>
        <w:spacing w:after="0" w:line="15" w:lineRule="exact"/>
        <w:rPr>
          <w:rFonts w:ascii="Arial" w:cs="Arial" w:eastAsia="Arial" w:hAnsi="Arial"/>
          <w:sz w:val="21"/>
          <w:szCs w:val="21"/>
          <w:color w:val="auto"/>
          <w:vertAlign w:val="superscript"/>
        </w:rPr>
      </w:pPr>
    </w:p>
    <w:p>
      <w:pPr>
        <w:ind w:left="220" w:hanging="212"/>
        <w:spacing w:after="0"/>
        <w:tabs>
          <w:tab w:leader="none" w:pos="220" w:val="left"/>
        </w:tabs>
        <w:numPr>
          <w:ilvl w:val="0"/>
          <w:numId w:val="141"/>
        </w:numPr>
        <w:rPr>
          <w:rFonts w:ascii="Arial" w:cs="Arial" w:eastAsia="Arial" w:hAnsi="Arial"/>
          <w:sz w:val="21"/>
          <w:szCs w:val="21"/>
          <w:color w:val="auto"/>
          <w:vertAlign w:val="superscript"/>
        </w:rPr>
      </w:pPr>
      <w:r>
        <w:rPr>
          <w:rFonts w:ascii="Arial" w:cs="Arial" w:eastAsia="Arial" w:hAnsi="Arial"/>
          <w:sz w:val="16"/>
          <w:szCs w:val="16"/>
          <w:color w:val="auto"/>
        </w:rPr>
        <w:t>The weighted average exercise price of outstanding options, warrants, and rights excludes RSUs, which do not have an exercise price.</w:t>
      </w:r>
    </w:p>
    <w:p>
      <w:pPr>
        <w:spacing w:after="0" w:line="70" w:lineRule="exact"/>
        <w:rPr>
          <w:rFonts w:ascii="Arial" w:cs="Arial" w:eastAsia="Arial" w:hAnsi="Arial"/>
          <w:sz w:val="21"/>
          <w:szCs w:val="21"/>
          <w:color w:val="auto"/>
          <w:vertAlign w:val="superscript"/>
        </w:rPr>
      </w:pPr>
    </w:p>
    <w:p>
      <w:pPr>
        <w:ind w:left="200" w:right="20" w:hanging="192"/>
        <w:spacing w:after="0" w:line="245" w:lineRule="auto"/>
        <w:tabs>
          <w:tab w:leader="none" w:pos="215" w:val="left"/>
        </w:tabs>
        <w:numPr>
          <w:ilvl w:val="0"/>
          <w:numId w:val="141"/>
        </w:numPr>
        <w:rPr>
          <w:rFonts w:ascii="Arial" w:cs="Arial" w:eastAsia="Arial" w:hAnsi="Arial"/>
          <w:sz w:val="21"/>
          <w:szCs w:val="21"/>
          <w:color w:val="auto"/>
          <w:vertAlign w:val="superscript"/>
        </w:rPr>
      </w:pPr>
      <w:r>
        <w:rPr>
          <w:rFonts w:ascii="Arial" w:cs="Arial" w:eastAsia="Arial" w:hAnsi="Arial"/>
          <w:sz w:val="16"/>
          <w:szCs w:val="16"/>
          <w:color w:val="auto"/>
        </w:rPr>
        <w:t>Our 2020 Plan, which was approved by shareholders in March 2020, allows for the issuance of 9,585,500 shares of our common stock, plus such additional number of shares of our common stock (up to 20,857,992) as is equal to the sum of (x) the number of shares of common stock reserved for issuance under the 2006 Plan and the Amended and Restated 2010 Equity Incentive Plan, which was assumed in connection with our acquisition of Linear Technology Corporation (2010 Plan) that remained available for grant under such plans immediately prior to the date that the 2020 Plan was approved by our shareholders and (y) the number of shares of common stock subject to awards granted under the 2006 Plan and the 2010 Plan, which awards expire, terminate or are otherwise surrendered, canceled, forfeited or repurchased by us at their original issuance price pursuant to a contractual repurchase right. Includes 3,680,484 shares remaining available for future issuance under the ESPP. Does not include purchase rights accruing under the ESPP as of November 1, 2025, since the purchase rights (and therefore the number of shares to be purchased) were not determinable until the end of the purchase period.</w:t>
      </w:r>
    </w:p>
    <w:p>
      <w:pPr>
        <w:spacing w:after="0" w:line="57" w:lineRule="exact"/>
        <w:rPr>
          <w:rFonts w:ascii="Arial" w:cs="Arial" w:eastAsia="Arial" w:hAnsi="Arial"/>
          <w:sz w:val="21"/>
          <w:szCs w:val="21"/>
          <w:color w:val="auto"/>
          <w:vertAlign w:val="superscript"/>
        </w:rPr>
      </w:pPr>
    </w:p>
    <w:p>
      <w:pPr>
        <w:ind w:left="200" w:right="60" w:hanging="192"/>
        <w:spacing w:after="0"/>
        <w:tabs>
          <w:tab w:leader="none" w:pos="215" w:val="left"/>
        </w:tabs>
        <w:numPr>
          <w:ilvl w:val="0"/>
          <w:numId w:val="141"/>
        </w:numPr>
        <w:rPr>
          <w:rFonts w:ascii="Arial" w:cs="Arial" w:eastAsia="Arial" w:hAnsi="Arial"/>
          <w:sz w:val="21"/>
          <w:szCs w:val="21"/>
          <w:color w:val="auto"/>
          <w:vertAlign w:val="superscript"/>
        </w:rPr>
      </w:pPr>
      <w:r>
        <w:rPr>
          <w:rFonts w:ascii="Arial" w:cs="Arial" w:eastAsia="Arial" w:hAnsi="Arial"/>
          <w:sz w:val="16"/>
          <w:szCs w:val="16"/>
          <w:color w:val="auto"/>
        </w:rPr>
        <w:t>In connection with the acquisition of Maxim in August 2021, we assumed the 1996 Plan. Awards granted by Maxim under the 1996 Plan based on shares of Maxim common stock converted to awards based on shares of ADI common stock upon consummation of the acquisition based on an exchange ratio set forth in the merger agreement. The 1996 Plan expired by its terms on August 11, 2024, but awards outstanding under the 1996 Plan will remain in effect.</w:t>
      </w:r>
    </w:p>
    <w:p>
      <w:pPr>
        <w:spacing w:after="0" w:line="200" w:lineRule="exact"/>
        <w:rPr>
          <w:sz w:val="20"/>
          <w:szCs w:val="20"/>
          <w:color w:val="auto"/>
        </w:rPr>
      </w:pPr>
    </w:p>
    <w:p>
      <w:pPr>
        <w:spacing w:after="0" w:line="260" w:lineRule="exact"/>
        <w:rPr>
          <w:sz w:val="20"/>
          <w:szCs w:val="20"/>
          <w:color w:val="auto"/>
        </w:rPr>
      </w:pPr>
    </w:p>
    <w:p>
      <w:pPr>
        <w:ind w:left="640" w:hanging="614"/>
        <w:spacing w:after="0"/>
        <w:tabs>
          <w:tab w:leader="none" w:pos="640" w:val="left"/>
        </w:tabs>
        <w:numPr>
          <w:ilvl w:val="0"/>
          <w:numId w:val="142"/>
        </w:numPr>
        <w:rPr>
          <w:rFonts w:ascii="Arial" w:cs="Arial" w:eastAsia="Arial" w:hAnsi="Arial"/>
          <w:sz w:val="20"/>
          <w:szCs w:val="20"/>
          <w:b w:val="1"/>
          <w:bCs w:val="1"/>
          <w:color w:val="auto"/>
        </w:rPr>
      </w:pPr>
      <w:r>
        <w:rPr>
          <w:rFonts w:ascii="Arial" w:cs="Arial" w:eastAsia="Arial" w:hAnsi="Arial"/>
          <w:sz w:val="16"/>
          <w:szCs w:val="16"/>
          <w:color w:val="6D6E71"/>
        </w:rPr>
        <w:t>Beneficial Ownership of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194310</wp:posOffset>
            </wp:positionV>
            <wp:extent cx="7157720" cy="42545"/>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56" w:right="339" w:bottom="1440" w:gutter="0" w:footer="0" w:header="0"/>
        </w:sectPr>
      </w:pPr>
    </w:p>
    <w:bookmarkStart w:id="86" w:name="page87"/>
    <w:bookmarkEnd w:id="86"/>
    <w:p>
      <w:pPr>
        <w:spacing w:after="0" w:line="5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774700</wp:posOffset>
            </wp:positionV>
            <wp:extent cx="7132320" cy="1697355"/>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7">
                      <a:extLst>
                        <a:ext uri="{28A0092B-C50C-407E-A947-70E740481C1C}"/>
                      </a:extLst>
                    </a:blip>
                    <a:srcRect/>
                    <a:stretch>
                      <a:fillRect/>
                    </a:stretch>
                  </pic:blipFill>
                  <pic:spPr bwMode="auto">
                    <a:xfrm>
                      <a:off x="0" y="0"/>
                      <a:ext cx="7132320" cy="1697355"/>
                    </a:xfrm>
                    <a:prstGeom prst="rect">
                      <a:avLst/>
                    </a:prstGeom>
                    <a:noFill/>
                  </pic:spPr>
                </pic:pic>
              </a:graphicData>
            </a:graphic>
          </wp:anchor>
        </w:drawing>
      </w:r>
    </w:p>
    <w:p>
      <w:pPr>
        <w:ind w:left="220"/>
        <w:spacing w:after="0"/>
        <w:rPr>
          <w:sz w:val="20"/>
          <w:szCs w:val="20"/>
          <w:color w:val="auto"/>
        </w:rPr>
      </w:pPr>
      <w:r>
        <w:rPr>
          <w:rFonts w:ascii="Arial" w:cs="Arial" w:eastAsia="Arial" w:hAnsi="Arial"/>
          <w:sz w:val="18"/>
          <w:szCs w:val="18"/>
          <w:b w:val="1"/>
          <w:bCs w:val="1"/>
          <w:color w:val="0067B3"/>
        </w:rPr>
        <w:t>PROPOSAL 4</w:t>
      </w:r>
    </w:p>
    <w:p>
      <w:pPr>
        <w:spacing w:after="0" w:line="106" w:lineRule="exact"/>
        <w:rPr>
          <w:sz w:val="20"/>
          <w:szCs w:val="20"/>
          <w:color w:val="auto"/>
        </w:rPr>
      </w:pPr>
    </w:p>
    <w:p>
      <w:pPr>
        <w:ind w:left="220" w:right="900"/>
        <w:spacing w:after="0" w:line="307" w:lineRule="auto"/>
        <w:rPr>
          <w:sz w:val="20"/>
          <w:szCs w:val="20"/>
          <w:color w:val="auto"/>
        </w:rPr>
      </w:pPr>
      <w:r>
        <w:rPr>
          <w:rFonts w:ascii="Arial" w:cs="Arial" w:eastAsia="Arial" w:hAnsi="Arial"/>
          <w:sz w:val="32"/>
          <w:szCs w:val="32"/>
          <w:b w:val="1"/>
          <w:bCs w:val="1"/>
          <w:color w:val="auto"/>
        </w:rPr>
        <w:t>Approval of the Amended and Restated Analog Devices, Inc. 2020 Equity Incentive Plan</w:t>
      </w:r>
    </w:p>
    <w:p>
      <w:pPr>
        <w:spacing w:after="0" w:line="180" w:lineRule="exact"/>
        <w:rPr>
          <w:sz w:val="20"/>
          <w:szCs w:val="20"/>
          <w:color w:val="auto"/>
        </w:rPr>
      </w:pPr>
    </w:p>
    <w:p>
      <w:pPr>
        <w:ind w:left="220" w:right="1440"/>
        <w:spacing w:after="0" w:line="298" w:lineRule="auto"/>
        <w:rPr>
          <w:sz w:val="20"/>
          <w:szCs w:val="20"/>
          <w:color w:val="auto"/>
        </w:rPr>
      </w:pPr>
      <w:r>
        <w:rPr>
          <w:rFonts w:ascii="Arial" w:cs="Arial" w:eastAsia="Arial" w:hAnsi="Arial"/>
          <w:sz w:val="27"/>
          <w:szCs w:val="27"/>
          <w:b w:val="1"/>
          <w:bCs w:val="1"/>
          <w:color w:val="0067B3"/>
        </w:rPr>
        <w:t>Our Board of Directors recommends that you vote FOR the approval of the Amended and Restated Analog Devices, Inc. 2020 Equity Incentive Plan.</w:t>
      </w:r>
    </w:p>
    <w:p>
      <w:pPr>
        <w:spacing w:after="0" w:line="200" w:lineRule="exact"/>
        <w:rPr>
          <w:sz w:val="20"/>
          <w:szCs w:val="20"/>
          <w:color w:val="auto"/>
        </w:rPr>
      </w:pPr>
    </w:p>
    <w:p>
      <w:pPr>
        <w:spacing w:after="0" w:line="356" w:lineRule="exact"/>
        <w:rPr>
          <w:sz w:val="20"/>
          <w:szCs w:val="20"/>
          <w:color w:val="auto"/>
        </w:rPr>
      </w:pPr>
    </w:p>
    <w:p>
      <w:pPr>
        <w:ind w:right="80"/>
        <w:spacing w:after="0" w:line="255" w:lineRule="auto"/>
        <w:rPr>
          <w:sz w:val="20"/>
          <w:szCs w:val="20"/>
          <w:color w:val="auto"/>
        </w:rPr>
      </w:pPr>
      <w:r>
        <w:rPr>
          <w:rFonts w:ascii="Arial" w:cs="Arial" w:eastAsia="Arial" w:hAnsi="Arial"/>
          <w:sz w:val="41"/>
          <w:szCs w:val="41"/>
          <w:b w:val="1"/>
          <w:bCs w:val="1"/>
          <w:color w:val="0067B3"/>
        </w:rPr>
        <w:t>Why We Are Requesting Shareholder Approval of the Amended and Restated Analog Devices, Inc. 2020 Equity Incentive Plan</w:t>
      </w:r>
    </w:p>
    <w:p>
      <w:pPr>
        <w:spacing w:after="0" w:line="43"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At the 2026 Annual Meeting, we are asking shareholders to approve the Amended and Restated Analog Devices, Inc. 2020 Equity Incentive Plan, which we refer to as the Amended 2020 Plan. Our Board of Directors believes that our success depends, in large part, on our ability to maintain a competitive position by attracting, retaining and motivating key employees with experience and ability. We believe that our stock-based compensation programs are central to this objective. On December 10, 2025, upon the recommendation of the Compensation and Talent Committee, and subject to shareholder approval, the Board of Directors adopted the Amended 2020 Plan to increase the number of shares of common stock authorized for issuance thereunder by 13,000,000 shares and to effect certain other non-material administrative changes to the terms of the Analog Devices, Inc. 2020 Equity Incentive Plan, which we refer to as the 2020 Plan. Except for the foregoing increase to the share reserve and a corresponding increase in the number of shares that may be issued pursuant to incentive stock options, there are no material differences between the 2020 Plan and the Amended 2020 Plan.</w:t>
      </w:r>
    </w:p>
    <w:p>
      <w:pPr>
        <w:spacing w:after="0" w:line="73" w:lineRule="exact"/>
        <w:rPr>
          <w:sz w:val="20"/>
          <w:szCs w:val="20"/>
          <w:color w:val="auto"/>
        </w:rPr>
      </w:pPr>
    </w:p>
    <w:p>
      <w:pPr>
        <w:ind w:right="180"/>
        <w:spacing w:after="0" w:line="318" w:lineRule="auto"/>
        <w:rPr>
          <w:sz w:val="20"/>
          <w:szCs w:val="20"/>
          <w:color w:val="auto"/>
        </w:rPr>
      </w:pPr>
      <w:r>
        <w:rPr>
          <w:rFonts w:ascii="Arial" w:cs="Arial" w:eastAsia="Arial" w:hAnsi="Arial"/>
          <w:sz w:val="17"/>
          <w:szCs w:val="17"/>
          <w:color w:val="auto"/>
        </w:rPr>
        <w:t>If our shareholders do not approve the Amended 2020 Plan, we will continue to have the authority to grant awards under the 2020 Plan under its current provisions. As of November 1, 2025, 11,592,135 shares remained available for grant for new awards under our 2020 Plan.</w:t>
      </w:r>
    </w:p>
    <w:p>
      <w:pPr>
        <w:spacing w:after="0" w:line="22" w:lineRule="exact"/>
        <w:rPr>
          <w:sz w:val="20"/>
          <w:szCs w:val="20"/>
          <w:color w:val="auto"/>
        </w:rPr>
      </w:pPr>
    </w:p>
    <w:p>
      <w:pPr>
        <w:ind w:right="120"/>
        <w:spacing w:after="0" w:line="268" w:lineRule="auto"/>
        <w:rPr>
          <w:sz w:val="20"/>
          <w:szCs w:val="20"/>
          <w:color w:val="auto"/>
        </w:rPr>
      </w:pPr>
      <w:r>
        <w:rPr>
          <w:rFonts w:ascii="Arial" w:cs="Arial" w:eastAsia="Arial" w:hAnsi="Arial"/>
          <w:sz w:val="18"/>
          <w:szCs w:val="18"/>
          <w:color w:val="auto"/>
        </w:rPr>
        <w:t>If shareholders approve the Amended 2020 Plan, subject to adjustment in the event of stock splits and other similar events, the number of shares available for grant of new awards will be increased by an additional 13,000,000 shares. Accordingly, the maximum number of shares that may be issued pursuant to awards under the Amended 2020 Plan will be equal to:</w:t>
      </w:r>
    </w:p>
    <w:p>
      <w:pPr>
        <w:spacing w:after="0" w:line="63" w:lineRule="exact"/>
        <w:rPr>
          <w:sz w:val="20"/>
          <w:szCs w:val="20"/>
          <w:color w:val="auto"/>
        </w:rPr>
      </w:pPr>
    </w:p>
    <w:p>
      <w:pPr>
        <w:ind w:left="200" w:right="640" w:hanging="192"/>
        <w:spacing w:after="0" w:line="287" w:lineRule="auto"/>
        <w:tabs>
          <w:tab w:leader="none" w:pos="157" w:val="left"/>
        </w:tabs>
        <w:numPr>
          <w:ilvl w:val="0"/>
          <w:numId w:val="143"/>
        </w:numPr>
        <w:rPr>
          <w:rFonts w:ascii="Arial" w:cs="Arial" w:eastAsia="Arial" w:hAnsi="Arial"/>
          <w:sz w:val="13"/>
          <w:szCs w:val="13"/>
          <w:color w:val="0067B3"/>
        </w:rPr>
      </w:pPr>
      <w:r>
        <w:rPr>
          <w:rFonts w:ascii="Arial" w:cs="Arial" w:eastAsia="Arial" w:hAnsi="Arial"/>
          <w:sz w:val="18"/>
          <w:szCs w:val="18"/>
          <w:color w:val="auto"/>
        </w:rPr>
        <w:t>11,592,135 shares, which equals the number of shares that remained available for future grant of awards under the 2020 Plan as of November 1, 2025,</w:t>
      </w:r>
    </w:p>
    <w:p>
      <w:pPr>
        <w:spacing w:after="0" w:line="4" w:lineRule="exact"/>
        <w:rPr>
          <w:rFonts w:ascii="Arial" w:cs="Arial" w:eastAsia="Arial" w:hAnsi="Arial"/>
          <w:sz w:val="13"/>
          <w:szCs w:val="13"/>
          <w:color w:val="0067B3"/>
        </w:rPr>
      </w:pPr>
    </w:p>
    <w:p>
      <w:pPr>
        <w:ind w:left="160" w:hanging="152"/>
        <w:spacing w:after="0"/>
        <w:tabs>
          <w:tab w:leader="none" w:pos="160" w:val="left"/>
        </w:tabs>
        <w:numPr>
          <w:ilvl w:val="0"/>
          <w:numId w:val="143"/>
        </w:numPr>
        <w:rPr>
          <w:rFonts w:ascii="Arial" w:cs="Arial" w:eastAsia="Arial" w:hAnsi="Arial"/>
          <w:sz w:val="13"/>
          <w:szCs w:val="13"/>
          <w:color w:val="0067B3"/>
        </w:rPr>
      </w:pPr>
      <w:r>
        <w:rPr>
          <w:rFonts w:ascii="Arial" w:cs="Arial" w:eastAsia="Arial" w:hAnsi="Arial"/>
          <w:sz w:val="18"/>
          <w:szCs w:val="18"/>
          <w:color w:val="auto"/>
        </w:rPr>
        <w:t>plus an additional 13,000,000 shares,</w:t>
      </w:r>
    </w:p>
    <w:p>
      <w:pPr>
        <w:spacing w:after="0" w:line="90" w:lineRule="exact"/>
        <w:rPr>
          <w:rFonts w:ascii="Arial" w:cs="Arial" w:eastAsia="Arial" w:hAnsi="Arial"/>
          <w:sz w:val="13"/>
          <w:szCs w:val="13"/>
          <w:color w:val="0067B3"/>
        </w:rPr>
      </w:pPr>
    </w:p>
    <w:p>
      <w:pPr>
        <w:ind w:left="160" w:hanging="152"/>
        <w:spacing w:after="0"/>
        <w:tabs>
          <w:tab w:leader="none" w:pos="160" w:val="left"/>
        </w:tabs>
        <w:numPr>
          <w:ilvl w:val="0"/>
          <w:numId w:val="143"/>
        </w:numPr>
        <w:rPr>
          <w:rFonts w:ascii="Arial" w:cs="Arial" w:eastAsia="Arial" w:hAnsi="Arial"/>
          <w:sz w:val="13"/>
          <w:szCs w:val="13"/>
          <w:color w:val="0067B3"/>
        </w:rPr>
      </w:pPr>
      <w:r>
        <w:rPr>
          <w:rFonts w:ascii="Arial" w:cs="Arial" w:eastAsia="Arial" w:hAnsi="Arial"/>
          <w:sz w:val="18"/>
          <w:szCs w:val="18"/>
          <w:color w:val="auto"/>
        </w:rPr>
        <w:t>less one share subject to any equity award granted under the 2020 Plan after November 1, 2025 and prior to the 2026 Annual Meeting,</w:t>
      </w:r>
    </w:p>
    <w:p>
      <w:pPr>
        <w:spacing w:after="0" w:line="76" w:lineRule="exact"/>
        <w:rPr>
          <w:rFonts w:ascii="Arial" w:cs="Arial" w:eastAsia="Arial" w:hAnsi="Arial"/>
          <w:sz w:val="13"/>
          <w:szCs w:val="13"/>
          <w:color w:val="0067B3"/>
        </w:rPr>
      </w:pPr>
    </w:p>
    <w:p>
      <w:pPr>
        <w:ind w:left="160" w:hanging="152"/>
        <w:spacing w:after="0"/>
        <w:tabs>
          <w:tab w:leader="none" w:pos="160" w:val="left"/>
        </w:tabs>
        <w:numPr>
          <w:ilvl w:val="0"/>
          <w:numId w:val="143"/>
        </w:numPr>
        <w:rPr>
          <w:rFonts w:ascii="Arial" w:cs="Arial" w:eastAsia="Arial" w:hAnsi="Arial"/>
          <w:sz w:val="13"/>
          <w:szCs w:val="13"/>
          <w:color w:val="0067B3"/>
        </w:rPr>
      </w:pPr>
      <w:r>
        <w:rPr>
          <w:rFonts w:ascii="Arial" w:cs="Arial" w:eastAsia="Arial" w:hAnsi="Arial"/>
          <w:sz w:val="18"/>
          <w:szCs w:val="18"/>
          <w:color w:val="auto"/>
        </w:rPr>
        <w:t>plus the applicable number of any Returning Shares, as defined below.</w:t>
      </w:r>
    </w:p>
    <w:p>
      <w:pPr>
        <w:spacing w:after="0" w:line="77" w:lineRule="exact"/>
        <w:rPr>
          <w:sz w:val="20"/>
          <w:szCs w:val="20"/>
          <w:color w:val="auto"/>
        </w:rPr>
      </w:pPr>
    </w:p>
    <w:p>
      <w:pPr>
        <w:ind w:right="160"/>
        <w:spacing w:after="0" w:line="262" w:lineRule="auto"/>
        <w:rPr>
          <w:sz w:val="20"/>
          <w:szCs w:val="20"/>
          <w:color w:val="auto"/>
        </w:rPr>
      </w:pPr>
      <w:r>
        <w:rPr>
          <w:rFonts w:ascii="Arial" w:cs="Arial" w:eastAsia="Arial" w:hAnsi="Arial"/>
          <w:sz w:val="18"/>
          <w:szCs w:val="18"/>
          <w:color w:val="auto"/>
        </w:rPr>
        <w:t>The Returning Shares consist of such applicable additional number of shares of common stock subject to the following equity awards that after November 1, 2025 either expire, terminate, or are otherwise surrendered, canceled, forfeited, or repurchased by the Company at their original issuance price pursuant to a contractual repurchase right (subject, however, in the case of incentive stock options, to any limitations under the Internal Revenue Code of 1986, as amended, and any regulations thereunder, which we refer to as the Code):</w:t>
      </w:r>
    </w:p>
    <w:p>
      <w:pPr>
        <w:spacing w:after="0" w:line="41" w:lineRule="exact"/>
        <w:rPr>
          <w:sz w:val="20"/>
          <w:szCs w:val="20"/>
          <w:color w:val="auto"/>
        </w:rPr>
      </w:pPr>
    </w:p>
    <w:p>
      <w:pPr>
        <w:ind w:left="200" w:right="120" w:hanging="192"/>
        <w:spacing w:after="0" w:line="287" w:lineRule="auto"/>
        <w:tabs>
          <w:tab w:leader="none" w:pos="157" w:val="left"/>
        </w:tabs>
        <w:numPr>
          <w:ilvl w:val="0"/>
          <w:numId w:val="144"/>
        </w:numPr>
        <w:rPr>
          <w:rFonts w:ascii="Arial" w:cs="Arial" w:eastAsia="Arial" w:hAnsi="Arial"/>
          <w:sz w:val="13"/>
          <w:szCs w:val="13"/>
          <w:color w:val="0067B3"/>
        </w:rPr>
      </w:pPr>
      <w:r>
        <w:rPr>
          <w:rFonts w:ascii="Arial" w:cs="Arial" w:eastAsia="Arial" w:hAnsi="Arial"/>
          <w:sz w:val="18"/>
          <w:szCs w:val="18"/>
          <w:color w:val="auto"/>
        </w:rPr>
        <w:t>equity awards granted under the 2020 Plan or the 2006 Plan, and which equity awards are granted and outstanding on November 1, 2025 (up to a maximum of 5,387,303 shares).</w:t>
      </w:r>
    </w:p>
    <w:p>
      <w:pPr>
        <w:spacing w:after="0" w:line="4" w:lineRule="exact"/>
        <w:rPr>
          <w:rFonts w:ascii="Arial" w:cs="Arial" w:eastAsia="Arial" w:hAnsi="Arial"/>
          <w:sz w:val="13"/>
          <w:szCs w:val="13"/>
          <w:color w:val="0067B3"/>
        </w:rPr>
      </w:pPr>
    </w:p>
    <w:p>
      <w:pPr>
        <w:jc w:val="both"/>
        <w:ind w:left="200" w:right="200" w:hanging="192"/>
        <w:spacing w:after="0" w:line="268" w:lineRule="auto"/>
        <w:tabs>
          <w:tab w:leader="none" w:pos="157" w:val="left"/>
        </w:tabs>
        <w:numPr>
          <w:ilvl w:val="0"/>
          <w:numId w:val="144"/>
        </w:numPr>
        <w:rPr>
          <w:rFonts w:ascii="Arial" w:cs="Arial" w:eastAsia="Arial" w:hAnsi="Arial"/>
          <w:sz w:val="13"/>
          <w:szCs w:val="13"/>
          <w:color w:val="0067B3"/>
        </w:rPr>
      </w:pPr>
      <w:r>
        <w:rPr>
          <w:rFonts w:ascii="Arial" w:cs="Arial" w:eastAsia="Arial" w:hAnsi="Arial"/>
          <w:sz w:val="18"/>
          <w:szCs w:val="18"/>
          <w:color w:val="auto"/>
        </w:rPr>
        <w:t>equity awards granted under the 2020 Plan after November 1, 2025 and prior to the date of the 2026 Annual Meeting (provided that in no event shall the number of shares subject to any equity award granted under the 2020 Plan after November 1, 2025 and prior to the 2026 Annual Meeting exceed 11,592,135 shares).</w:t>
      </w:r>
    </w:p>
    <w:p>
      <w:pPr>
        <w:spacing w:after="0" w:line="395" w:lineRule="exact"/>
        <w:rPr>
          <w:sz w:val="20"/>
          <w:szCs w:val="20"/>
          <w:color w:val="auto"/>
        </w:rPr>
      </w:pPr>
    </w:p>
    <w:tbl>
      <w:tblPr>
        <w:tblLayout w:type="fixed"/>
        <w:tblInd w:w="0" w:type="dxa"/>
        <w:tblCellMar>
          <w:top w:w="0" w:type="dxa"/>
          <w:left w:w="0" w:type="dxa"/>
          <w:bottom w:w="0" w:type="dxa"/>
          <w:right w:w="0" w:type="dxa"/>
        </w:tblCellMar>
      </w:tblPr>
      <w:tr>
        <w:trPr>
          <w:trHeight w:val="278"/>
        </w:trPr>
        <w:tc>
          <w:tcPr>
            <w:tcW w:w="10800" w:type="dxa"/>
            <w:vAlign w:val="bottom"/>
          </w:tcPr>
          <w:p>
            <w:pPr>
              <w:ind w:left="8980"/>
              <w:spacing w:after="0"/>
              <w:rPr>
                <w:sz w:val="20"/>
                <w:szCs w:val="20"/>
                <w:color w:val="auto"/>
              </w:rPr>
            </w:pPr>
            <w:r>
              <w:rPr>
                <w:rFonts w:ascii="Arial" w:cs="Arial" w:eastAsia="Arial" w:hAnsi="Arial"/>
                <w:sz w:val="16"/>
                <w:szCs w:val="16"/>
                <w:color w:val="0067B3"/>
              </w:rPr>
              <w:t>2026 Proxy Statement</w:t>
            </w:r>
          </w:p>
        </w:tc>
        <w:tc>
          <w:tcPr>
            <w:tcW w:w="440" w:type="dxa"/>
            <w:vAlign w:val="bottom"/>
          </w:tcPr>
          <w:p>
            <w:pPr>
              <w:jc w:val="right"/>
              <w:spacing w:after="0"/>
              <w:rPr>
                <w:sz w:val="20"/>
                <w:szCs w:val="20"/>
                <w:color w:val="auto"/>
              </w:rPr>
            </w:pPr>
            <w:r>
              <w:rPr>
                <w:rFonts w:ascii="Arial" w:cs="Arial" w:eastAsia="Arial" w:hAnsi="Arial"/>
                <w:sz w:val="20"/>
                <w:szCs w:val="20"/>
                <w:b w:val="1"/>
                <w:bCs w:val="1"/>
                <w:color w:val="auto"/>
              </w:rPr>
              <w:t>79</w:t>
            </w:r>
          </w:p>
        </w:tc>
      </w:tr>
      <w:tr>
        <w:trPr>
          <w:trHeight w:val="333"/>
        </w:trPr>
        <w:tc>
          <w:tcPr>
            <w:tcW w:w="1080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7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87" w:name="page88"/>
    <w:bookmarkEnd w:id="87"/>
    <w:p>
      <w:pPr>
        <w:ind w:right="320"/>
        <w:spacing w:after="0" w:line="259" w:lineRule="auto"/>
        <w:rPr>
          <w:sz w:val="20"/>
          <w:szCs w:val="20"/>
          <w:color w:val="auto"/>
        </w:rPr>
      </w:pPr>
      <w:r>
        <w:rPr>
          <w:rFonts w:ascii="Arial" w:cs="Arial" w:eastAsia="Arial" w:hAnsi="Arial"/>
          <w:sz w:val="18"/>
          <w:szCs w:val="18"/>
          <w:color w:val="auto"/>
        </w:rPr>
        <w:t>As of January 8, 2026, there were 488,628,595 shares of our common stock outstanding. As of November 1, 2025, options to purchase 1,197,069 shares of common stock were outstanding under the 2020 Plan and the 2006 Plan with a weighted-average remaining term of approximately 3.8 years and a weighted-average exercise price of $115.14 per share, 3,646,444 shares of common stock were subject to outstanding time-based restricted stock units granted under the 2020 Plan, the 2006 Plan, and the 1996 Plan, and 780,133 shares of common stock were subject to outstanding performance-based restricted stock units granted under the 2020 Plan and the 2006 Plan.</w:t>
      </w:r>
    </w:p>
    <w:p>
      <w:pPr>
        <w:spacing w:after="0" w:line="71" w:lineRule="exact"/>
        <w:rPr>
          <w:sz w:val="20"/>
          <w:szCs w:val="20"/>
          <w:color w:val="auto"/>
        </w:rPr>
      </w:pPr>
    </w:p>
    <w:p>
      <w:pPr>
        <w:ind w:right="660"/>
        <w:spacing w:after="0" w:line="287" w:lineRule="auto"/>
        <w:rPr>
          <w:sz w:val="20"/>
          <w:szCs w:val="20"/>
          <w:color w:val="auto"/>
        </w:rPr>
      </w:pPr>
      <w:r>
        <w:rPr>
          <w:rFonts w:ascii="Arial" w:cs="Arial" w:eastAsia="Arial" w:hAnsi="Arial"/>
          <w:sz w:val="18"/>
          <w:szCs w:val="18"/>
          <w:color w:val="auto"/>
        </w:rPr>
        <w:t>The Amended 2020 Plan provides that each share of common stock subject to an award under the 2020 Plan and the 2006 Plan that becomes available for grant under the Amended 2020 Plan will increase the Amended 2020 Plan’s share reserve by one share.</w:t>
      </w:r>
    </w:p>
    <w:p>
      <w:pPr>
        <w:spacing w:after="0" w:line="45"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In determining the size of the requested share increase, our Board of Directors and Compensation and Talent worked with management and our independent compensation consultant to evaluate a number of factors, including our corporate strategy and compensation needs, our compensation philosophy of broad-based eligibility for equity incentive awards, our recent and projected share usage and the total potential dilution of the proposed share increase. We expect that the proposed increased share pool under the Amended 2020 Plan will allow us to continue to grant equity awards under the Amended 2020 Plan at our historic rates for the remainder of the Amended 2020 Plan’s term, which expires on March 11, 2030.</w:t>
      </w:r>
    </w:p>
    <w:p>
      <w:pPr>
        <w:spacing w:after="0" w:line="74"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color w:val="auto"/>
        </w:rPr>
        <w:t>We believe that our stock-based compensation programs have been integral to our success in the past and will be important to our ability to succeed in the future, and our Board of Directors believes adoption of the Amended 2020 Plan is in the best interests of the Company and its shareholders and recommends a vote “FOR” the approval of the Amended 2020 Plan.</w:t>
      </w:r>
    </w:p>
    <w:p>
      <w:pPr>
        <w:spacing w:after="0" w:line="63" w:lineRule="exact"/>
        <w:rPr>
          <w:sz w:val="20"/>
          <w:szCs w:val="20"/>
          <w:color w:val="auto"/>
        </w:rPr>
      </w:pPr>
    </w:p>
    <w:p>
      <w:pPr>
        <w:ind w:right="120"/>
        <w:spacing w:after="0" w:line="287" w:lineRule="auto"/>
        <w:rPr>
          <w:sz w:val="20"/>
          <w:szCs w:val="20"/>
          <w:color w:val="auto"/>
        </w:rPr>
      </w:pPr>
      <w:r>
        <w:rPr>
          <w:rFonts w:ascii="Arial" w:cs="Arial" w:eastAsia="Arial" w:hAnsi="Arial"/>
          <w:sz w:val="18"/>
          <w:szCs w:val="18"/>
          <w:color w:val="auto"/>
        </w:rPr>
        <w:t>Some highlighted features of the Amended 2020 Plan are described below with additional detail provided in the Description of the Amended 2020 Plan below and the full text of the Amended 2020 Plan, a copy of which is attached to this Proxy Statement as Appendix A.</w:t>
      </w:r>
    </w:p>
    <w:p>
      <w:pPr>
        <w:spacing w:after="0" w:line="228" w:lineRule="exact"/>
        <w:rPr>
          <w:sz w:val="20"/>
          <w:szCs w:val="20"/>
          <w:color w:val="auto"/>
        </w:rPr>
      </w:pPr>
    </w:p>
    <w:p>
      <w:pPr>
        <w:spacing w:after="0"/>
        <w:rPr>
          <w:sz w:val="20"/>
          <w:szCs w:val="20"/>
          <w:color w:val="auto"/>
        </w:rPr>
      </w:pPr>
      <w:r>
        <w:rPr>
          <w:rFonts w:ascii="Arial" w:cs="Arial" w:eastAsia="Arial" w:hAnsi="Arial"/>
          <w:sz w:val="41"/>
          <w:szCs w:val="41"/>
          <w:b w:val="1"/>
          <w:bCs w:val="1"/>
          <w:color w:val="0067B3"/>
        </w:rPr>
        <w:t>Highlights of the Amended 2020 Plan</w:t>
      </w:r>
    </w:p>
    <w:p>
      <w:pPr>
        <w:spacing w:after="0" w:line="169" w:lineRule="exact"/>
        <w:rPr>
          <w:sz w:val="20"/>
          <w:szCs w:val="20"/>
          <w:color w:val="auto"/>
        </w:rPr>
      </w:pPr>
    </w:p>
    <w:p>
      <w:pPr>
        <w:ind w:left="200" w:right="40" w:hanging="192"/>
        <w:spacing w:after="0" w:line="262" w:lineRule="auto"/>
        <w:tabs>
          <w:tab w:leader="none" w:pos="157" w:val="left"/>
        </w:tabs>
        <w:numPr>
          <w:ilvl w:val="0"/>
          <w:numId w:val="145"/>
        </w:numPr>
        <w:rPr>
          <w:rFonts w:ascii="Arial" w:cs="Arial" w:eastAsia="Arial" w:hAnsi="Arial"/>
          <w:sz w:val="13"/>
          <w:szCs w:val="13"/>
          <w:color w:val="0067B3"/>
        </w:rPr>
      </w:pPr>
      <w:r>
        <w:rPr>
          <w:rFonts w:ascii="Arial" w:cs="Arial" w:eastAsia="Arial" w:hAnsi="Arial"/>
          <w:sz w:val="18"/>
          <w:szCs w:val="18"/>
          <w:i w:val="1"/>
          <w:iCs w:val="1"/>
          <w:color w:val="auto"/>
        </w:rPr>
        <w:t>No Liberal Share Recycling</w:t>
      </w:r>
      <w:r>
        <w:rPr>
          <w:rFonts w:ascii="Arial" w:cs="Arial" w:eastAsia="Arial" w:hAnsi="Arial"/>
          <w:sz w:val="18"/>
          <w:szCs w:val="18"/>
          <w:color w:val="auto"/>
        </w:rPr>
        <w:t>. The Amended 2020 Plan prohibits the re-granting of (i) shares withheld or delivered to satisfy the exercise</w:t>
      </w:r>
      <w:r>
        <w:rPr>
          <w:rFonts w:ascii="Arial" w:cs="Arial" w:eastAsia="Arial" w:hAnsi="Arial"/>
          <w:sz w:val="18"/>
          <w:szCs w:val="18"/>
          <w:i w:val="1"/>
          <w:iCs w:val="1"/>
          <w:color w:val="auto"/>
        </w:rPr>
        <w:t xml:space="preserve"> </w:t>
      </w:r>
      <w:r>
        <w:rPr>
          <w:rFonts w:ascii="Arial" w:cs="Arial" w:eastAsia="Arial" w:hAnsi="Arial"/>
          <w:sz w:val="18"/>
          <w:szCs w:val="18"/>
          <w:color w:val="auto"/>
        </w:rPr>
        <w:t>price of an award or to satisfy tax withholding obligations, (ii) shares that were subject to a stock appreciation right, or SAR, and not issued upon the net settlement or net exercise of such award, or (iii) shares repurchased on the open market using proceeds from the exercise of an award.</w:t>
      </w:r>
    </w:p>
    <w:p>
      <w:pPr>
        <w:spacing w:after="0" w:line="27" w:lineRule="exact"/>
        <w:rPr>
          <w:rFonts w:ascii="Arial" w:cs="Arial" w:eastAsia="Arial" w:hAnsi="Arial"/>
          <w:sz w:val="13"/>
          <w:szCs w:val="13"/>
          <w:color w:val="0067B3"/>
        </w:rPr>
      </w:pPr>
    </w:p>
    <w:p>
      <w:pPr>
        <w:ind w:left="200" w:right="360" w:hanging="192"/>
        <w:spacing w:after="0" w:line="287" w:lineRule="auto"/>
        <w:tabs>
          <w:tab w:leader="none" w:pos="157" w:val="left"/>
        </w:tabs>
        <w:numPr>
          <w:ilvl w:val="0"/>
          <w:numId w:val="145"/>
        </w:numPr>
        <w:rPr>
          <w:rFonts w:ascii="Arial" w:cs="Arial" w:eastAsia="Arial" w:hAnsi="Arial"/>
          <w:sz w:val="13"/>
          <w:szCs w:val="13"/>
          <w:color w:val="0067B3"/>
        </w:rPr>
      </w:pPr>
      <w:r>
        <w:rPr>
          <w:rFonts w:ascii="Arial" w:cs="Arial" w:eastAsia="Arial" w:hAnsi="Arial"/>
          <w:sz w:val="18"/>
          <w:szCs w:val="18"/>
          <w:i w:val="1"/>
          <w:iCs w:val="1"/>
          <w:color w:val="auto"/>
        </w:rPr>
        <w:t>No Repricing of Awards</w:t>
      </w:r>
      <w:r>
        <w:rPr>
          <w:rFonts w:ascii="Arial" w:cs="Arial" w:eastAsia="Arial" w:hAnsi="Arial"/>
          <w:sz w:val="18"/>
          <w:szCs w:val="18"/>
          <w:color w:val="auto"/>
        </w:rPr>
        <w:t>. The Amended 2020 Plan prohibits the direct or indirect repricing of stock options or SARs without shareholder</w:t>
      </w:r>
      <w:r>
        <w:rPr>
          <w:rFonts w:ascii="Arial" w:cs="Arial" w:eastAsia="Arial" w:hAnsi="Arial"/>
          <w:sz w:val="18"/>
          <w:szCs w:val="18"/>
          <w:i w:val="1"/>
          <w:iCs w:val="1"/>
          <w:color w:val="auto"/>
        </w:rPr>
        <w:t xml:space="preserve"> </w:t>
      </w:r>
      <w:r>
        <w:rPr>
          <w:rFonts w:ascii="Arial" w:cs="Arial" w:eastAsia="Arial" w:hAnsi="Arial"/>
          <w:sz w:val="18"/>
          <w:szCs w:val="18"/>
          <w:color w:val="auto"/>
        </w:rPr>
        <w:t>approval.</w:t>
      </w:r>
    </w:p>
    <w:p>
      <w:pPr>
        <w:spacing w:after="0" w:line="4" w:lineRule="exact"/>
        <w:rPr>
          <w:rFonts w:ascii="Arial" w:cs="Arial" w:eastAsia="Arial" w:hAnsi="Arial"/>
          <w:sz w:val="13"/>
          <w:szCs w:val="13"/>
          <w:color w:val="0067B3"/>
        </w:rPr>
      </w:pPr>
    </w:p>
    <w:p>
      <w:pPr>
        <w:ind w:left="200" w:right="20" w:hanging="192"/>
        <w:spacing w:after="0" w:line="287" w:lineRule="auto"/>
        <w:tabs>
          <w:tab w:leader="none" w:pos="157" w:val="left"/>
        </w:tabs>
        <w:numPr>
          <w:ilvl w:val="0"/>
          <w:numId w:val="145"/>
        </w:numPr>
        <w:rPr>
          <w:rFonts w:ascii="Arial" w:cs="Arial" w:eastAsia="Arial" w:hAnsi="Arial"/>
          <w:sz w:val="13"/>
          <w:szCs w:val="13"/>
          <w:color w:val="0067B3"/>
        </w:rPr>
      </w:pPr>
      <w:r>
        <w:rPr>
          <w:rFonts w:ascii="Arial" w:cs="Arial" w:eastAsia="Arial" w:hAnsi="Arial"/>
          <w:sz w:val="18"/>
          <w:szCs w:val="18"/>
          <w:i w:val="1"/>
          <w:iCs w:val="1"/>
          <w:color w:val="auto"/>
        </w:rPr>
        <w:t>No Discounted Options or SARs</w:t>
      </w:r>
      <w:r>
        <w:rPr>
          <w:rFonts w:ascii="Arial" w:cs="Arial" w:eastAsia="Arial" w:hAnsi="Arial"/>
          <w:sz w:val="18"/>
          <w:szCs w:val="18"/>
          <w:color w:val="auto"/>
        </w:rPr>
        <w:t>. All options and SARs must have an exercise or measurement price that is at least equal to the fair market</w:t>
      </w:r>
      <w:r>
        <w:rPr>
          <w:rFonts w:ascii="Arial" w:cs="Arial" w:eastAsia="Arial" w:hAnsi="Arial"/>
          <w:sz w:val="18"/>
          <w:szCs w:val="18"/>
          <w:i w:val="1"/>
          <w:iCs w:val="1"/>
          <w:color w:val="auto"/>
        </w:rPr>
        <w:t xml:space="preserve"> </w:t>
      </w:r>
      <w:r>
        <w:rPr>
          <w:rFonts w:ascii="Arial" w:cs="Arial" w:eastAsia="Arial" w:hAnsi="Arial"/>
          <w:sz w:val="18"/>
          <w:szCs w:val="18"/>
          <w:color w:val="auto"/>
        </w:rPr>
        <w:t>value of the underlying common stock on the date of grant.</w:t>
      </w:r>
    </w:p>
    <w:p>
      <w:pPr>
        <w:spacing w:after="0" w:line="17" w:lineRule="exact"/>
        <w:rPr>
          <w:rFonts w:ascii="Arial" w:cs="Arial" w:eastAsia="Arial" w:hAnsi="Arial"/>
          <w:sz w:val="13"/>
          <w:szCs w:val="13"/>
          <w:color w:val="0067B3"/>
        </w:rPr>
      </w:pPr>
    </w:p>
    <w:p>
      <w:pPr>
        <w:ind w:left="200" w:hanging="192"/>
        <w:spacing w:after="0" w:line="287" w:lineRule="auto"/>
        <w:tabs>
          <w:tab w:leader="none" w:pos="157" w:val="left"/>
        </w:tabs>
        <w:numPr>
          <w:ilvl w:val="0"/>
          <w:numId w:val="145"/>
        </w:numPr>
        <w:rPr>
          <w:rFonts w:ascii="Arial" w:cs="Arial" w:eastAsia="Arial" w:hAnsi="Arial"/>
          <w:sz w:val="13"/>
          <w:szCs w:val="13"/>
          <w:color w:val="0067B3"/>
        </w:rPr>
      </w:pPr>
      <w:r>
        <w:rPr>
          <w:rFonts w:ascii="Arial" w:cs="Arial" w:eastAsia="Arial" w:hAnsi="Arial"/>
          <w:sz w:val="18"/>
          <w:szCs w:val="18"/>
          <w:i w:val="1"/>
          <w:iCs w:val="1"/>
          <w:color w:val="auto"/>
        </w:rPr>
        <w:t>No Reload Options or SARs</w:t>
      </w:r>
      <w:r>
        <w:rPr>
          <w:rFonts w:ascii="Arial" w:cs="Arial" w:eastAsia="Arial" w:hAnsi="Arial"/>
          <w:sz w:val="18"/>
          <w:szCs w:val="18"/>
          <w:color w:val="auto"/>
        </w:rPr>
        <w:t>. No options or SARs granted under the Amended 2020 Plan may contain a provision entitling the award holder</w:t>
      </w:r>
      <w:r>
        <w:rPr>
          <w:rFonts w:ascii="Arial" w:cs="Arial" w:eastAsia="Arial" w:hAnsi="Arial"/>
          <w:sz w:val="18"/>
          <w:szCs w:val="18"/>
          <w:i w:val="1"/>
          <w:iCs w:val="1"/>
          <w:color w:val="auto"/>
        </w:rPr>
        <w:t xml:space="preserve"> </w:t>
      </w:r>
      <w:r>
        <w:rPr>
          <w:rFonts w:ascii="Arial" w:cs="Arial" w:eastAsia="Arial" w:hAnsi="Arial"/>
          <w:sz w:val="18"/>
          <w:szCs w:val="18"/>
          <w:color w:val="auto"/>
        </w:rPr>
        <w:t>to the automatic grant of additional options or SARs in connection with any exercise of the original option or SAR.</w:t>
      </w:r>
    </w:p>
    <w:p>
      <w:pPr>
        <w:spacing w:after="0" w:line="4" w:lineRule="exact"/>
        <w:rPr>
          <w:rFonts w:ascii="Arial" w:cs="Arial" w:eastAsia="Arial" w:hAnsi="Arial"/>
          <w:sz w:val="13"/>
          <w:szCs w:val="13"/>
          <w:color w:val="0067B3"/>
        </w:rPr>
      </w:pPr>
    </w:p>
    <w:p>
      <w:pPr>
        <w:ind w:left="200" w:right="100" w:hanging="192"/>
        <w:spacing w:after="0" w:line="287" w:lineRule="auto"/>
        <w:tabs>
          <w:tab w:leader="none" w:pos="157" w:val="left"/>
        </w:tabs>
        <w:numPr>
          <w:ilvl w:val="0"/>
          <w:numId w:val="145"/>
        </w:numPr>
        <w:rPr>
          <w:rFonts w:ascii="Arial" w:cs="Arial" w:eastAsia="Arial" w:hAnsi="Arial"/>
          <w:sz w:val="13"/>
          <w:szCs w:val="13"/>
          <w:color w:val="0067B3"/>
        </w:rPr>
      </w:pPr>
      <w:r>
        <w:rPr>
          <w:rFonts w:ascii="Arial" w:cs="Arial" w:eastAsia="Arial" w:hAnsi="Arial"/>
          <w:sz w:val="18"/>
          <w:szCs w:val="18"/>
          <w:i w:val="1"/>
          <w:iCs w:val="1"/>
          <w:color w:val="auto"/>
        </w:rPr>
        <w:t>No Dividend Equivalents on Options or SARs</w:t>
      </w:r>
      <w:r>
        <w:rPr>
          <w:rFonts w:ascii="Arial" w:cs="Arial" w:eastAsia="Arial" w:hAnsi="Arial"/>
          <w:sz w:val="18"/>
          <w:szCs w:val="18"/>
          <w:color w:val="auto"/>
        </w:rPr>
        <w:t>. No options or SARs granted under the Amended 2020 Plan may provide for the payment or</w:t>
      </w:r>
      <w:r>
        <w:rPr>
          <w:rFonts w:ascii="Arial" w:cs="Arial" w:eastAsia="Arial" w:hAnsi="Arial"/>
          <w:sz w:val="18"/>
          <w:szCs w:val="18"/>
          <w:i w:val="1"/>
          <w:iCs w:val="1"/>
          <w:color w:val="auto"/>
        </w:rPr>
        <w:t xml:space="preserve"> </w:t>
      </w:r>
      <w:r>
        <w:rPr>
          <w:rFonts w:ascii="Arial" w:cs="Arial" w:eastAsia="Arial" w:hAnsi="Arial"/>
          <w:sz w:val="18"/>
          <w:szCs w:val="18"/>
          <w:color w:val="auto"/>
        </w:rPr>
        <w:t>accrual of dividend equivalents.</w:t>
      </w:r>
    </w:p>
    <w:p>
      <w:pPr>
        <w:spacing w:after="0" w:line="4" w:lineRule="exact"/>
        <w:rPr>
          <w:rFonts w:ascii="Arial" w:cs="Arial" w:eastAsia="Arial" w:hAnsi="Arial"/>
          <w:sz w:val="13"/>
          <w:szCs w:val="13"/>
          <w:color w:val="0067B3"/>
        </w:rPr>
      </w:pPr>
    </w:p>
    <w:p>
      <w:pPr>
        <w:ind w:left="200" w:right="20" w:hanging="192"/>
        <w:spacing w:after="0" w:line="275" w:lineRule="auto"/>
        <w:tabs>
          <w:tab w:leader="none" w:pos="157" w:val="left"/>
        </w:tabs>
        <w:numPr>
          <w:ilvl w:val="0"/>
          <w:numId w:val="145"/>
        </w:numPr>
        <w:rPr>
          <w:rFonts w:ascii="Arial" w:cs="Arial" w:eastAsia="Arial" w:hAnsi="Arial"/>
          <w:sz w:val="12"/>
          <w:szCs w:val="12"/>
          <w:color w:val="0067B3"/>
        </w:rPr>
      </w:pPr>
      <w:r>
        <w:rPr>
          <w:rFonts w:ascii="Arial" w:cs="Arial" w:eastAsia="Arial" w:hAnsi="Arial"/>
          <w:sz w:val="17"/>
          <w:szCs w:val="17"/>
          <w:i w:val="1"/>
          <w:iCs w:val="1"/>
          <w:color w:val="auto"/>
        </w:rPr>
        <w:t>Limit Applicable to Non-Employee Directors</w:t>
      </w:r>
      <w:r>
        <w:rPr>
          <w:rFonts w:ascii="Arial" w:cs="Arial" w:eastAsia="Arial" w:hAnsi="Arial"/>
          <w:sz w:val="17"/>
          <w:szCs w:val="17"/>
          <w:color w:val="auto"/>
        </w:rPr>
        <w:t>. The maximum amount of cash and equity compensation (calculated based on grant date fair</w:t>
      </w:r>
      <w:r>
        <w:rPr>
          <w:rFonts w:ascii="Arial" w:cs="Arial" w:eastAsia="Arial" w:hAnsi="Arial"/>
          <w:sz w:val="17"/>
          <w:szCs w:val="17"/>
          <w:i w:val="1"/>
          <w:iCs w:val="1"/>
          <w:color w:val="auto"/>
        </w:rPr>
        <w:t xml:space="preserve"> </w:t>
      </w:r>
      <w:r>
        <w:rPr>
          <w:rFonts w:ascii="Arial" w:cs="Arial" w:eastAsia="Arial" w:hAnsi="Arial"/>
          <w:sz w:val="17"/>
          <w:szCs w:val="17"/>
          <w:color w:val="auto"/>
        </w:rPr>
        <w:t>value for financial reporting purposes) granted to any non-employee director in any fiscal year may not exceed $750,000; provided, however, fees paid by us on behalf of any non-employee director in connection with regulatory compliance and any amounts paid to a non-employee director as reimbursement of an expense shall not count against the foregoing limitations. Exceptions to these limitations may only be made by the Compensation and Talent Committee in extraordinary circumstances, or in the case of regulatory filing fees, provided that the non-employee director receiving any additional compensation does not participate in the decision to award such compensation.</w:t>
      </w:r>
    </w:p>
    <w:p>
      <w:pPr>
        <w:spacing w:after="0" w:line="33" w:lineRule="exact"/>
        <w:rPr>
          <w:rFonts w:ascii="Arial" w:cs="Arial" w:eastAsia="Arial" w:hAnsi="Arial"/>
          <w:sz w:val="12"/>
          <w:szCs w:val="12"/>
          <w:color w:val="0067B3"/>
        </w:rPr>
      </w:pPr>
    </w:p>
    <w:p>
      <w:pPr>
        <w:ind w:left="200" w:right="100" w:hanging="192"/>
        <w:spacing w:after="0" w:line="268" w:lineRule="auto"/>
        <w:tabs>
          <w:tab w:leader="none" w:pos="157" w:val="left"/>
        </w:tabs>
        <w:numPr>
          <w:ilvl w:val="0"/>
          <w:numId w:val="145"/>
        </w:numPr>
        <w:rPr>
          <w:rFonts w:ascii="Arial" w:cs="Arial" w:eastAsia="Arial" w:hAnsi="Arial"/>
          <w:sz w:val="13"/>
          <w:szCs w:val="13"/>
          <w:color w:val="0067B3"/>
        </w:rPr>
      </w:pPr>
      <w:r>
        <w:rPr>
          <w:rFonts w:ascii="Arial" w:cs="Arial" w:eastAsia="Arial" w:hAnsi="Arial"/>
          <w:sz w:val="18"/>
          <w:szCs w:val="18"/>
          <w:i w:val="1"/>
          <w:iCs w:val="1"/>
          <w:color w:val="auto"/>
        </w:rPr>
        <w:t>Material Amendments Require Shareholder Approval</w:t>
      </w:r>
      <w:r>
        <w:rPr>
          <w:rFonts w:ascii="Arial" w:cs="Arial" w:eastAsia="Arial" w:hAnsi="Arial"/>
          <w:sz w:val="18"/>
          <w:szCs w:val="18"/>
          <w:color w:val="auto"/>
        </w:rPr>
        <w:t>. Shareholder approval is required prior to an amendment to the Amended 2020 Plan</w:t>
      </w:r>
      <w:r>
        <w:rPr>
          <w:rFonts w:ascii="Arial" w:cs="Arial" w:eastAsia="Arial" w:hAnsi="Arial"/>
          <w:sz w:val="18"/>
          <w:szCs w:val="18"/>
          <w:i w:val="1"/>
          <w:iCs w:val="1"/>
          <w:color w:val="auto"/>
        </w:rPr>
        <w:t xml:space="preserve"> </w:t>
      </w:r>
      <w:r>
        <w:rPr>
          <w:rFonts w:ascii="Arial" w:cs="Arial" w:eastAsia="Arial" w:hAnsi="Arial"/>
          <w:sz w:val="18"/>
          <w:szCs w:val="18"/>
          <w:color w:val="auto"/>
        </w:rPr>
        <w:t>that would (i) materially increase the number of shares authorized, (ii) expand the types of awards that may be granted, or (iii) materially expand the class of participants eligible to participate.</w:t>
      </w:r>
    </w:p>
    <w:p>
      <w:pPr>
        <w:spacing w:after="0" w:line="22" w:lineRule="exact"/>
        <w:rPr>
          <w:rFonts w:ascii="Arial" w:cs="Arial" w:eastAsia="Arial" w:hAnsi="Arial"/>
          <w:sz w:val="13"/>
          <w:szCs w:val="13"/>
          <w:color w:val="0067B3"/>
        </w:rPr>
      </w:pPr>
    </w:p>
    <w:p>
      <w:pPr>
        <w:ind w:left="200" w:right="100" w:hanging="192"/>
        <w:spacing w:after="0" w:line="287" w:lineRule="auto"/>
        <w:tabs>
          <w:tab w:leader="none" w:pos="157" w:val="left"/>
        </w:tabs>
        <w:numPr>
          <w:ilvl w:val="0"/>
          <w:numId w:val="145"/>
        </w:numPr>
        <w:rPr>
          <w:rFonts w:ascii="Arial" w:cs="Arial" w:eastAsia="Arial" w:hAnsi="Arial"/>
          <w:sz w:val="13"/>
          <w:szCs w:val="13"/>
          <w:color w:val="0067B3"/>
        </w:rPr>
      </w:pPr>
      <w:r>
        <w:rPr>
          <w:rFonts w:ascii="Arial" w:cs="Arial" w:eastAsia="Arial" w:hAnsi="Arial"/>
          <w:sz w:val="18"/>
          <w:szCs w:val="18"/>
          <w:i w:val="1"/>
          <w:iCs w:val="1"/>
          <w:color w:val="auto"/>
        </w:rPr>
        <w:t>Administered by an Independent Committee</w:t>
      </w:r>
      <w:r>
        <w:rPr>
          <w:rFonts w:ascii="Arial" w:cs="Arial" w:eastAsia="Arial" w:hAnsi="Arial"/>
          <w:sz w:val="18"/>
          <w:szCs w:val="18"/>
          <w:color w:val="auto"/>
        </w:rPr>
        <w:t>. The Amended 2020 Plan is administered by the Compensation and Talent Committee, which</w:t>
      </w:r>
      <w:r>
        <w:rPr>
          <w:rFonts w:ascii="Arial" w:cs="Arial" w:eastAsia="Arial" w:hAnsi="Arial"/>
          <w:sz w:val="18"/>
          <w:szCs w:val="18"/>
          <w:i w:val="1"/>
          <w:iCs w:val="1"/>
          <w:color w:val="auto"/>
        </w:rPr>
        <w:t xml:space="preserve"> </w:t>
      </w:r>
      <w:r>
        <w:rPr>
          <w:rFonts w:ascii="Arial" w:cs="Arial" w:eastAsia="Arial" w:hAnsi="Arial"/>
          <w:sz w:val="18"/>
          <w:szCs w:val="18"/>
          <w:color w:val="auto"/>
        </w:rPr>
        <w:t>is made up entirely of independent directors.</w:t>
      </w:r>
    </w:p>
    <w:p>
      <w:pPr>
        <w:spacing w:after="0" w:line="200" w:lineRule="exact"/>
        <w:rPr>
          <w:sz w:val="20"/>
          <w:szCs w:val="20"/>
          <w:color w:val="auto"/>
        </w:rPr>
      </w:pPr>
    </w:p>
    <w:p>
      <w:pPr>
        <w:spacing w:after="0" w:line="226" w:lineRule="exact"/>
        <w:rPr>
          <w:sz w:val="20"/>
          <w:szCs w:val="20"/>
          <w:color w:val="auto"/>
        </w:rPr>
      </w:pPr>
    </w:p>
    <w:p>
      <w:pPr>
        <w:ind w:left="640" w:hanging="614"/>
        <w:spacing w:after="0"/>
        <w:tabs>
          <w:tab w:leader="none" w:pos="640" w:val="left"/>
        </w:tabs>
        <w:numPr>
          <w:ilvl w:val="0"/>
          <w:numId w:val="146"/>
        </w:numPr>
        <w:rPr>
          <w:rFonts w:ascii="Arial" w:cs="Arial" w:eastAsia="Arial" w:hAnsi="Arial"/>
          <w:sz w:val="20"/>
          <w:szCs w:val="20"/>
          <w:b w:val="1"/>
          <w:bCs w:val="1"/>
          <w:color w:val="auto"/>
        </w:rPr>
      </w:pPr>
      <w:r>
        <w:rPr>
          <w:rFonts w:ascii="Arial" w:cs="Arial" w:eastAsia="Arial" w:hAnsi="Arial"/>
          <w:sz w:val="16"/>
          <w:szCs w:val="16"/>
          <w:color w:val="6D6E71"/>
        </w:rPr>
        <w:t>Proposal 4: Approval of the Amended and Restated Analog Devices, Inc. 2020 Equity Incentive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194310</wp:posOffset>
            </wp:positionV>
            <wp:extent cx="7157720" cy="42545"/>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4" w:right="339" w:bottom="1440" w:gutter="0" w:footer="0" w:header="0"/>
        </w:sectPr>
      </w:pPr>
    </w:p>
    <w:bookmarkStart w:id="88" w:name="page89"/>
    <w:bookmarkEnd w:id="88"/>
    <w:p>
      <w:pPr>
        <w:spacing w:after="0"/>
        <w:rPr>
          <w:sz w:val="20"/>
          <w:szCs w:val="20"/>
          <w:color w:val="auto"/>
        </w:rPr>
      </w:pPr>
      <w:r>
        <w:rPr>
          <w:rFonts w:ascii="Arial" w:cs="Arial" w:eastAsia="Arial" w:hAnsi="Arial"/>
          <w:sz w:val="41"/>
          <w:szCs w:val="41"/>
          <w:b w:val="1"/>
          <w:bCs w:val="1"/>
          <w:color w:val="0067B3"/>
        </w:rPr>
        <w:t>Information Regarding Overhang and Dilution</w:t>
      </w:r>
    </w:p>
    <w:p>
      <w:pPr>
        <w:spacing w:after="0" w:line="169" w:lineRule="exact"/>
        <w:rPr>
          <w:sz w:val="20"/>
          <w:szCs w:val="20"/>
          <w:color w:val="auto"/>
        </w:rPr>
      </w:pPr>
    </w:p>
    <w:p>
      <w:pPr>
        <w:ind w:right="120"/>
        <w:spacing w:after="0" w:line="287" w:lineRule="auto"/>
        <w:rPr>
          <w:sz w:val="20"/>
          <w:szCs w:val="20"/>
          <w:color w:val="auto"/>
        </w:rPr>
      </w:pPr>
      <w:r>
        <w:rPr>
          <w:rFonts w:ascii="Arial" w:cs="Arial" w:eastAsia="Arial" w:hAnsi="Arial"/>
          <w:sz w:val="18"/>
          <w:szCs w:val="18"/>
          <w:color w:val="auto"/>
        </w:rPr>
        <w:t>In developing our share request for the Amended 2020 Plan and analyzing the impact of utilizing equity as a means of compensation on our shareholders, we considered both our “overhang” and our “burn rate”.</w:t>
      </w:r>
    </w:p>
    <w:p>
      <w:pPr>
        <w:spacing w:after="0" w:line="45"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Overhang is a measure of potential dilution which we define as the sum of (i) the total number of shares underlying all equity awards outstanding and (ii) the total number of shares available for future award grants, divided by the number of shares of common stock outstanding. As of November 1, 2025, there were 5,623,646 shares underlying all equity awards outstanding and 11,592,135 shares available for future awards, and the basic weighted average common shares outstanding for the period ended November 1, 2025 was 494,381,383. Accordingly, our overhang at November 1, 2025 was 3.48%. For purposes of this calculation, we counted the shares subject to our PRSUs using the target number of shares of common stock issuable under such awards. If the 13,000,000 additional shares proposed to be authorized for grant under the Amended 2020 Plan are included in the calculation, our overhang on November 1, 2025 would have been 6.11%.</w:t>
      </w:r>
    </w:p>
    <w:p>
      <w:pPr>
        <w:spacing w:after="0" w:line="77" w:lineRule="exact"/>
        <w:rPr>
          <w:sz w:val="20"/>
          <w:szCs w:val="20"/>
          <w:color w:val="auto"/>
        </w:rPr>
      </w:pPr>
    </w:p>
    <w:p>
      <w:pPr>
        <w:ind w:right="120"/>
        <w:spacing w:after="0" w:line="268" w:lineRule="auto"/>
        <w:rPr>
          <w:sz w:val="20"/>
          <w:szCs w:val="20"/>
          <w:color w:val="auto"/>
        </w:rPr>
      </w:pPr>
      <w:r>
        <w:rPr>
          <w:rFonts w:ascii="Arial" w:cs="Arial" w:eastAsia="Arial" w:hAnsi="Arial"/>
          <w:sz w:val="18"/>
          <w:szCs w:val="18"/>
          <w:color w:val="auto"/>
        </w:rPr>
        <w:t>Burn rate provides a measure of the potential dilutive impact of our equity award program which we calculate by dividing the number of shares subject to equity awards granted during the fiscal year by the basic weighted average number of shares outstanding. Set forth below is a table that reflects our burn rate for the 2025, 2024 and 2023 fiscal years as well as an average over those years.</w:t>
      </w:r>
    </w:p>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3860" w:type="dxa"/>
            <w:vAlign w:val="bottom"/>
            <w:shd w:val="clear" w:color="auto" w:fill="0067B3"/>
          </w:tcPr>
          <w:p>
            <w:pPr>
              <w:spacing w:after="0"/>
              <w:rPr>
                <w:sz w:val="17"/>
                <w:szCs w:val="17"/>
                <w:color w:val="auto"/>
              </w:rPr>
            </w:pPr>
          </w:p>
        </w:tc>
        <w:tc>
          <w:tcPr>
            <w:tcW w:w="3100" w:type="dxa"/>
            <w:vAlign w:val="bottom"/>
            <w:shd w:val="clear" w:color="auto" w:fill="0067B3"/>
          </w:tcPr>
          <w:p>
            <w:pPr>
              <w:jc w:val="right"/>
              <w:spacing w:after="0"/>
              <w:rPr>
                <w:sz w:val="20"/>
                <w:szCs w:val="20"/>
                <w:color w:val="auto"/>
              </w:rPr>
            </w:pPr>
            <w:r>
              <w:rPr>
                <w:rFonts w:ascii="Arial" w:cs="Arial" w:eastAsia="Arial" w:hAnsi="Arial"/>
                <w:sz w:val="16"/>
                <w:szCs w:val="16"/>
                <w:b w:val="1"/>
                <w:bCs w:val="1"/>
                <w:color w:val="FFFFFF"/>
              </w:rPr>
              <w:t>Awards</w:t>
            </w:r>
          </w:p>
        </w:tc>
        <w:tc>
          <w:tcPr>
            <w:tcW w:w="3080" w:type="dxa"/>
            <w:vAlign w:val="bottom"/>
            <w:shd w:val="clear" w:color="auto" w:fill="0067B3"/>
          </w:tcPr>
          <w:p>
            <w:pPr>
              <w:jc w:val="right"/>
              <w:ind w:right="193"/>
              <w:spacing w:after="0"/>
              <w:rPr>
                <w:sz w:val="20"/>
                <w:szCs w:val="20"/>
                <w:color w:val="auto"/>
              </w:rPr>
            </w:pPr>
            <w:r>
              <w:rPr>
                <w:rFonts w:ascii="Arial" w:cs="Arial" w:eastAsia="Arial" w:hAnsi="Arial"/>
                <w:sz w:val="16"/>
                <w:szCs w:val="16"/>
                <w:b w:val="1"/>
                <w:bCs w:val="1"/>
                <w:color w:val="FFFFFF"/>
              </w:rPr>
              <w:t>Basic Weighted Average Number of</w:t>
            </w:r>
          </w:p>
        </w:tc>
        <w:tc>
          <w:tcPr>
            <w:tcW w:w="1200" w:type="dxa"/>
            <w:vAlign w:val="bottom"/>
            <w:shd w:val="clear" w:color="auto" w:fill="0067B3"/>
          </w:tcPr>
          <w:p>
            <w:pPr>
              <w:jc w:val="right"/>
              <w:spacing w:after="0"/>
              <w:rPr>
                <w:sz w:val="20"/>
                <w:szCs w:val="20"/>
                <w:color w:val="auto"/>
              </w:rPr>
            </w:pPr>
            <w:r>
              <w:rPr>
                <w:rFonts w:ascii="Arial" w:cs="Arial" w:eastAsia="Arial" w:hAnsi="Arial"/>
                <w:sz w:val="16"/>
                <w:szCs w:val="16"/>
                <w:b w:val="1"/>
                <w:bCs w:val="1"/>
                <w:color w:val="FFFFFF"/>
              </w:rPr>
              <w:t>Gross Burn</w:t>
            </w:r>
          </w:p>
        </w:tc>
      </w:tr>
      <w:tr>
        <w:trPr>
          <w:trHeight w:val="244"/>
        </w:trPr>
        <w:tc>
          <w:tcPr>
            <w:tcW w:w="3860" w:type="dxa"/>
            <w:vAlign w:val="bottom"/>
            <w:shd w:val="clear" w:color="auto" w:fill="0067B3"/>
          </w:tcPr>
          <w:p>
            <w:pPr>
              <w:ind w:left="20"/>
              <w:spacing w:after="0"/>
              <w:rPr>
                <w:sz w:val="20"/>
                <w:szCs w:val="20"/>
                <w:color w:val="auto"/>
              </w:rPr>
            </w:pPr>
            <w:r>
              <w:rPr>
                <w:rFonts w:ascii="Arial" w:cs="Arial" w:eastAsia="Arial" w:hAnsi="Arial"/>
                <w:sz w:val="16"/>
                <w:szCs w:val="16"/>
                <w:b w:val="1"/>
                <w:bCs w:val="1"/>
                <w:color w:val="FFFFFF"/>
              </w:rPr>
              <w:t>Fiscal Year</w:t>
            </w:r>
          </w:p>
        </w:tc>
        <w:tc>
          <w:tcPr>
            <w:tcW w:w="3100" w:type="dxa"/>
            <w:vAlign w:val="bottom"/>
            <w:shd w:val="clear" w:color="auto" w:fill="0067B3"/>
          </w:tcPr>
          <w:p>
            <w:pPr>
              <w:jc w:val="right"/>
              <w:spacing w:after="0"/>
              <w:rPr>
                <w:sz w:val="20"/>
                <w:szCs w:val="20"/>
                <w:color w:val="auto"/>
              </w:rPr>
            </w:pPr>
            <w:r>
              <w:rPr>
                <w:rFonts w:ascii="Arial" w:cs="Arial" w:eastAsia="Arial" w:hAnsi="Arial"/>
                <w:sz w:val="16"/>
                <w:szCs w:val="16"/>
                <w:b w:val="1"/>
                <w:bCs w:val="1"/>
                <w:color w:val="FFFFFF"/>
              </w:rPr>
              <w:t>Granted</w:t>
            </w:r>
            <w:r>
              <w:rPr>
                <w:rFonts w:ascii="Arial" w:cs="Arial" w:eastAsia="Arial" w:hAnsi="Arial"/>
                <w:sz w:val="21"/>
                <w:szCs w:val="21"/>
                <w:b w:val="1"/>
                <w:bCs w:val="1"/>
                <w:color w:val="FFFFFF"/>
                <w:vertAlign w:val="superscript"/>
              </w:rPr>
              <w:t>(1)</w:t>
            </w:r>
          </w:p>
        </w:tc>
        <w:tc>
          <w:tcPr>
            <w:tcW w:w="3080" w:type="dxa"/>
            <w:vAlign w:val="bottom"/>
            <w:shd w:val="clear" w:color="auto" w:fill="0067B3"/>
          </w:tcPr>
          <w:p>
            <w:pPr>
              <w:jc w:val="right"/>
              <w:ind w:right="193"/>
              <w:spacing w:after="0"/>
              <w:rPr>
                <w:sz w:val="20"/>
                <w:szCs w:val="20"/>
                <w:color w:val="auto"/>
              </w:rPr>
            </w:pPr>
            <w:r>
              <w:rPr>
                <w:rFonts w:ascii="Arial" w:cs="Arial" w:eastAsia="Arial" w:hAnsi="Arial"/>
                <w:sz w:val="16"/>
                <w:szCs w:val="16"/>
                <w:b w:val="1"/>
                <w:bCs w:val="1"/>
                <w:color w:val="FFFFFF"/>
              </w:rPr>
              <w:t>Common Shares Outstanding</w:t>
            </w:r>
          </w:p>
        </w:tc>
        <w:tc>
          <w:tcPr>
            <w:tcW w:w="1200" w:type="dxa"/>
            <w:vAlign w:val="bottom"/>
            <w:shd w:val="clear" w:color="auto" w:fill="0067B3"/>
          </w:tcPr>
          <w:p>
            <w:pPr>
              <w:jc w:val="right"/>
              <w:spacing w:after="0"/>
              <w:rPr>
                <w:sz w:val="20"/>
                <w:szCs w:val="20"/>
                <w:color w:val="auto"/>
              </w:rPr>
            </w:pPr>
            <w:r>
              <w:rPr>
                <w:rFonts w:ascii="Arial" w:cs="Arial" w:eastAsia="Arial" w:hAnsi="Arial"/>
                <w:sz w:val="16"/>
                <w:szCs w:val="16"/>
                <w:b w:val="1"/>
                <w:bCs w:val="1"/>
                <w:color w:val="FFFFFF"/>
              </w:rPr>
              <w:t>Rate</w:t>
            </w:r>
            <w:r>
              <w:rPr>
                <w:rFonts w:ascii="Arial" w:cs="Arial" w:eastAsia="Arial" w:hAnsi="Arial"/>
                <w:sz w:val="21"/>
                <w:szCs w:val="21"/>
                <w:b w:val="1"/>
                <w:bCs w:val="1"/>
                <w:color w:val="FFFFFF"/>
                <w:vertAlign w:val="superscript"/>
              </w:rPr>
              <w:t>(2)</w:t>
            </w:r>
          </w:p>
        </w:tc>
      </w:tr>
      <w:tr>
        <w:trPr>
          <w:trHeight w:val="250"/>
        </w:trPr>
        <w:tc>
          <w:tcPr>
            <w:tcW w:w="3860" w:type="dxa"/>
            <w:vAlign w:val="bottom"/>
            <w:tcBorders>
              <w:bottom w:val="single" w:sz="8" w:color="E2E6F4"/>
            </w:tcBorders>
            <w:shd w:val="clear" w:color="auto" w:fill="E2E6F4"/>
          </w:tcPr>
          <w:p>
            <w:pPr>
              <w:ind w:left="20"/>
              <w:spacing w:after="0"/>
              <w:rPr>
                <w:sz w:val="20"/>
                <w:szCs w:val="20"/>
                <w:color w:val="auto"/>
              </w:rPr>
            </w:pPr>
            <w:r>
              <w:rPr>
                <w:rFonts w:ascii="Arial" w:cs="Arial" w:eastAsia="Arial" w:hAnsi="Arial"/>
                <w:sz w:val="18"/>
                <w:szCs w:val="18"/>
                <w:color w:val="auto"/>
              </w:rPr>
              <w:t>2025</w:t>
            </w:r>
          </w:p>
        </w:tc>
        <w:tc>
          <w:tcPr>
            <w:tcW w:w="3100" w:type="dxa"/>
            <w:vAlign w:val="bottom"/>
            <w:tcBorders>
              <w:bottom w:val="single" w:sz="8" w:color="E2E6F4"/>
            </w:tcBorders>
            <w:shd w:val="clear" w:color="auto" w:fill="E2E6F4"/>
          </w:tcPr>
          <w:p>
            <w:pPr>
              <w:jc w:val="right"/>
              <w:spacing w:after="0"/>
              <w:rPr>
                <w:sz w:val="20"/>
                <w:szCs w:val="20"/>
                <w:color w:val="auto"/>
              </w:rPr>
            </w:pPr>
            <w:r>
              <w:rPr>
                <w:rFonts w:ascii="Arial" w:cs="Arial" w:eastAsia="Arial" w:hAnsi="Arial"/>
                <w:sz w:val="18"/>
                <w:szCs w:val="18"/>
                <w:color w:val="auto"/>
              </w:rPr>
              <w:t>2,194,439</w:t>
            </w:r>
          </w:p>
        </w:tc>
        <w:tc>
          <w:tcPr>
            <w:tcW w:w="3080" w:type="dxa"/>
            <w:vAlign w:val="bottom"/>
            <w:tcBorders>
              <w:bottom w:val="single" w:sz="8" w:color="E2E6F4"/>
            </w:tcBorders>
            <w:shd w:val="clear" w:color="auto" w:fill="E2E6F4"/>
          </w:tcPr>
          <w:p>
            <w:pPr>
              <w:jc w:val="right"/>
              <w:ind w:right="193"/>
              <w:spacing w:after="0"/>
              <w:rPr>
                <w:sz w:val="20"/>
                <w:szCs w:val="20"/>
                <w:color w:val="auto"/>
              </w:rPr>
            </w:pPr>
            <w:r>
              <w:rPr>
                <w:rFonts w:ascii="Arial" w:cs="Arial" w:eastAsia="Arial" w:hAnsi="Arial"/>
                <w:sz w:val="18"/>
                <w:szCs w:val="18"/>
                <w:color w:val="auto"/>
              </w:rPr>
              <w:t>494,381,383</w:t>
            </w:r>
          </w:p>
        </w:tc>
        <w:tc>
          <w:tcPr>
            <w:tcW w:w="1200" w:type="dxa"/>
            <w:vAlign w:val="bottom"/>
            <w:tcBorders>
              <w:bottom w:val="single" w:sz="8" w:color="E2E6F4"/>
            </w:tcBorders>
            <w:shd w:val="clear" w:color="auto" w:fill="E2E6F4"/>
          </w:tcPr>
          <w:p>
            <w:pPr>
              <w:jc w:val="right"/>
              <w:spacing w:after="0"/>
              <w:rPr>
                <w:sz w:val="20"/>
                <w:szCs w:val="20"/>
                <w:color w:val="auto"/>
              </w:rPr>
            </w:pPr>
            <w:r>
              <w:rPr>
                <w:rFonts w:ascii="Arial" w:cs="Arial" w:eastAsia="Arial" w:hAnsi="Arial"/>
                <w:sz w:val="18"/>
                <w:szCs w:val="18"/>
                <w:color w:val="auto"/>
              </w:rPr>
              <w:t>0.44 %</w:t>
            </w:r>
          </w:p>
        </w:tc>
      </w:tr>
      <w:tr>
        <w:trPr>
          <w:trHeight w:val="247"/>
        </w:trPr>
        <w:tc>
          <w:tcPr>
            <w:tcW w:w="3860" w:type="dxa"/>
            <w:vAlign w:val="bottom"/>
          </w:tcPr>
          <w:p>
            <w:pPr>
              <w:ind w:left="20"/>
              <w:spacing w:after="0"/>
              <w:rPr>
                <w:sz w:val="20"/>
                <w:szCs w:val="20"/>
                <w:color w:val="auto"/>
              </w:rPr>
            </w:pPr>
            <w:r>
              <w:rPr>
                <w:rFonts w:ascii="Arial" w:cs="Arial" w:eastAsia="Arial" w:hAnsi="Arial"/>
                <w:sz w:val="18"/>
                <w:szCs w:val="18"/>
                <w:color w:val="auto"/>
              </w:rPr>
              <w:t>2024</w:t>
            </w:r>
          </w:p>
        </w:tc>
        <w:tc>
          <w:tcPr>
            <w:tcW w:w="3100" w:type="dxa"/>
            <w:vAlign w:val="bottom"/>
          </w:tcPr>
          <w:p>
            <w:pPr>
              <w:jc w:val="right"/>
              <w:spacing w:after="0"/>
              <w:rPr>
                <w:sz w:val="20"/>
                <w:szCs w:val="20"/>
                <w:color w:val="auto"/>
              </w:rPr>
            </w:pPr>
            <w:r>
              <w:rPr>
                <w:rFonts w:ascii="Arial" w:cs="Arial" w:eastAsia="Arial" w:hAnsi="Arial"/>
                <w:sz w:val="18"/>
                <w:szCs w:val="18"/>
                <w:color w:val="auto"/>
              </w:rPr>
              <w:t>1,741,822</w:t>
            </w:r>
          </w:p>
        </w:tc>
        <w:tc>
          <w:tcPr>
            <w:tcW w:w="3080" w:type="dxa"/>
            <w:vAlign w:val="bottom"/>
          </w:tcPr>
          <w:p>
            <w:pPr>
              <w:jc w:val="right"/>
              <w:ind w:right="193"/>
              <w:spacing w:after="0"/>
              <w:rPr>
                <w:sz w:val="20"/>
                <w:szCs w:val="20"/>
                <w:color w:val="auto"/>
              </w:rPr>
            </w:pPr>
            <w:r>
              <w:rPr>
                <w:rFonts w:ascii="Arial" w:cs="Arial" w:eastAsia="Arial" w:hAnsi="Arial"/>
                <w:sz w:val="18"/>
                <w:szCs w:val="18"/>
                <w:color w:val="auto"/>
              </w:rPr>
              <w:t>496,166,000</w:t>
            </w:r>
          </w:p>
        </w:tc>
        <w:tc>
          <w:tcPr>
            <w:tcW w:w="1200" w:type="dxa"/>
            <w:vAlign w:val="bottom"/>
          </w:tcPr>
          <w:p>
            <w:pPr>
              <w:jc w:val="right"/>
              <w:spacing w:after="0"/>
              <w:rPr>
                <w:sz w:val="20"/>
                <w:szCs w:val="20"/>
                <w:color w:val="auto"/>
              </w:rPr>
            </w:pPr>
            <w:r>
              <w:rPr>
                <w:rFonts w:ascii="Arial" w:cs="Arial" w:eastAsia="Arial" w:hAnsi="Arial"/>
                <w:sz w:val="18"/>
                <w:szCs w:val="18"/>
                <w:color w:val="auto"/>
              </w:rPr>
              <w:t>0.35 %</w:t>
            </w:r>
          </w:p>
        </w:tc>
      </w:tr>
      <w:tr>
        <w:trPr>
          <w:trHeight w:val="23"/>
        </w:trPr>
        <w:tc>
          <w:tcPr>
            <w:tcW w:w="3860" w:type="dxa"/>
            <w:vAlign w:val="bottom"/>
          </w:tcPr>
          <w:p>
            <w:pPr>
              <w:spacing w:after="0"/>
              <w:rPr>
                <w:sz w:val="2"/>
                <w:szCs w:val="2"/>
                <w:color w:val="auto"/>
              </w:rPr>
            </w:pPr>
          </w:p>
        </w:tc>
        <w:tc>
          <w:tcPr>
            <w:tcW w:w="3100" w:type="dxa"/>
            <w:vAlign w:val="bottom"/>
          </w:tcPr>
          <w:p>
            <w:pPr>
              <w:spacing w:after="0"/>
              <w:rPr>
                <w:sz w:val="2"/>
                <w:szCs w:val="2"/>
                <w:color w:val="auto"/>
              </w:rPr>
            </w:pPr>
          </w:p>
        </w:tc>
        <w:tc>
          <w:tcPr>
            <w:tcW w:w="308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3860" w:type="dxa"/>
            <w:vAlign w:val="bottom"/>
            <w:tcBorders>
              <w:bottom w:val="single" w:sz="8" w:color="E2E6F4"/>
            </w:tcBorders>
            <w:shd w:val="clear" w:color="auto" w:fill="E2E6F4"/>
          </w:tcPr>
          <w:p>
            <w:pPr>
              <w:ind w:left="20"/>
              <w:spacing w:after="0"/>
              <w:rPr>
                <w:sz w:val="20"/>
                <w:szCs w:val="20"/>
                <w:color w:val="auto"/>
              </w:rPr>
            </w:pPr>
            <w:r>
              <w:rPr>
                <w:rFonts w:ascii="Arial" w:cs="Arial" w:eastAsia="Arial" w:hAnsi="Arial"/>
                <w:sz w:val="18"/>
                <w:szCs w:val="18"/>
                <w:color w:val="auto"/>
              </w:rPr>
              <w:t>2023</w:t>
            </w:r>
          </w:p>
        </w:tc>
        <w:tc>
          <w:tcPr>
            <w:tcW w:w="3100" w:type="dxa"/>
            <w:vAlign w:val="bottom"/>
            <w:tcBorders>
              <w:bottom w:val="single" w:sz="8" w:color="E2E6F4"/>
            </w:tcBorders>
            <w:shd w:val="clear" w:color="auto" w:fill="E2E6F4"/>
          </w:tcPr>
          <w:p>
            <w:pPr>
              <w:jc w:val="right"/>
              <w:spacing w:after="0"/>
              <w:rPr>
                <w:sz w:val="20"/>
                <w:szCs w:val="20"/>
                <w:color w:val="auto"/>
              </w:rPr>
            </w:pPr>
            <w:r>
              <w:rPr>
                <w:rFonts w:ascii="Arial" w:cs="Arial" w:eastAsia="Arial" w:hAnsi="Arial"/>
                <w:sz w:val="18"/>
                <w:szCs w:val="18"/>
                <w:color w:val="auto"/>
              </w:rPr>
              <w:t>1,912,710</w:t>
            </w:r>
          </w:p>
        </w:tc>
        <w:tc>
          <w:tcPr>
            <w:tcW w:w="3080" w:type="dxa"/>
            <w:vAlign w:val="bottom"/>
            <w:tcBorders>
              <w:bottom w:val="single" w:sz="8" w:color="E2E6F4"/>
            </w:tcBorders>
            <w:shd w:val="clear" w:color="auto" w:fill="E2E6F4"/>
          </w:tcPr>
          <w:p>
            <w:pPr>
              <w:jc w:val="right"/>
              <w:ind w:right="193"/>
              <w:spacing w:after="0"/>
              <w:rPr>
                <w:sz w:val="20"/>
                <w:szCs w:val="20"/>
                <w:color w:val="auto"/>
              </w:rPr>
            </w:pPr>
            <w:r>
              <w:rPr>
                <w:rFonts w:ascii="Arial" w:cs="Arial" w:eastAsia="Arial" w:hAnsi="Arial"/>
                <w:sz w:val="18"/>
                <w:szCs w:val="18"/>
                <w:color w:val="auto"/>
              </w:rPr>
              <w:t>502,232,000</w:t>
            </w:r>
          </w:p>
        </w:tc>
        <w:tc>
          <w:tcPr>
            <w:tcW w:w="1200" w:type="dxa"/>
            <w:vAlign w:val="bottom"/>
            <w:tcBorders>
              <w:bottom w:val="single" w:sz="8" w:color="E2E6F4"/>
            </w:tcBorders>
            <w:shd w:val="clear" w:color="auto" w:fill="E2E6F4"/>
          </w:tcPr>
          <w:p>
            <w:pPr>
              <w:jc w:val="right"/>
              <w:spacing w:after="0"/>
              <w:rPr>
                <w:sz w:val="20"/>
                <w:szCs w:val="20"/>
                <w:color w:val="auto"/>
              </w:rPr>
            </w:pPr>
            <w:r>
              <w:rPr>
                <w:rFonts w:ascii="Arial" w:cs="Arial" w:eastAsia="Arial" w:hAnsi="Arial"/>
                <w:sz w:val="18"/>
                <w:szCs w:val="18"/>
                <w:color w:val="auto"/>
              </w:rPr>
              <w:t>0.38 %</w:t>
            </w:r>
          </w:p>
        </w:tc>
      </w:tr>
      <w:tr>
        <w:trPr>
          <w:trHeight w:val="247"/>
        </w:trPr>
        <w:tc>
          <w:tcPr>
            <w:tcW w:w="3860" w:type="dxa"/>
            <w:vAlign w:val="bottom"/>
          </w:tcPr>
          <w:p>
            <w:pPr>
              <w:ind w:left="20"/>
              <w:spacing w:after="0"/>
              <w:rPr>
                <w:sz w:val="20"/>
                <w:szCs w:val="20"/>
                <w:color w:val="auto"/>
              </w:rPr>
            </w:pPr>
            <w:r>
              <w:rPr>
                <w:rFonts w:ascii="Arial" w:cs="Arial" w:eastAsia="Arial" w:hAnsi="Arial"/>
                <w:sz w:val="18"/>
                <w:szCs w:val="18"/>
                <w:color w:val="auto"/>
              </w:rPr>
              <w:t>Three-Year Average</w:t>
            </w:r>
          </w:p>
        </w:tc>
        <w:tc>
          <w:tcPr>
            <w:tcW w:w="3100" w:type="dxa"/>
            <w:vAlign w:val="bottom"/>
          </w:tcPr>
          <w:p>
            <w:pPr>
              <w:jc w:val="right"/>
              <w:spacing w:after="0"/>
              <w:rPr>
                <w:sz w:val="20"/>
                <w:szCs w:val="20"/>
                <w:color w:val="auto"/>
              </w:rPr>
            </w:pPr>
            <w:r>
              <w:rPr>
                <w:rFonts w:ascii="Arial" w:cs="Arial" w:eastAsia="Arial" w:hAnsi="Arial"/>
                <w:sz w:val="18"/>
                <w:szCs w:val="18"/>
                <w:color w:val="auto"/>
              </w:rPr>
              <w:t>1,949,657</w:t>
            </w:r>
          </w:p>
        </w:tc>
        <w:tc>
          <w:tcPr>
            <w:tcW w:w="3080" w:type="dxa"/>
            <w:vAlign w:val="bottom"/>
          </w:tcPr>
          <w:p>
            <w:pPr>
              <w:jc w:val="right"/>
              <w:ind w:right="193"/>
              <w:spacing w:after="0"/>
              <w:rPr>
                <w:sz w:val="20"/>
                <w:szCs w:val="20"/>
                <w:color w:val="auto"/>
              </w:rPr>
            </w:pPr>
            <w:r>
              <w:rPr>
                <w:rFonts w:ascii="Arial" w:cs="Arial" w:eastAsia="Arial" w:hAnsi="Arial"/>
                <w:sz w:val="18"/>
                <w:szCs w:val="18"/>
                <w:color w:val="auto"/>
              </w:rPr>
              <w:t>497,593,128</w:t>
            </w:r>
          </w:p>
        </w:tc>
        <w:tc>
          <w:tcPr>
            <w:tcW w:w="1200" w:type="dxa"/>
            <w:vAlign w:val="bottom"/>
          </w:tcPr>
          <w:p>
            <w:pPr>
              <w:jc w:val="right"/>
              <w:spacing w:after="0"/>
              <w:rPr>
                <w:sz w:val="20"/>
                <w:szCs w:val="20"/>
                <w:color w:val="auto"/>
              </w:rPr>
            </w:pPr>
            <w:r>
              <w:rPr>
                <w:rFonts w:ascii="Arial" w:cs="Arial" w:eastAsia="Arial" w:hAnsi="Arial"/>
                <w:sz w:val="18"/>
                <w:szCs w:val="18"/>
                <w:color w:val="auto"/>
              </w:rPr>
              <w:t>0.39 %</w:t>
            </w:r>
          </w:p>
        </w:tc>
      </w:tr>
      <w:tr>
        <w:trPr>
          <w:trHeight w:val="23"/>
        </w:trPr>
        <w:tc>
          <w:tcPr>
            <w:tcW w:w="3860" w:type="dxa"/>
            <w:vAlign w:val="bottom"/>
            <w:tcBorders>
              <w:bottom w:val="single" w:sz="8" w:color="0067B3"/>
            </w:tcBorders>
          </w:tcPr>
          <w:p>
            <w:pPr>
              <w:spacing w:after="0"/>
              <w:rPr>
                <w:sz w:val="2"/>
                <w:szCs w:val="2"/>
                <w:color w:val="auto"/>
              </w:rPr>
            </w:pPr>
          </w:p>
        </w:tc>
        <w:tc>
          <w:tcPr>
            <w:tcW w:w="3100" w:type="dxa"/>
            <w:vAlign w:val="bottom"/>
            <w:tcBorders>
              <w:bottom w:val="single" w:sz="8" w:color="0067B3"/>
            </w:tcBorders>
          </w:tcPr>
          <w:p>
            <w:pPr>
              <w:spacing w:after="0"/>
              <w:rPr>
                <w:sz w:val="2"/>
                <w:szCs w:val="2"/>
                <w:color w:val="auto"/>
              </w:rPr>
            </w:pPr>
          </w:p>
        </w:tc>
        <w:tc>
          <w:tcPr>
            <w:tcW w:w="3080" w:type="dxa"/>
            <w:vAlign w:val="bottom"/>
            <w:tcBorders>
              <w:bottom w:val="single" w:sz="8" w:color="0067B3"/>
            </w:tcBorders>
          </w:tcPr>
          <w:p>
            <w:pPr>
              <w:spacing w:after="0"/>
              <w:rPr>
                <w:sz w:val="2"/>
                <w:szCs w:val="2"/>
                <w:color w:val="auto"/>
              </w:rPr>
            </w:pPr>
          </w:p>
        </w:tc>
        <w:tc>
          <w:tcPr>
            <w:tcW w:w="1200" w:type="dxa"/>
            <w:vAlign w:val="bottom"/>
            <w:tcBorders>
              <w:bottom w:val="single" w:sz="8" w:color="0067B3"/>
            </w:tcBorders>
          </w:tcPr>
          <w:p>
            <w:pPr>
              <w:spacing w:after="0"/>
              <w:rPr>
                <w:sz w:val="2"/>
                <w:szCs w:val="2"/>
                <w:color w:val="auto"/>
              </w:rPr>
            </w:pPr>
          </w:p>
        </w:tc>
      </w:tr>
    </w:tbl>
    <w:p>
      <w:pPr>
        <w:spacing w:after="0" w:line="148" w:lineRule="exact"/>
        <w:rPr>
          <w:sz w:val="20"/>
          <w:szCs w:val="20"/>
          <w:color w:val="auto"/>
        </w:rPr>
      </w:pPr>
    </w:p>
    <w:p>
      <w:pPr>
        <w:ind w:left="200" w:right="240" w:hanging="192"/>
        <w:spacing w:after="0" w:line="227" w:lineRule="auto"/>
        <w:tabs>
          <w:tab w:leader="none" w:pos="215" w:val="left"/>
        </w:tabs>
        <w:numPr>
          <w:ilvl w:val="0"/>
          <w:numId w:val="147"/>
        </w:numPr>
        <w:rPr>
          <w:rFonts w:ascii="Arial" w:cs="Arial" w:eastAsia="Arial" w:hAnsi="Arial"/>
          <w:sz w:val="21"/>
          <w:szCs w:val="21"/>
          <w:color w:val="auto"/>
          <w:vertAlign w:val="superscript"/>
        </w:rPr>
      </w:pPr>
      <w:r>
        <w:rPr>
          <w:rFonts w:ascii="Arial" w:cs="Arial" w:eastAsia="Arial" w:hAnsi="Arial"/>
          <w:sz w:val="16"/>
          <w:szCs w:val="16"/>
          <w:color w:val="auto"/>
        </w:rPr>
        <w:t>Awards granted represents the number of stock options plus adjusted restricted stock units/awards granted during the time period. Performance-based awards are reflected at target.</w:t>
      </w:r>
    </w:p>
    <w:p>
      <w:pPr>
        <w:spacing w:after="0" w:line="56" w:lineRule="exact"/>
        <w:rPr>
          <w:rFonts w:ascii="Arial" w:cs="Arial" w:eastAsia="Arial" w:hAnsi="Arial"/>
          <w:sz w:val="21"/>
          <w:szCs w:val="21"/>
          <w:color w:val="auto"/>
          <w:vertAlign w:val="superscript"/>
        </w:rPr>
      </w:pPr>
    </w:p>
    <w:p>
      <w:pPr>
        <w:ind w:left="200" w:right="180" w:hanging="192"/>
        <w:spacing w:after="0" w:line="238" w:lineRule="auto"/>
        <w:tabs>
          <w:tab w:leader="none" w:pos="215" w:val="left"/>
        </w:tabs>
        <w:numPr>
          <w:ilvl w:val="0"/>
          <w:numId w:val="147"/>
        </w:numPr>
        <w:rPr>
          <w:rFonts w:ascii="Arial" w:cs="Arial" w:eastAsia="Arial" w:hAnsi="Arial"/>
          <w:sz w:val="21"/>
          <w:szCs w:val="21"/>
          <w:color w:val="auto"/>
          <w:vertAlign w:val="superscript"/>
        </w:rPr>
      </w:pPr>
      <w:r>
        <w:rPr>
          <w:rFonts w:ascii="Arial" w:cs="Arial" w:eastAsia="Arial" w:hAnsi="Arial"/>
          <w:sz w:val="16"/>
          <w:szCs w:val="16"/>
          <w:color w:val="auto"/>
        </w:rPr>
        <w:t>“Gross burn rate” is defined as the number of equity awards granted in the fiscal year divided by the basic weighted average number of common shares outstanding. For purposes of this calculation, we counted shares subject to our outstanding PRSUs based on the target number of shares of common stock issuable under such awards.</w:t>
      </w:r>
    </w:p>
    <w:p>
      <w:pPr>
        <w:spacing w:after="0" w:line="262" w:lineRule="exact"/>
        <w:rPr>
          <w:sz w:val="20"/>
          <w:szCs w:val="20"/>
          <w:color w:val="auto"/>
        </w:rPr>
      </w:pPr>
    </w:p>
    <w:p>
      <w:pPr>
        <w:spacing w:after="0"/>
        <w:rPr>
          <w:sz w:val="20"/>
          <w:szCs w:val="20"/>
          <w:color w:val="auto"/>
        </w:rPr>
      </w:pPr>
      <w:r>
        <w:rPr>
          <w:rFonts w:ascii="Arial" w:cs="Arial" w:eastAsia="Arial" w:hAnsi="Arial"/>
          <w:sz w:val="41"/>
          <w:szCs w:val="41"/>
          <w:b w:val="1"/>
          <w:bCs w:val="1"/>
          <w:color w:val="0067B3"/>
        </w:rPr>
        <w:t>Description of the Amended 2020 Plan</w:t>
      </w:r>
    </w:p>
    <w:p>
      <w:pPr>
        <w:spacing w:after="0" w:line="156" w:lineRule="exact"/>
        <w:rPr>
          <w:sz w:val="20"/>
          <w:szCs w:val="20"/>
          <w:color w:val="auto"/>
        </w:rPr>
      </w:pPr>
    </w:p>
    <w:p>
      <w:pPr>
        <w:jc w:val="both"/>
        <w:ind w:right="540"/>
        <w:spacing w:after="0" w:line="262" w:lineRule="auto"/>
        <w:rPr>
          <w:sz w:val="20"/>
          <w:szCs w:val="20"/>
          <w:color w:val="auto"/>
        </w:rPr>
      </w:pPr>
      <w:r>
        <w:rPr>
          <w:rFonts w:ascii="Arial" w:cs="Arial" w:eastAsia="Arial" w:hAnsi="Arial"/>
          <w:sz w:val="18"/>
          <w:szCs w:val="18"/>
          <w:color w:val="auto"/>
        </w:rPr>
        <w:t>The following is a brief summary of the Amended 2020 Plan. This summary is not a complete description of all of the provisions of the Amended 2020 Plan. It is qualified in its entirety by reference to the full text of the Amended 2020 Plan , a copy of which is attached as Appendix A to this Proxy Statement. References to our Board of Directors in this summary shall include the Compensation and Talent Committee or any similar committee appointed by our Board of Directors to administer the Amended 2020 Plan.</w:t>
      </w:r>
    </w:p>
    <w:p>
      <w:pPr>
        <w:spacing w:after="0" w:line="205" w:lineRule="exact"/>
        <w:rPr>
          <w:sz w:val="20"/>
          <w:szCs w:val="20"/>
          <w:color w:val="auto"/>
        </w:rPr>
      </w:pPr>
    </w:p>
    <w:p>
      <w:pPr>
        <w:spacing w:after="0"/>
        <w:rPr>
          <w:sz w:val="20"/>
          <w:szCs w:val="20"/>
          <w:color w:val="auto"/>
        </w:rPr>
      </w:pPr>
      <w:r>
        <w:rPr>
          <w:rFonts w:ascii="Arial" w:cs="Arial" w:eastAsia="Arial" w:hAnsi="Arial"/>
          <w:sz w:val="32"/>
          <w:szCs w:val="32"/>
          <w:b w:val="1"/>
          <w:bCs w:val="1"/>
          <w:color w:val="auto"/>
        </w:rPr>
        <w:t>Types of Awards; Shares Available for Awards; Share Counting Rules</w:t>
      </w:r>
    </w:p>
    <w:p>
      <w:pPr>
        <w:spacing w:after="0" w:line="156" w:lineRule="exact"/>
        <w:rPr>
          <w:sz w:val="20"/>
          <w:szCs w:val="20"/>
          <w:color w:val="auto"/>
        </w:rPr>
      </w:pPr>
    </w:p>
    <w:p>
      <w:pPr>
        <w:ind w:right="160"/>
        <w:spacing w:after="0" w:line="268" w:lineRule="auto"/>
        <w:rPr>
          <w:sz w:val="20"/>
          <w:szCs w:val="20"/>
          <w:color w:val="auto"/>
        </w:rPr>
      </w:pPr>
      <w:r>
        <w:rPr>
          <w:rFonts w:ascii="Arial" w:cs="Arial" w:eastAsia="Arial" w:hAnsi="Arial"/>
          <w:sz w:val="18"/>
          <w:szCs w:val="18"/>
          <w:color w:val="auto"/>
        </w:rPr>
        <w:t>The Amended 2020 Plan provides for the grant of incentive stock options intended to qualify under Section 422 of the Code, nonstatutory stock options, SARs, restricted stock, restricted stock units and other stock-based awards as described below, which we collectively refer to as awards.</w:t>
      </w:r>
    </w:p>
    <w:p>
      <w:pPr>
        <w:spacing w:after="0" w:line="63" w:lineRule="exact"/>
        <w:rPr>
          <w:sz w:val="20"/>
          <w:szCs w:val="20"/>
          <w:color w:val="auto"/>
        </w:rPr>
      </w:pPr>
    </w:p>
    <w:p>
      <w:pPr>
        <w:ind w:right="400"/>
        <w:spacing w:after="0" w:line="287" w:lineRule="auto"/>
        <w:rPr>
          <w:sz w:val="20"/>
          <w:szCs w:val="20"/>
          <w:color w:val="auto"/>
        </w:rPr>
      </w:pPr>
      <w:r>
        <w:rPr>
          <w:rFonts w:ascii="Arial" w:cs="Arial" w:eastAsia="Arial" w:hAnsi="Arial"/>
          <w:sz w:val="18"/>
          <w:szCs w:val="18"/>
          <w:color w:val="auto"/>
        </w:rPr>
        <w:t>Subject to adjustment in the event of stock splits, stock dividends or similar events, awards may be made under the Amended 2020 Plan (any or all of which awards may be in the form of incentive stock options) will be equal to:</w:t>
      </w:r>
    </w:p>
    <w:p>
      <w:pPr>
        <w:spacing w:after="0" w:line="45" w:lineRule="exact"/>
        <w:rPr>
          <w:sz w:val="20"/>
          <w:szCs w:val="20"/>
          <w:color w:val="auto"/>
        </w:rPr>
      </w:pPr>
    </w:p>
    <w:p>
      <w:pPr>
        <w:ind w:left="200" w:right="640" w:hanging="192"/>
        <w:spacing w:after="0" w:line="287" w:lineRule="auto"/>
        <w:tabs>
          <w:tab w:leader="none" w:pos="157" w:val="left"/>
        </w:tabs>
        <w:numPr>
          <w:ilvl w:val="0"/>
          <w:numId w:val="148"/>
        </w:numPr>
        <w:rPr>
          <w:rFonts w:ascii="Arial" w:cs="Arial" w:eastAsia="Arial" w:hAnsi="Arial"/>
          <w:sz w:val="13"/>
          <w:szCs w:val="13"/>
          <w:color w:val="0067B3"/>
        </w:rPr>
      </w:pPr>
      <w:r>
        <w:rPr>
          <w:rFonts w:ascii="Arial" w:cs="Arial" w:eastAsia="Arial" w:hAnsi="Arial"/>
          <w:sz w:val="18"/>
          <w:szCs w:val="18"/>
          <w:color w:val="auto"/>
        </w:rPr>
        <w:t>11,592,135 shares, which equals the number of shares that remained available for future grant of awards under the 2020 Plan as of November 1, 2025,</w:t>
      </w:r>
    </w:p>
    <w:p>
      <w:pPr>
        <w:spacing w:after="0" w:line="17" w:lineRule="exact"/>
        <w:rPr>
          <w:rFonts w:ascii="Arial" w:cs="Arial" w:eastAsia="Arial" w:hAnsi="Arial"/>
          <w:sz w:val="13"/>
          <w:szCs w:val="13"/>
          <w:color w:val="0067B3"/>
        </w:rPr>
      </w:pPr>
    </w:p>
    <w:p>
      <w:pPr>
        <w:ind w:left="160" w:hanging="152"/>
        <w:spacing w:after="0"/>
        <w:tabs>
          <w:tab w:leader="none" w:pos="160" w:val="left"/>
        </w:tabs>
        <w:numPr>
          <w:ilvl w:val="0"/>
          <w:numId w:val="148"/>
        </w:numPr>
        <w:rPr>
          <w:rFonts w:ascii="Arial" w:cs="Arial" w:eastAsia="Arial" w:hAnsi="Arial"/>
          <w:sz w:val="13"/>
          <w:szCs w:val="13"/>
          <w:color w:val="0067B3"/>
        </w:rPr>
      </w:pPr>
      <w:r>
        <w:rPr>
          <w:rFonts w:ascii="Arial" w:cs="Arial" w:eastAsia="Arial" w:hAnsi="Arial"/>
          <w:sz w:val="18"/>
          <w:szCs w:val="18"/>
          <w:color w:val="auto"/>
        </w:rPr>
        <w:t>plus an additional 13,000,000 shares,</w:t>
      </w:r>
    </w:p>
    <w:p>
      <w:pPr>
        <w:spacing w:after="0" w:line="76" w:lineRule="exact"/>
        <w:rPr>
          <w:rFonts w:ascii="Arial" w:cs="Arial" w:eastAsia="Arial" w:hAnsi="Arial"/>
          <w:sz w:val="13"/>
          <w:szCs w:val="13"/>
          <w:color w:val="0067B3"/>
        </w:rPr>
      </w:pPr>
    </w:p>
    <w:p>
      <w:pPr>
        <w:ind w:left="160" w:hanging="152"/>
        <w:spacing w:after="0"/>
        <w:tabs>
          <w:tab w:leader="none" w:pos="160" w:val="left"/>
        </w:tabs>
        <w:numPr>
          <w:ilvl w:val="0"/>
          <w:numId w:val="148"/>
        </w:numPr>
        <w:rPr>
          <w:rFonts w:ascii="Arial" w:cs="Arial" w:eastAsia="Arial" w:hAnsi="Arial"/>
          <w:sz w:val="13"/>
          <w:szCs w:val="13"/>
          <w:color w:val="0067B3"/>
        </w:rPr>
      </w:pPr>
      <w:r>
        <w:rPr>
          <w:rFonts w:ascii="Arial" w:cs="Arial" w:eastAsia="Arial" w:hAnsi="Arial"/>
          <w:sz w:val="18"/>
          <w:szCs w:val="18"/>
          <w:color w:val="auto"/>
        </w:rPr>
        <w:t>less one share subject to any equity award granted under the 2020 Plan after November 1, 2025 and prior to the 2026 Annual Meeting,</w:t>
      </w:r>
    </w:p>
    <w:p>
      <w:pPr>
        <w:spacing w:after="0" w:line="76" w:lineRule="exact"/>
        <w:rPr>
          <w:rFonts w:ascii="Arial" w:cs="Arial" w:eastAsia="Arial" w:hAnsi="Arial"/>
          <w:sz w:val="13"/>
          <w:szCs w:val="13"/>
          <w:color w:val="0067B3"/>
        </w:rPr>
      </w:pPr>
    </w:p>
    <w:p>
      <w:pPr>
        <w:ind w:left="160" w:hanging="152"/>
        <w:spacing w:after="0"/>
        <w:tabs>
          <w:tab w:leader="none" w:pos="160" w:val="left"/>
        </w:tabs>
        <w:numPr>
          <w:ilvl w:val="0"/>
          <w:numId w:val="148"/>
        </w:numPr>
        <w:rPr>
          <w:rFonts w:ascii="Arial" w:cs="Arial" w:eastAsia="Arial" w:hAnsi="Arial"/>
          <w:sz w:val="13"/>
          <w:szCs w:val="13"/>
          <w:color w:val="0067B3"/>
        </w:rPr>
      </w:pPr>
      <w:r>
        <w:rPr>
          <w:rFonts w:ascii="Arial" w:cs="Arial" w:eastAsia="Arial" w:hAnsi="Arial"/>
          <w:sz w:val="18"/>
          <w:szCs w:val="18"/>
          <w:color w:val="auto"/>
        </w:rPr>
        <w:t>plus the applicable number of Returning Shares.</w:t>
      </w:r>
    </w:p>
    <w:p>
      <w:pPr>
        <w:spacing w:after="0" w:line="117" w:lineRule="exact"/>
        <w:rPr>
          <w:sz w:val="20"/>
          <w:szCs w:val="20"/>
          <w:color w:val="auto"/>
        </w:rPr>
      </w:pPr>
    </w:p>
    <w:p>
      <w:pPr>
        <w:ind w:right="280"/>
        <w:spacing w:after="0" w:line="262" w:lineRule="auto"/>
        <w:rPr>
          <w:sz w:val="20"/>
          <w:szCs w:val="20"/>
          <w:color w:val="auto"/>
        </w:rPr>
      </w:pPr>
      <w:r>
        <w:rPr>
          <w:rFonts w:ascii="Arial" w:cs="Arial" w:eastAsia="Arial" w:hAnsi="Arial"/>
          <w:sz w:val="18"/>
          <w:szCs w:val="18"/>
          <w:color w:val="auto"/>
        </w:rPr>
        <w:t>The maximum number of shares with respect to which awards may be granted to any participant under the Amended 2020 Plan may not exceed 2,000,000 shares per fiscal year for awards issued in the form of options or SARs and 1,000,000 shares per fiscal year for awards granted in the form of restricted stock awards, restricted stock unit awards or other stock-based awards. For purposes of this limit, the combination of an option in tandem with a SAR is treated as a single award.</w:t>
      </w:r>
    </w:p>
    <w:p>
      <w:pPr>
        <w:sectPr>
          <w:pgSz w:w="11900" w:h="16838" w:orient="portrait"/>
          <w:cols w:equalWidth="0" w:num="1">
            <w:col w:w="11240"/>
          </w:cols>
          <w:pgMar w:left="320" w:top="1356" w:right="339" w:bottom="1440" w:gutter="0" w:footer="0" w:header="0"/>
        </w:sectPr>
      </w:pPr>
    </w:p>
    <w:p>
      <w:pPr>
        <w:spacing w:after="0" w:line="200" w:lineRule="exact"/>
        <w:rPr>
          <w:sz w:val="20"/>
          <w:szCs w:val="20"/>
          <w:color w:val="auto"/>
        </w:rPr>
      </w:pPr>
    </w:p>
    <w:p>
      <w:pPr>
        <w:spacing w:after="0" w:line="241" w:lineRule="exact"/>
        <w:rPr>
          <w:sz w:val="20"/>
          <w:szCs w:val="20"/>
          <w:color w:val="auto"/>
        </w:rPr>
      </w:pPr>
    </w:p>
    <w:p>
      <w:pPr>
        <w:ind w:left="8980"/>
        <w:spacing w:after="0"/>
        <w:tabs>
          <w:tab w:leader="none" w:pos="10980" w:val="left"/>
        </w:tabs>
        <w:rPr>
          <w:sz w:val="20"/>
          <w:szCs w:val="20"/>
          <w:color w:val="auto"/>
        </w:rPr>
      </w:pPr>
      <w:r>
        <w:rPr>
          <w:rFonts w:ascii="Arial" w:cs="Arial" w:eastAsia="Arial" w:hAnsi="Arial"/>
          <w:sz w:val="16"/>
          <w:szCs w:val="16"/>
          <w:color w:val="0067B3"/>
        </w:rPr>
        <w:t>2026 Proxy Statement</w:t>
      </w:r>
      <w:r>
        <w:rPr>
          <w:sz w:val="20"/>
          <w:szCs w:val="20"/>
          <w:color w:val="auto"/>
        </w:rPr>
        <w:tab/>
      </w:r>
      <w:r>
        <w:rPr>
          <w:rFonts w:ascii="Arial" w:cs="Arial" w:eastAsia="Arial" w:hAnsi="Arial"/>
          <w:sz w:val="19"/>
          <w:szCs w:val="19"/>
          <w:b w:val="1"/>
          <w:bCs w:val="1"/>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232410</wp:posOffset>
            </wp:positionV>
            <wp:extent cx="7157720" cy="42545"/>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56" w:right="339" w:bottom="1440" w:gutter="0" w:footer="0" w:header="0"/>
          <w:type w:val="continuous"/>
        </w:sectPr>
      </w:pPr>
    </w:p>
    <w:bookmarkStart w:id="89" w:name="page90"/>
    <w:bookmarkEnd w:id="89"/>
    <w:p>
      <w:pPr>
        <w:spacing w:after="0" w:line="257" w:lineRule="auto"/>
        <w:rPr>
          <w:sz w:val="20"/>
          <w:szCs w:val="20"/>
          <w:color w:val="auto"/>
        </w:rPr>
      </w:pPr>
      <w:r>
        <w:rPr>
          <w:rFonts w:ascii="Arial" w:cs="Arial" w:eastAsia="Arial" w:hAnsi="Arial"/>
          <w:sz w:val="18"/>
          <w:szCs w:val="18"/>
          <w:color w:val="auto"/>
        </w:rPr>
        <w:t>The Amended 2020 Plan provides that the maximum amount of cash and equity compensation (calculated based on grant date fair value for financial reporting purposes) granted to any individual non-employee director in any fiscal year may not exceed $750,000; provided, however, fees paid by us on behalf of any non-employee director in connection with regulatory compliance and any amounts paid to a non-employee director as reimbursement of an expense shall not count against the foregoing limitation. Exceptions to these limitations may only be made by the Compensation and Talent Committee in extraordinary circumstances, or in the case of regulatory filing fees, provided that any non-employee director receiving additional compensation does not participate in the decision to award such compensation.</w:t>
      </w:r>
    </w:p>
    <w:p>
      <w:pPr>
        <w:spacing w:after="0" w:line="74" w:lineRule="exact"/>
        <w:rPr>
          <w:sz w:val="20"/>
          <w:szCs w:val="20"/>
          <w:color w:val="auto"/>
        </w:rPr>
      </w:pPr>
    </w:p>
    <w:p>
      <w:pPr>
        <w:ind w:right="200"/>
        <w:spacing w:after="0" w:line="255" w:lineRule="auto"/>
        <w:rPr>
          <w:sz w:val="20"/>
          <w:szCs w:val="20"/>
          <w:color w:val="auto"/>
        </w:rPr>
      </w:pPr>
      <w:r>
        <w:rPr>
          <w:rFonts w:ascii="Arial" w:cs="Arial" w:eastAsia="Arial" w:hAnsi="Arial"/>
          <w:sz w:val="18"/>
          <w:szCs w:val="18"/>
          <w:color w:val="auto"/>
        </w:rPr>
        <w:t>For purposes of counting the number of shares available for the grant of awards under the Amended 2020 Plan and the sublimits of the Amended 2020 Plan, all shares of common stock covered by SARs will be counted against the number of shares available for the grant of awards and against the sublimits of the Amended 2020 Plan. However, SARs that may be settled only in cash will not be so counted. Similarly, to the extent that a restricted stock unit award may be settled only in cash, no shares will be counted against the shares available for the grant of awards under the Amended 2020 Plan. In addition, if we grant an SAR in tandem with an option for the same number of shares of our common stock and provide that only one such award may be exercised, which we refer to as a tandem SAR, only the shares covered by the option, and not the shares covered by the tandem SAR, will be so counted, and the expiration of one in connection with the other’s exercise will not restore shares to the Amended 2020 Plan.</w:t>
      </w:r>
    </w:p>
    <w:p>
      <w:pPr>
        <w:spacing w:after="0" w:line="77"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Shares covered by awards under the Amended 2020 Plan that expire or are terminated, surrendered or canceled without having been fully exercised or are forfeited in whole or in part (including as the result of shares subject to such award being repurchased by us at the original issuance price pursuant to a contractual repurchase right) or that result in any shares not being issued (including as a result of an SAR that was settleable either in cash or in stock actually being settled in cash) will again be available for the grant of awards under the Amended 2020 Plan (subject, in the case of incentive stock options, to any limitations under the Code). In the case of the exercise of an SAR, the number of shares counted against the shares available for the grant of awards and against the sublimits of the Amended 2020 Plan will be the full number of shares subject to the SAR multiplied by the percentage of the SAR actually exercised, regardless of the number of shares actually used to settle the SAR upon exercise, and the shares covered by a tandem SAR will not again become available for grant upon the expiration or termination of the tandem SAR.</w:t>
      </w:r>
    </w:p>
    <w:p>
      <w:pPr>
        <w:spacing w:after="0" w:line="73"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Shares of common stock that are delivered (by actual delivery, attestation, or net exercise) to us by a participant to purchase shares of common stock upon exercise of an award or to satisfy tax withholding obligations (including shares retained from the award creating the tax obligation) will not be added back to the number of shares available for the future grant of awards under the Amended 2020 Plan. Shares purchased by us on the open market using proceeds from the exercise of an award will not increase the number of shares available for future grant of awards.</w:t>
      </w:r>
    </w:p>
    <w:p>
      <w:pPr>
        <w:spacing w:after="0" w:line="71"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In connection with a merger or consolidation of an entity with us or our acquisition of property or stock of an entity, our Board of Directors may grant awards under the Amended 2020 Plan in substitution for any options or other stock or stock-based awards granted by such entity or an affiliate thereof on such terms as our Board of Directors determines appropriate in the circumstances, notwithstanding any limitation on awards contained in the Amended 2020 Plan. Any such substitute awards shall not count against the overall share limits or the sublimits of the Amended 2020 Plan, except as required by reason of Section 422 and related provisions of the Code.</w:t>
      </w:r>
    </w:p>
    <w:p>
      <w:pPr>
        <w:spacing w:after="0" w:line="208" w:lineRule="exact"/>
        <w:rPr>
          <w:sz w:val="20"/>
          <w:szCs w:val="20"/>
          <w:color w:val="auto"/>
        </w:rPr>
      </w:pPr>
    </w:p>
    <w:p>
      <w:pPr>
        <w:spacing w:after="0"/>
        <w:rPr>
          <w:sz w:val="20"/>
          <w:szCs w:val="20"/>
          <w:color w:val="auto"/>
        </w:rPr>
      </w:pPr>
      <w:r>
        <w:rPr>
          <w:rFonts w:ascii="Arial" w:cs="Arial" w:eastAsia="Arial" w:hAnsi="Arial"/>
          <w:sz w:val="32"/>
          <w:szCs w:val="32"/>
          <w:b w:val="1"/>
          <w:bCs w:val="1"/>
          <w:color w:val="auto"/>
        </w:rPr>
        <w:t>Descriptions of Awards</w:t>
      </w:r>
    </w:p>
    <w:p>
      <w:pPr>
        <w:spacing w:after="0" w:line="156" w:lineRule="exact"/>
        <w:rPr>
          <w:sz w:val="20"/>
          <w:szCs w:val="20"/>
          <w:color w:val="auto"/>
        </w:rPr>
      </w:pPr>
    </w:p>
    <w:p>
      <w:pPr>
        <w:ind w:right="40"/>
        <w:spacing w:after="0" w:line="252" w:lineRule="auto"/>
        <w:rPr>
          <w:sz w:val="20"/>
          <w:szCs w:val="20"/>
          <w:color w:val="auto"/>
        </w:rPr>
      </w:pPr>
      <w:r>
        <w:rPr>
          <w:rFonts w:ascii="Arial" w:cs="Arial" w:eastAsia="Arial" w:hAnsi="Arial"/>
          <w:sz w:val="18"/>
          <w:szCs w:val="18"/>
          <w:b w:val="1"/>
          <w:bCs w:val="1"/>
          <w:color w:val="0067B3"/>
        </w:rPr>
        <w:t xml:space="preserve">Options. </w:t>
      </w:r>
      <w:r>
        <w:rPr>
          <w:rFonts w:ascii="Arial" w:cs="Arial" w:eastAsia="Arial" w:hAnsi="Arial"/>
          <w:sz w:val="18"/>
          <w:szCs w:val="18"/>
          <w:color w:val="000000"/>
        </w:rPr>
        <w:t>Optionees receive the right to purchase a specified number of shares of common stock at a specified exercise price and subject to</w:t>
      </w:r>
      <w:r>
        <w:rPr>
          <w:rFonts w:ascii="Arial" w:cs="Arial" w:eastAsia="Arial" w:hAnsi="Arial"/>
          <w:sz w:val="18"/>
          <w:szCs w:val="18"/>
          <w:b w:val="1"/>
          <w:bCs w:val="1"/>
          <w:color w:val="0067B3"/>
        </w:rPr>
        <w:t xml:space="preserve"> </w:t>
      </w:r>
      <w:r>
        <w:rPr>
          <w:rFonts w:ascii="Arial" w:cs="Arial" w:eastAsia="Arial" w:hAnsi="Arial"/>
          <w:sz w:val="18"/>
          <w:szCs w:val="18"/>
          <w:color w:val="000000"/>
        </w:rPr>
        <w:t>the other terms and conditions that are specified in connection with the option grant. An option that is not intended to be an “incentive stock option” is a “nonstatutory stock option”. Options may not be granted at an exercise price that is less than 100% of the fair market value of our common stock on the date of grant. If our Board of Directors approves the grant of an option with an exercise price to be determined on a future date, the exercise price may not be less than 100% of the fair market value of our common stock on that future date. Under present law, incentive stock options may not be granted at an exercise price less than 110% of the fair market value in the case of stock options granted to optionees holding more than 10% of the total combined voting power of all classes of our stock or any of our subsidiaries. Under the terms of the Amended 2020 Plan, options may not be granted for a term in excess of ten years (and, under present law, five years in the case of incentive stock options granted to optionees holding greater than 10% of the total combined voting power of all classes of our stock or any of our subsidiaries). The Amended 2020 Plan permits participants to pay the exercise price of options using one or more of the following manners of payment: (i) payment by cash or by check, (ii) except as may otherwise be provided in the applicable option agreement or approved by our Board of Directors, in connection with a “cashless exercise” through a broker, (iii) to the extent provided in the applicable option agreement or approved by our Board of Directors, and subject to certain conditions, by delivery of shares of common stock to us owned by the participant valued at their fair market value, (iv) to the extent provided in an applicable nonstatutory stock option agreement or approved by our Board of Directors, by delivery of a notice of “net exercise” as a result of which we will retain a number of shares of common stock otherwise issuable pursuant to the stock option equal to the aggregate exercise price for the portion of the option being exercised divided by the fair market value of our common stock on the date of exercise, (v) to the extent permitted by applicable law and provided for in the applicable option agreement or approved by our Board of Directors, by any other lawful means, or (vi) by any combination of these forms of payment as approved by our Board of Directors. No option granted under the Amended 2020 Plan may contain a provision entitling the participant to the automatic grant of additional options in connection with any exercise of the original option. No options granted under the Amended 2020 Plan may provide for the payment or accrual of dividend equivalents.</w:t>
      </w:r>
    </w:p>
    <w:p>
      <w:pPr>
        <w:sectPr>
          <w:pgSz w:w="11900" w:h="16838" w:orient="portrait"/>
          <w:cols w:equalWidth="0" w:num="1">
            <w:col w:w="11240"/>
          </w:cols>
          <w:pgMar w:left="320" w:top="1174" w:right="339" w:bottom="1440" w:gutter="0" w:footer="0" w:header="0"/>
        </w:sectPr>
      </w:pPr>
    </w:p>
    <w:p>
      <w:pPr>
        <w:spacing w:after="0" w:line="200" w:lineRule="exact"/>
        <w:rPr>
          <w:sz w:val="20"/>
          <w:szCs w:val="20"/>
          <w:color w:val="auto"/>
        </w:rPr>
      </w:pPr>
    </w:p>
    <w:p>
      <w:pPr>
        <w:spacing w:after="0" w:line="301" w:lineRule="exact"/>
        <w:rPr>
          <w:sz w:val="20"/>
          <w:szCs w:val="20"/>
          <w:color w:val="auto"/>
        </w:rPr>
      </w:pPr>
    </w:p>
    <w:p>
      <w:pPr>
        <w:ind w:left="640" w:hanging="614"/>
        <w:spacing w:after="0"/>
        <w:tabs>
          <w:tab w:leader="none" w:pos="640" w:val="left"/>
        </w:tabs>
        <w:numPr>
          <w:ilvl w:val="0"/>
          <w:numId w:val="149"/>
        </w:numPr>
        <w:rPr>
          <w:rFonts w:ascii="Arial" w:cs="Arial" w:eastAsia="Arial" w:hAnsi="Arial"/>
          <w:sz w:val="20"/>
          <w:szCs w:val="20"/>
          <w:b w:val="1"/>
          <w:bCs w:val="1"/>
          <w:color w:val="auto"/>
        </w:rPr>
      </w:pPr>
      <w:r>
        <w:rPr>
          <w:rFonts w:ascii="Arial" w:cs="Arial" w:eastAsia="Arial" w:hAnsi="Arial"/>
          <w:sz w:val="16"/>
          <w:szCs w:val="16"/>
          <w:color w:val="6D6E71"/>
        </w:rPr>
        <w:t>Proposal 4: Approval of the Amended and Restated Analog Devices, Inc. 2020 Equity Incentive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194310</wp:posOffset>
            </wp:positionV>
            <wp:extent cx="7157720" cy="42545"/>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4" w:right="339" w:bottom="1440" w:gutter="0" w:footer="0" w:header="0"/>
          <w:type w:val="continuous"/>
        </w:sectPr>
      </w:pPr>
    </w:p>
    <w:bookmarkStart w:id="90" w:name="page91"/>
    <w:bookmarkEnd w:id="90"/>
    <w:p>
      <w:pPr>
        <w:ind w:right="80"/>
        <w:spacing w:after="0" w:line="255" w:lineRule="auto"/>
        <w:rPr>
          <w:sz w:val="20"/>
          <w:szCs w:val="20"/>
          <w:color w:val="auto"/>
        </w:rPr>
      </w:pPr>
      <w:r>
        <w:rPr>
          <w:rFonts w:ascii="Arial" w:cs="Arial" w:eastAsia="Arial" w:hAnsi="Arial"/>
          <w:sz w:val="18"/>
          <w:szCs w:val="18"/>
          <w:b w:val="1"/>
          <w:bCs w:val="1"/>
          <w:color w:val="0067B3"/>
        </w:rPr>
        <w:t xml:space="preserve">Stock Appreciation Rights. </w:t>
      </w:r>
      <w:r>
        <w:rPr>
          <w:rFonts w:ascii="Arial" w:cs="Arial" w:eastAsia="Arial" w:hAnsi="Arial"/>
          <w:sz w:val="18"/>
          <w:szCs w:val="18"/>
          <w:color w:val="000000"/>
        </w:rPr>
        <w:t>An SAR is an award entitling the holder, upon exercise, to receive a number of shares of our common stock, or</w:t>
      </w:r>
      <w:r>
        <w:rPr>
          <w:rFonts w:ascii="Arial" w:cs="Arial" w:eastAsia="Arial" w:hAnsi="Arial"/>
          <w:sz w:val="18"/>
          <w:szCs w:val="18"/>
          <w:b w:val="1"/>
          <w:bCs w:val="1"/>
          <w:color w:val="0067B3"/>
        </w:rPr>
        <w:t xml:space="preserve"> </w:t>
      </w:r>
      <w:r>
        <w:rPr>
          <w:rFonts w:ascii="Arial" w:cs="Arial" w:eastAsia="Arial" w:hAnsi="Arial"/>
          <w:sz w:val="18"/>
          <w:szCs w:val="18"/>
          <w:color w:val="000000"/>
        </w:rPr>
        <w:t>cash (or a combination of shares of our common stock and cash, such form to be determined by our Board of Directors) determined by reference to appreciation, from and after the date of grant, in the fair market value of a share of our common stock over the measurement price. The Amended 2020 Plan provides that the measurement price of an SAR may not be less than the fair market value of our common stock on the date the SAR is granted (provided, however, that if our Board of Directors approves the grant of an SAR effective as of a future date, the measurement price shall not be less than 100% of the fair market value on such future date) and that SARs may not be granted with a term in excess of 10 years. No SARs granted under the Amended 2020 Plan may contain a provision entitling the participant to the automatic grant of additional SARs in connection with any exercise of the original SAR. No SARs granted under the Amended 2020 Plan may provide for the payment or accrual of dividend equivalents.</w:t>
      </w:r>
    </w:p>
    <w:p>
      <w:pPr>
        <w:spacing w:after="0" w:line="73"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b w:val="1"/>
          <w:bCs w:val="1"/>
          <w:color w:val="0067B3"/>
        </w:rPr>
        <w:t xml:space="preserve">Limitation on Repricing of Options or SARs. </w:t>
      </w:r>
      <w:r>
        <w:rPr>
          <w:rFonts w:ascii="Arial" w:cs="Arial" w:eastAsia="Arial" w:hAnsi="Arial"/>
          <w:sz w:val="18"/>
          <w:szCs w:val="18"/>
          <w:color w:val="000000"/>
        </w:rPr>
        <w:t>With respect to options and SARs, unless such action is approved by shareholders or</w:t>
      </w:r>
      <w:r>
        <w:rPr>
          <w:rFonts w:ascii="Arial" w:cs="Arial" w:eastAsia="Arial" w:hAnsi="Arial"/>
          <w:sz w:val="18"/>
          <w:szCs w:val="18"/>
          <w:b w:val="1"/>
          <w:bCs w:val="1"/>
          <w:color w:val="0067B3"/>
        </w:rPr>
        <w:t xml:space="preserve"> </w:t>
      </w:r>
      <w:r>
        <w:rPr>
          <w:rFonts w:ascii="Arial" w:cs="Arial" w:eastAsia="Arial" w:hAnsi="Arial"/>
          <w:sz w:val="18"/>
          <w:szCs w:val="18"/>
          <w:color w:val="000000"/>
        </w:rPr>
        <w:t>otherwise permitted under the terms of the Amended 2020 Plan in connection with certain changes in capitalization and reorganization events, we may not (1) amend any outstanding option or SAR granted under the Amended 2020 Plan to provide an exercise price or measurement price per share that is lower than the then-current exercise price or measurement price per share of such outstanding option or SAR, (2) cancel any outstanding option or SAR (whether or not granted under the Amended 2020 Plan) and grant in substitution therefor new awards under the Amended 2020 Plan (other than certain substitute awards issued in connection with an acquisition by us, described above) covering the same or a different number of shares of our common stock and having an exercise price or measurement price per share lower than the then-current exercise price or measurement price per share of the canceled option or SAR, (3) cancel in exchange for a cash payment any outstanding option or SAR with an exercise price or measurement price per share above the then-current fair market value of our common stock, or (4) take any other action under the Amended 2020 Plan that constitutes a “repricing” within the meaning of the rules of the Nasdaq Stock Market.</w:t>
      </w:r>
    </w:p>
    <w:p>
      <w:pPr>
        <w:spacing w:after="0" w:line="74" w:lineRule="exact"/>
        <w:rPr>
          <w:sz w:val="20"/>
          <w:szCs w:val="20"/>
          <w:color w:val="auto"/>
        </w:rPr>
      </w:pPr>
    </w:p>
    <w:p>
      <w:pPr>
        <w:spacing w:after="0" w:line="256" w:lineRule="auto"/>
        <w:rPr>
          <w:sz w:val="20"/>
          <w:szCs w:val="20"/>
          <w:color w:val="auto"/>
        </w:rPr>
      </w:pPr>
      <w:r>
        <w:rPr>
          <w:rFonts w:ascii="Arial" w:cs="Arial" w:eastAsia="Arial" w:hAnsi="Arial"/>
          <w:sz w:val="18"/>
          <w:szCs w:val="18"/>
          <w:b w:val="1"/>
          <w:bCs w:val="1"/>
          <w:color w:val="0067B3"/>
        </w:rPr>
        <w:t xml:space="preserve">Restricted Stock Awards. </w:t>
      </w:r>
      <w:r>
        <w:rPr>
          <w:rFonts w:ascii="Arial" w:cs="Arial" w:eastAsia="Arial" w:hAnsi="Arial"/>
          <w:sz w:val="18"/>
          <w:szCs w:val="18"/>
          <w:color w:val="000000"/>
        </w:rPr>
        <w:t>Restricted stock awards entitle recipients to acquire shares of our common stock, subject to our right to</w:t>
      </w:r>
      <w:r>
        <w:rPr>
          <w:rFonts w:ascii="Arial" w:cs="Arial" w:eastAsia="Arial" w:hAnsi="Arial"/>
          <w:sz w:val="18"/>
          <w:szCs w:val="18"/>
          <w:b w:val="1"/>
          <w:bCs w:val="1"/>
          <w:color w:val="0067B3"/>
        </w:rPr>
        <w:t xml:space="preserve"> </w:t>
      </w:r>
      <w:r>
        <w:rPr>
          <w:rFonts w:ascii="Arial" w:cs="Arial" w:eastAsia="Arial" w:hAnsi="Arial"/>
          <w:sz w:val="18"/>
          <w:szCs w:val="18"/>
          <w:color w:val="000000"/>
        </w:rPr>
        <w:t>repurchase all or part of such shares at their issue price or other stated or formula price (or to require forfeiture of such shares if issued at no cost) in the event that the conditions specified in the applicable award are not satisfied prior to the end of the applicable restriction period established for such award. Any dividends (whether paid in cash, stock or property) declared and paid by us with respect to shares of restricted stock will be paid to the participant if and when such shares become free from the restrictions on transferability and forfeitability that apply to such shares or at such other time as the Board of Directors shall determine and set forth in the applicable restricted stock award agreement.</w:t>
      </w:r>
    </w:p>
    <w:p>
      <w:pPr>
        <w:spacing w:after="0" w:line="75" w:lineRule="exact"/>
        <w:rPr>
          <w:sz w:val="20"/>
          <w:szCs w:val="20"/>
          <w:color w:val="auto"/>
        </w:rPr>
      </w:pPr>
    </w:p>
    <w:p>
      <w:pPr>
        <w:spacing w:after="0" w:line="255" w:lineRule="auto"/>
        <w:rPr>
          <w:sz w:val="20"/>
          <w:szCs w:val="20"/>
          <w:color w:val="auto"/>
        </w:rPr>
      </w:pPr>
      <w:r>
        <w:rPr>
          <w:rFonts w:ascii="Arial" w:cs="Arial" w:eastAsia="Arial" w:hAnsi="Arial"/>
          <w:sz w:val="18"/>
          <w:szCs w:val="18"/>
          <w:b w:val="1"/>
          <w:bCs w:val="1"/>
          <w:color w:val="0067B3"/>
        </w:rPr>
        <w:t xml:space="preserve">Restricted Stock Unit Awards. </w:t>
      </w:r>
      <w:r>
        <w:rPr>
          <w:rFonts w:ascii="Arial" w:cs="Arial" w:eastAsia="Arial" w:hAnsi="Arial"/>
          <w:sz w:val="18"/>
          <w:szCs w:val="18"/>
          <w:color w:val="000000"/>
        </w:rPr>
        <w:t>Restricted stock units, or RSUs, entitle the recipient to receive shares of our common stock or cash equal to</w:t>
      </w:r>
      <w:r>
        <w:rPr>
          <w:rFonts w:ascii="Arial" w:cs="Arial" w:eastAsia="Arial" w:hAnsi="Arial"/>
          <w:sz w:val="18"/>
          <w:szCs w:val="18"/>
          <w:b w:val="1"/>
          <w:bCs w:val="1"/>
          <w:color w:val="0067B3"/>
        </w:rPr>
        <w:t xml:space="preserve"> </w:t>
      </w:r>
      <w:r>
        <w:rPr>
          <w:rFonts w:ascii="Arial" w:cs="Arial" w:eastAsia="Arial" w:hAnsi="Arial"/>
          <w:sz w:val="18"/>
          <w:szCs w:val="18"/>
          <w:color w:val="000000"/>
        </w:rPr>
        <w:t>the fair market value of such shares (or a combination of shares of our common stock and cash), to be delivered as soon as practicable after the time such award vests pursuant to the terms and conditions established by our Board of Directors. Our Board of Directors may provide that settlement of RSUs will be deferred, on a mandatory basis or at the election of the participant, in a manner that complies with Section 409A of the Code. A participant has no voting rights with respect to any RSU. Our Board of Directors may provide that a grant of RSUs may provide the participant with the right to receive an amount equal to any dividends or other distributions declared and paid on an equal number of outstanding shares of our common stock. Any such dividend equivalents may be settled in cash and/or shares of our common stock and may be subject to the same restrictions on transfer and forfeitability as the RSUs with respect to which such dividend equivalents are awarded, in each case, as set forth in the applicable award agreement.</w:t>
      </w:r>
    </w:p>
    <w:p>
      <w:pPr>
        <w:spacing w:after="0" w:line="73"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b w:val="1"/>
          <w:bCs w:val="1"/>
          <w:color w:val="0067B3"/>
        </w:rPr>
        <w:t xml:space="preserve">Other Stock-Based Awards. </w:t>
      </w:r>
      <w:r>
        <w:rPr>
          <w:rFonts w:ascii="Arial" w:cs="Arial" w:eastAsia="Arial" w:hAnsi="Arial"/>
          <w:sz w:val="18"/>
          <w:szCs w:val="18"/>
          <w:color w:val="000000"/>
        </w:rPr>
        <w:t>Under the Amended 2020 Plan, our Board of Directors may grant other awards of shares of our common</w:t>
      </w:r>
      <w:r>
        <w:rPr>
          <w:rFonts w:ascii="Arial" w:cs="Arial" w:eastAsia="Arial" w:hAnsi="Arial"/>
          <w:sz w:val="18"/>
          <w:szCs w:val="18"/>
          <w:b w:val="1"/>
          <w:bCs w:val="1"/>
          <w:color w:val="0067B3"/>
        </w:rPr>
        <w:t xml:space="preserve"> </w:t>
      </w:r>
      <w:r>
        <w:rPr>
          <w:rFonts w:ascii="Arial" w:cs="Arial" w:eastAsia="Arial" w:hAnsi="Arial"/>
          <w:sz w:val="18"/>
          <w:szCs w:val="18"/>
          <w:color w:val="000000"/>
        </w:rPr>
        <w:t>stock, and other awards that are valued in whole or in part by reference to, or are otherwise based on, shares of our common stock or other property, having such terms and conditions as our Board of Directors may determine. We refer to these types of awards as other stock-based awards. Other stock-based awards may be available as a form of payment in settlement of other awards granted under the Amended 2020 Plan or as payment in lieu of compensation to which a participant is otherwise entitled. Other stock-based awards may be paid in shares of our common stock or in cash, as our Board of Directors may determine. The award agreement of an other stock-based award may provide the holder of an other stock-based award with the right to receive dividend equivalents. Dividend equivalents may be settled in cash and/or shares of our common stock and may be subject to the same restrictions on transfer and forfeitability as the other stock-based award with respect to which they are awarded, in each case as set forth in the applicable award agreement.</w:t>
      </w:r>
    </w:p>
    <w:p>
      <w:pPr>
        <w:spacing w:after="0" w:line="73" w:lineRule="exact"/>
        <w:rPr>
          <w:sz w:val="20"/>
          <w:szCs w:val="20"/>
          <w:color w:val="auto"/>
        </w:rPr>
      </w:pPr>
    </w:p>
    <w:p>
      <w:pPr>
        <w:ind w:right="60"/>
        <w:spacing w:after="0" w:line="253" w:lineRule="auto"/>
        <w:rPr>
          <w:sz w:val="20"/>
          <w:szCs w:val="20"/>
          <w:color w:val="auto"/>
        </w:rPr>
      </w:pPr>
      <w:r>
        <w:rPr>
          <w:rFonts w:ascii="Arial" w:cs="Arial" w:eastAsia="Arial" w:hAnsi="Arial"/>
          <w:sz w:val="18"/>
          <w:szCs w:val="18"/>
          <w:b w:val="1"/>
          <w:bCs w:val="1"/>
          <w:color w:val="0067B3"/>
        </w:rPr>
        <w:t xml:space="preserve">Performance Conditions. </w:t>
      </w:r>
      <w:r>
        <w:rPr>
          <w:rFonts w:ascii="Arial" w:cs="Arial" w:eastAsia="Arial" w:hAnsi="Arial"/>
          <w:sz w:val="18"/>
          <w:szCs w:val="18"/>
          <w:color w:val="000000"/>
        </w:rPr>
        <w:t>Our Board of Directors may specify that the degree of granting, vesting and/or payout of any award subject to</w:t>
      </w:r>
      <w:r>
        <w:rPr>
          <w:rFonts w:ascii="Arial" w:cs="Arial" w:eastAsia="Arial" w:hAnsi="Arial"/>
          <w:sz w:val="18"/>
          <w:szCs w:val="18"/>
          <w:b w:val="1"/>
          <w:bCs w:val="1"/>
          <w:color w:val="0067B3"/>
        </w:rPr>
        <w:t xml:space="preserve"> </w:t>
      </w:r>
      <w:r>
        <w:rPr>
          <w:rFonts w:ascii="Arial" w:cs="Arial" w:eastAsia="Arial" w:hAnsi="Arial"/>
          <w:sz w:val="18"/>
          <w:szCs w:val="18"/>
          <w:color w:val="000000"/>
        </w:rPr>
        <w:t>performance-based vesting conditions will be subject to the achievement of one or more of the following performance measures established by the Board of Directors, which may be based on the relative or absolute attainment of specified levels of one or any combination of the following measures (and which may be determined pursuant to generally accepted accounting principles (“GAAP”) or on a non-GAAP basis, as determined by the Board of Directors): (i) net income, (ii) earnings before or after discontinued operations, interest, taxes, depreciation and/or amortization, (iii) operating profit before or after discontinued operations and/or taxes, (iv) sales, (v) sales growth, (vi) earnings growth</w:t>
      </w:r>
    </w:p>
    <w:p>
      <w:pPr>
        <w:spacing w:after="0" w:line="5" w:lineRule="exact"/>
        <w:rPr>
          <w:sz w:val="20"/>
          <w:szCs w:val="20"/>
          <w:color w:val="auto"/>
        </w:rPr>
      </w:pPr>
    </w:p>
    <w:p>
      <w:pPr>
        <w:ind w:left="340" w:hanging="332"/>
        <w:spacing w:after="0"/>
        <w:tabs>
          <w:tab w:leader="none" w:pos="340" w:val="left"/>
        </w:tabs>
        <w:numPr>
          <w:ilvl w:val="0"/>
          <w:numId w:val="150"/>
        </w:numPr>
        <w:rPr>
          <w:rFonts w:ascii="Arial" w:cs="Arial" w:eastAsia="Arial" w:hAnsi="Arial"/>
          <w:sz w:val="18"/>
          <w:szCs w:val="18"/>
          <w:color w:val="auto"/>
        </w:rPr>
      </w:pPr>
      <w:r>
        <w:rPr>
          <w:rFonts w:ascii="Arial" w:cs="Arial" w:eastAsia="Arial" w:hAnsi="Arial"/>
          <w:sz w:val="18"/>
          <w:szCs w:val="18"/>
          <w:color w:val="auto"/>
        </w:rPr>
        <w:t>cash flow, free cash flow or cash position, (viii) gross margins or margin percentages, (ix) stock price, (x) market share, (xi) return on</w:t>
      </w:r>
    </w:p>
    <w:p>
      <w:pPr>
        <w:spacing w:after="0" w:line="9"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sales, assets, equity or investment, (xii) improvement of financial ratings, (xiii) achievement of balance sheet or income statement objectives,</w:t>
      </w:r>
    </w:p>
    <w:p>
      <w:pPr>
        <w:spacing w:after="0" w:line="9" w:lineRule="exact"/>
        <w:rPr>
          <w:rFonts w:ascii="Arial" w:cs="Arial" w:eastAsia="Arial" w:hAnsi="Arial"/>
          <w:sz w:val="18"/>
          <w:szCs w:val="18"/>
          <w:color w:val="auto"/>
        </w:rPr>
      </w:pPr>
    </w:p>
    <w:p>
      <w:pPr>
        <w:ind w:right="120" w:firstLine="8"/>
        <w:spacing w:after="0" w:line="253" w:lineRule="auto"/>
        <w:tabs>
          <w:tab w:leader="none" w:pos="390" w:val="left"/>
        </w:tabs>
        <w:numPr>
          <w:ilvl w:val="0"/>
          <w:numId w:val="151"/>
        </w:numPr>
        <w:rPr>
          <w:rFonts w:ascii="Arial" w:cs="Arial" w:eastAsia="Arial" w:hAnsi="Arial"/>
          <w:sz w:val="18"/>
          <w:szCs w:val="18"/>
          <w:color w:val="auto"/>
        </w:rPr>
      </w:pPr>
      <w:r>
        <w:rPr>
          <w:rFonts w:ascii="Arial" w:cs="Arial" w:eastAsia="Arial" w:hAnsi="Arial"/>
          <w:sz w:val="18"/>
          <w:szCs w:val="18"/>
          <w:color w:val="auto"/>
        </w:rPr>
        <w:t>total shareholder return, (xv) product release schedules, (xvi) product shipment targets, (xvii) customer satisfaction, (xviii) product design-in and/or design-win revenue opportunities, (xix) new product innovation or (xx) any other measure selected by the Board of Directors. These goals may reflect absolute entity or business unit performance or a relative comparison to the performance of a peer group of entities or other external measure of the selected performance criteria and may be absolute in their terms or measured against or in relationship to other companies comparably, similarly or otherwise situated. The Board of Directors may specify that such performance measures will be adjusted to exclude any one or more of (A) extraordinary items, (B) gains or losses</w:t>
      </w:r>
    </w:p>
    <w:p>
      <w:pPr>
        <w:sectPr>
          <w:pgSz w:w="11900" w:h="16838" w:orient="portrait"/>
          <w:cols w:equalWidth="0" w:num="1">
            <w:col w:w="11240"/>
          </w:cols>
          <w:pgMar w:left="320" w:top="1174" w:right="339" w:bottom="1116" w:gutter="0" w:footer="0" w:header="0"/>
        </w:sectPr>
      </w:pPr>
    </w:p>
    <w:p>
      <w:pPr>
        <w:spacing w:after="0" w:line="200" w:lineRule="exact"/>
        <w:rPr>
          <w:sz w:val="20"/>
          <w:szCs w:val="20"/>
          <w:color w:val="auto"/>
        </w:rPr>
      </w:pPr>
    </w:p>
    <w:p>
      <w:pPr>
        <w:spacing w:after="0" w:line="250" w:lineRule="exact"/>
        <w:rPr>
          <w:sz w:val="20"/>
          <w:szCs w:val="20"/>
          <w:color w:val="auto"/>
        </w:rPr>
      </w:pPr>
    </w:p>
    <w:p>
      <w:pPr>
        <w:ind w:left="8980"/>
        <w:spacing w:after="0"/>
        <w:tabs>
          <w:tab w:leader="none" w:pos="10980" w:val="left"/>
        </w:tabs>
        <w:rPr>
          <w:sz w:val="20"/>
          <w:szCs w:val="20"/>
          <w:color w:val="auto"/>
        </w:rPr>
      </w:pPr>
      <w:r>
        <w:rPr>
          <w:rFonts w:ascii="Arial" w:cs="Arial" w:eastAsia="Arial" w:hAnsi="Arial"/>
          <w:sz w:val="16"/>
          <w:szCs w:val="16"/>
          <w:color w:val="0067B3"/>
        </w:rPr>
        <w:t>2026 Proxy Statement</w:t>
      </w:r>
      <w:r>
        <w:rPr>
          <w:sz w:val="20"/>
          <w:szCs w:val="20"/>
          <w:color w:val="auto"/>
        </w:rPr>
        <w:tab/>
      </w:r>
      <w:r>
        <w:rPr>
          <w:rFonts w:ascii="Arial" w:cs="Arial" w:eastAsia="Arial" w:hAnsi="Arial"/>
          <w:sz w:val="19"/>
          <w:szCs w:val="19"/>
          <w:b w:val="1"/>
          <w:bCs w:val="1"/>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232410</wp:posOffset>
            </wp:positionV>
            <wp:extent cx="7157720" cy="42545"/>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4" w:right="339" w:bottom="1116" w:gutter="0" w:footer="0" w:header="0"/>
          <w:type w:val="continuous"/>
        </w:sectPr>
      </w:pPr>
    </w:p>
    <w:bookmarkStart w:id="91" w:name="page92"/>
    <w:bookmarkEnd w:id="91"/>
    <w:p>
      <w:pPr>
        <w:spacing w:after="0"/>
        <w:rPr>
          <w:sz w:val="20"/>
          <w:szCs w:val="20"/>
          <w:color w:val="auto"/>
        </w:rPr>
      </w:pPr>
      <w:r>
        <w:rPr>
          <w:rFonts w:ascii="Arial" w:cs="Arial" w:eastAsia="Arial" w:hAnsi="Arial"/>
          <w:sz w:val="18"/>
          <w:szCs w:val="18"/>
          <w:color w:val="auto"/>
        </w:rPr>
        <w:t>on the dispositions of discontinued operations, (C) the cumulative effects of changes in accounting principles, (D) the writedown of any asset,</w:t>
      </w:r>
    </w:p>
    <w:p>
      <w:pPr>
        <w:spacing w:after="0" w:line="27" w:lineRule="exact"/>
        <w:rPr>
          <w:sz w:val="20"/>
          <w:szCs w:val="20"/>
          <w:color w:val="auto"/>
        </w:rPr>
      </w:pPr>
    </w:p>
    <w:p>
      <w:pPr>
        <w:ind w:right="80" w:firstLine="8"/>
        <w:spacing w:after="0" w:line="251" w:lineRule="auto"/>
        <w:tabs>
          <w:tab w:leader="none" w:pos="290" w:val="left"/>
        </w:tabs>
        <w:numPr>
          <w:ilvl w:val="0"/>
          <w:numId w:val="152"/>
        </w:numPr>
        <w:rPr>
          <w:rFonts w:ascii="Arial" w:cs="Arial" w:eastAsia="Arial" w:hAnsi="Arial"/>
          <w:sz w:val="18"/>
          <w:szCs w:val="18"/>
          <w:color w:val="auto"/>
        </w:rPr>
      </w:pPr>
      <w:r>
        <w:rPr>
          <w:rFonts w:ascii="Arial" w:cs="Arial" w:eastAsia="Arial" w:hAnsi="Arial"/>
          <w:sz w:val="18"/>
          <w:szCs w:val="18"/>
          <w:color w:val="auto"/>
        </w:rPr>
        <w:t>fluctuation in foreign currency exchange rates, (F) charges for restructuring and rationalization programs, (G) non-cash, mark-to-market adjustments on derivative instruments, (H) amortization of purchased intangibles, (I) the net impact of tax rate changes, (J) non-cash asset impairment charges, (K) gains on extinguishment of the tax receivable agreement and (L) any other factors as the Board of Directors may determine. Such performance measures: (x) may vary by participant and may be different for different awards; (y) may be particular to a participant or the department, branch, line of business, subsidiary or other unit in which the participant works; and (z) may cover such period as may be specified by the Board of Directors. The Board of Directors will have the authority to make equitable adjustments to the performance goals in recognition of unusual or non-recurring events affecting the Company or the financial statements of the Company, in response to changes in applicable laws or regulations or to account for items of gain, loss or expense determined to be extraordinary or unusual in nature or infrequent in occurrence or related to the disposal of a segment of a business or related to a change in accounting principles. Our Board of Directors may adjust the cash or number of shares payable pursuant to a performance award, and the Board of Directors may, at any time, waive the achievement of the applicable performance measures, including in the case of the death or disability of the participant or a change in control of the Company.</w:t>
      </w:r>
    </w:p>
    <w:p>
      <w:pPr>
        <w:spacing w:after="0" w:line="167" w:lineRule="exact"/>
        <w:rPr>
          <w:sz w:val="20"/>
          <w:szCs w:val="20"/>
          <w:color w:val="auto"/>
        </w:rPr>
      </w:pPr>
    </w:p>
    <w:p>
      <w:pPr>
        <w:spacing w:after="0"/>
        <w:rPr>
          <w:sz w:val="20"/>
          <w:szCs w:val="20"/>
          <w:color w:val="auto"/>
        </w:rPr>
      </w:pPr>
      <w:r>
        <w:rPr>
          <w:rFonts w:ascii="Arial" w:cs="Arial" w:eastAsia="Arial" w:hAnsi="Arial"/>
          <w:sz w:val="32"/>
          <w:szCs w:val="32"/>
          <w:b w:val="1"/>
          <w:bCs w:val="1"/>
          <w:color w:val="auto"/>
        </w:rPr>
        <w:t>Eligibility to Receive Awards</w:t>
      </w:r>
    </w:p>
    <w:p>
      <w:pPr>
        <w:spacing w:after="0" w:line="156" w:lineRule="exact"/>
        <w:rPr>
          <w:sz w:val="20"/>
          <w:szCs w:val="20"/>
          <w:color w:val="auto"/>
        </w:rPr>
      </w:pPr>
    </w:p>
    <w:p>
      <w:pPr>
        <w:ind w:right="100"/>
        <w:spacing w:after="0" w:line="268" w:lineRule="auto"/>
        <w:rPr>
          <w:sz w:val="20"/>
          <w:szCs w:val="20"/>
          <w:color w:val="auto"/>
        </w:rPr>
      </w:pPr>
      <w:r>
        <w:rPr>
          <w:rFonts w:ascii="Arial" w:cs="Arial" w:eastAsia="Arial" w:hAnsi="Arial"/>
          <w:sz w:val="18"/>
          <w:szCs w:val="18"/>
          <w:color w:val="auto"/>
        </w:rPr>
        <w:t>All of our employees, officers and directors, as well as our consultants and advisors, are eligible to receive awards under the Amended 2020 Plan. However, incentive stock options may only be granted to our employees, employees of our present or future parent or subsidiary corporations and employees of any other entities the employees of which are eligible to receive incentive stock options under the Code.</w:t>
      </w:r>
    </w:p>
    <w:p>
      <w:pPr>
        <w:spacing w:after="0" w:line="146" w:lineRule="exact"/>
        <w:rPr>
          <w:sz w:val="20"/>
          <w:szCs w:val="20"/>
          <w:color w:val="auto"/>
        </w:rPr>
      </w:pPr>
    </w:p>
    <w:p>
      <w:pPr>
        <w:spacing w:after="0"/>
        <w:rPr>
          <w:sz w:val="20"/>
          <w:szCs w:val="20"/>
          <w:color w:val="auto"/>
        </w:rPr>
      </w:pPr>
      <w:r>
        <w:rPr>
          <w:rFonts w:ascii="Arial" w:cs="Arial" w:eastAsia="Arial" w:hAnsi="Arial"/>
          <w:sz w:val="32"/>
          <w:szCs w:val="32"/>
          <w:b w:val="1"/>
          <w:bCs w:val="1"/>
          <w:color w:val="auto"/>
        </w:rPr>
        <w:t>Transferability of Awards</w:t>
      </w:r>
    </w:p>
    <w:p>
      <w:pPr>
        <w:spacing w:after="0" w:line="156"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Awards may not be sold, assigned, transferred, pledged or otherwise encumbered by a participant, either voluntarily or by operation of law, except by will or the laws of descent and distribution or, other than in the case of an incentive stock option, pursuant to a qualified domestic relations order. During the life of the participant, awards are exercisable only by the participant. However, except with respect to awards that are subject to Section 409A of the Code, our Board of Directors may permit or provide in an award for the gratuitous transfer of the award by the participant to or for the benefit of any immediate family member, family trust or other entity established for the benefit of the participant and/or an immediate family member thereof if we would be eligible to use a Form S-8 under the Securities Act of 1933, as amended, for the registration of the sale of the common stock subject to such award to the proposed transferee. Further, we are not required to recognize any transfer until such time as the participant and the permitted transferee have, as a condition to the transfer, delivered to us a written instrument in form and substance satisfactory to us confirming that such transferee will be bound by all of the terms and conditions of the award. None of the restrictions described in this paragraph prohibit a transfer from the participant to the Company.</w:t>
      </w:r>
    </w:p>
    <w:p>
      <w:pPr>
        <w:spacing w:after="0" w:line="161" w:lineRule="exact"/>
        <w:rPr>
          <w:sz w:val="20"/>
          <w:szCs w:val="20"/>
          <w:color w:val="auto"/>
        </w:rPr>
      </w:pPr>
    </w:p>
    <w:p>
      <w:pPr>
        <w:spacing w:after="0"/>
        <w:rPr>
          <w:sz w:val="20"/>
          <w:szCs w:val="20"/>
          <w:color w:val="auto"/>
        </w:rPr>
      </w:pPr>
      <w:r>
        <w:rPr>
          <w:rFonts w:ascii="Arial" w:cs="Arial" w:eastAsia="Arial" w:hAnsi="Arial"/>
          <w:sz w:val="32"/>
          <w:szCs w:val="32"/>
          <w:b w:val="1"/>
          <w:bCs w:val="1"/>
          <w:color w:val="auto"/>
        </w:rPr>
        <w:t>No Rights as a Shareholder; Clawback</w:t>
      </w:r>
    </w:p>
    <w:p>
      <w:pPr>
        <w:spacing w:after="0" w:line="170" w:lineRule="exact"/>
        <w:rPr>
          <w:sz w:val="20"/>
          <w:szCs w:val="20"/>
          <w:color w:val="auto"/>
        </w:rPr>
      </w:pPr>
    </w:p>
    <w:p>
      <w:pPr>
        <w:ind w:right="280"/>
        <w:spacing w:after="0" w:line="262" w:lineRule="auto"/>
        <w:rPr>
          <w:sz w:val="20"/>
          <w:szCs w:val="20"/>
          <w:color w:val="auto"/>
        </w:rPr>
      </w:pPr>
      <w:r>
        <w:rPr>
          <w:rFonts w:ascii="Arial" w:cs="Arial" w:eastAsia="Arial" w:hAnsi="Arial"/>
          <w:sz w:val="18"/>
          <w:szCs w:val="18"/>
          <w:color w:val="auto"/>
        </w:rPr>
        <w:t>No participant shall have any rights as a shareholder with respect to any shares of common stock to be issued with respect to an award granted under the Amended 2020 Plan until becoming a record holder of such shares, subject to the terms of an award agreement. In accepting an award under the Amended 2020 Plan, a participant agrees to be bound by any clawback policy that we have in effect or may adopt in the future.</w:t>
      </w:r>
    </w:p>
    <w:p>
      <w:pPr>
        <w:spacing w:after="0" w:line="151" w:lineRule="exact"/>
        <w:rPr>
          <w:sz w:val="20"/>
          <w:szCs w:val="20"/>
          <w:color w:val="auto"/>
        </w:rPr>
      </w:pPr>
    </w:p>
    <w:p>
      <w:pPr>
        <w:spacing w:after="0"/>
        <w:rPr>
          <w:sz w:val="20"/>
          <w:szCs w:val="20"/>
          <w:color w:val="auto"/>
        </w:rPr>
      </w:pPr>
      <w:r>
        <w:rPr>
          <w:rFonts w:ascii="Arial" w:cs="Arial" w:eastAsia="Arial" w:hAnsi="Arial"/>
          <w:sz w:val="32"/>
          <w:szCs w:val="32"/>
          <w:b w:val="1"/>
          <w:bCs w:val="1"/>
          <w:color w:val="auto"/>
        </w:rPr>
        <w:t>Participation and New Plan Benefits</w:t>
      </w:r>
    </w:p>
    <w:p>
      <w:pPr>
        <w:spacing w:after="0" w:line="156"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As of November 1, 2025, 16,003 persons were eligible to receive awards under the 2020 Plan, including 15,989 employees of the Company (excluding officers), five officers (all of whom are also employees) and nine non-employee directors (excluding our Chief Executive Officer and Chair of the Board, who is an employee and executive officer). Consistent with past practices, the Company has not granted awards to consultants under the 2020 Plan and does not currently intend to grant awards to consultants under the Amended 2020 Plan. The granting of future awards under the Amended 2020 Plan is generally discretionary, and the Company cannot now determine the number or type of awards to be granted in the future to any particular person or group. However, under our Equity Award Grant Date Policy all of our non-employee directors who are elected or re-elected at the 2026 Annual Meeting will automatically receive a new grant of RSUs with a grant date value of approximately $235,000 as described above in “Annual Director Compensation.”</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color w:val="auto"/>
        </w:rPr>
        <w:t>On January 8, 2026, the last reported sale price of our common stock on the Nasdaq Global Select Market was $299.16.</w:t>
      </w:r>
    </w:p>
    <w:p>
      <w:pPr>
        <w:spacing w:after="0" w:line="200" w:lineRule="exact"/>
        <w:rPr>
          <w:sz w:val="20"/>
          <w:szCs w:val="20"/>
          <w:color w:val="auto"/>
        </w:rPr>
      </w:pPr>
    </w:p>
    <w:p>
      <w:pPr>
        <w:spacing w:after="0"/>
        <w:rPr>
          <w:sz w:val="20"/>
          <w:szCs w:val="20"/>
          <w:color w:val="auto"/>
        </w:rPr>
      </w:pPr>
      <w:r>
        <w:rPr>
          <w:rFonts w:ascii="Arial" w:cs="Arial" w:eastAsia="Arial" w:hAnsi="Arial"/>
          <w:sz w:val="32"/>
          <w:szCs w:val="32"/>
          <w:b w:val="1"/>
          <w:bCs w:val="1"/>
          <w:color w:val="auto"/>
        </w:rPr>
        <w:t>Administration</w:t>
      </w:r>
    </w:p>
    <w:p>
      <w:pPr>
        <w:spacing w:after="0" w:line="156" w:lineRule="exact"/>
        <w:rPr>
          <w:sz w:val="20"/>
          <w:szCs w:val="20"/>
          <w:color w:val="auto"/>
        </w:rPr>
      </w:pPr>
    </w:p>
    <w:p>
      <w:pPr>
        <w:ind w:right="20"/>
        <w:spacing w:after="0" w:line="262" w:lineRule="auto"/>
        <w:rPr>
          <w:sz w:val="20"/>
          <w:szCs w:val="20"/>
          <w:color w:val="auto"/>
        </w:rPr>
      </w:pPr>
      <w:r>
        <w:rPr>
          <w:rFonts w:ascii="Arial" w:cs="Arial" w:eastAsia="Arial" w:hAnsi="Arial"/>
          <w:sz w:val="18"/>
          <w:szCs w:val="18"/>
          <w:color w:val="auto"/>
        </w:rPr>
        <w:t>The Amended 2020 Plan will be administered by our Board of Directors. Our Board of Directors has the authority to grant awards and to adopt, amend and repeal the administrative rules, guidelines and practices relating to the Amended 2020 Plan that it deems advisable and to construe and interpret the provisions of the Amended 2020 Plan and any award agreements entered into under the Amended 2020 Plan. Our Board of Directors</w:t>
      </w:r>
    </w:p>
    <w:p>
      <w:pPr>
        <w:sectPr>
          <w:pgSz w:w="11900" w:h="16838" w:orient="portrait"/>
          <w:cols w:equalWidth="0" w:num="1">
            <w:col w:w="11240"/>
          </w:cols>
          <w:pgMar w:left="320" w:top="1174" w:right="339" w:bottom="1440" w:gutter="0" w:footer="0" w:header="0"/>
        </w:sectPr>
      </w:pPr>
    </w:p>
    <w:p>
      <w:pPr>
        <w:spacing w:after="0" w:line="200" w:lineRule="exact"/>
        <w:rPr>
          <w:sz w:val="20"/>
          <w:szCs w:val="20"/>
          <w:color w:val="auto"/>
        </w:rPr>
      </w:pPr>
    </w:p>
    <w:p>
      <w:pPr>
        <w:spacing w:after="0" w:line="276" w:lineRule="exact"/>
        <w:rPr>
          <w:sz w:val="20"/>
          <w:szCs w:val="20"/>
          <w:color w:val="auto"/>
        </w:rPr>
      </w:pPr>
    </w:p>
    <w:p>
      <w:pPr>
        <w:ind w:left="640" w:hanging="614"/>
        <w:spacing w:after="0"/>
        <w:tabs>
          <w:tab w:leader="none" w:pos="640" w:val="left"/>
        </w:tabs>
        <w:numPr>
          <w:ilvl w:val="0"/>
          <w:numId w:val="153"/>
        </w:numPr>
        <w:rPr>
          <w:rFonts w:ascii="Arial" w:cs="Arial" w:eastAsia="Arial" w:hAnsi="Arial"/>
          <w:sz w:val="20"/>
          <w:szCs w:val="20"/>
          <w:b w:val="1"/>
          <w:bCs w:val="1"/>
          <w:color w:val="auto"/>
        </w:rPr>
      </w:pPr>
      <w:r>
        <w:rPr>
          <w:rFonts w:ascii="Arial" w:cs="Arial" w:eastAsia="Arial" w:hAnsi="Arial"/>
          <w:sz w:val="16"/>
          <w:szCs w:val="16"/>
          <w:color w:val="6D6E71"/>
        </w:rPr>
        <w:t>Proposal 4: Approval of the Amended and Restated Analog Devices, Inc. 2020 Equity Incentive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194310</wp:posOffset>
            </wp:positionV>
            <wp:extent cx="7157720" cy="42545"/>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4" w:right="339" w:bottom="1440" w:gutter="0" w:footer="0" w:header="0"/>
          <w:type w:val="continuous"/>
        </w:sectPr>
      </w:pPr>
    </w:p>
    <w:bookmarkStart w:id="92" w:name="page93"/>
    <w:bookmarkEnd w:id="92"/>
    <w:p>
      <w:pPr>
        <w:ind w:right="240"/>
        <w:spacing w:after="0" w:line="262" w:lineRule="auto"/>
        <w:rPr>
          <w:sz w:val="20"/>
          <w:szCs w:val="20"/>
          <w:color w:val="auto"/>
        </w:rPr>
      </w:pPr>
      <w:r>
        <w:rPr>
          <w:rFonts w:ascii="Arial" w:cs="Arial" w:eastAsia="Arial" w:hAnsi="Arial"/>
          <w:sz w:val="18"/>
          <w:szCs w:val="18"/>
          <w:color w:val="auto"/>
        </w:rPr>
        <w:t>may correct any defect, supply any omission or reconcile any inconsistency in the Amended 2020 Plan or any award. All actions and decisions by our Board of Directors with respect to the Amended 2020 Plan and any awards made under the Amended 2020 Plan will be made in our Board of Directors’ discretion and will be final and binding on all persons having or claiming any interest in the Amended 2020 Plan or in any award.</w:t>
      </w:r>
    </w:p>
    <w:p>
      <w:pPr>
        <w:spacing w:after="0" w:line="68"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Pursuant to the terms of the Amended 2020 Plan, our Board of Directors may delegate any or all of its powers under the Amended 2020 Plan to one or more committees or subcommittees of our Board of Directors. To the extent permitted by applicable law, the Board of Directors may delegate to one or more officers of the Company the power to grant awards to employees, consultants, advisors, or officers of the Company and to exercise such other powers under the Amended 2020 Plan as the Board of Directors may determine; provided, however, that no officer shall be authorized to grant awards to any “executive officer” of the Company (as defined by Rule 3b-7 under the Securities Exchange Act of 1934, as amended, which we refer to as the Exchange Act, or to any “officer” of the Company (as defined in Rule 16a-1 under the Exchange Act). Awards granted to non-employee directors must be administered by a committee of the Board of Directors, all of the members of which are independent directors as defined by Section 5605(a)(2) or any successor provision of the Nasdaq Marketplace Rules.</w:t>
      </w:r>
    </w:p>
    <w:p>
      <w:pPr>
        <w:spacing w:after="0" w:line="77"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Subject to any applicable limitations contained in the Amended 2020 Plan, the Board of Directors, the Compensation and Talent Committee, or any other committee or officer to whom the Board of Directors delegates authority, as the case may be, selects the recipients of awards and determines (i) the number of shares of common stock or other consideration covered by awards and the terms and conditions of such awards, including the dates upon which such awards become exercisable or otherwise vest, (ii) the exercise or measurement price of awards, if any, and (iii) the duration of awards.</w:t>
      </w:r>
    </w:p>
    <w:p>
      <w:pPr>
        <w:spacing w:after="0" w:line="71" w:lineRule="exact"/>
        <w:rPr>
          <w:sz w:val="20"/>
          <w:szCs w:val="20"/>
          <w:color w:val="auto"/>
        </w:rPr>
      </w:pPr>
    </w:p>
    <w:p>
      <w:pPr>
        <w:ind w:right="80"/>
        <w:spacing w:after="0" w:line="256" w:lineRule="auto"/>
        <w:rPr>
          <w:sz w:val="20"/>
          <w:szCs w:val="20"/>
          <w:color w:val="auto"/>
        </w:rPr>
      </w:pPr>
      <w:r>
        <w:rPr>
          <w:rFonts w:ascii="Arial" w:cs="Arial" w:eastAsia="Arial" w:hAnsi="Arial"/>
          <w:sz w:val="18"/>
          <w:szCs w:val="18"/>
          <w:color w:val="auto"/>
        </w:rPr>
        <w:t>Each award under the Amended 2020 Plan may be made alone or in addition or in relation to any other award. The terms of each award need not be identical, and our Board of Directors need not treat participants uniformly. Our Board of Directors will determine the effect on an award of the disability, death, termination or other cessation of employment, authorized leave of absence or other change in the employment or other status of a participant, and the extent to which, and the period during which, the participant (or the participant’s legal representative, conservator, guardian or designated beneficiary) may exercise rights or receive any benefits under an award. The Board of Directors may at any time provide that any award shall become immediately exercisable in whole or in part, free from some or all restrictions or conditions or otherwise realizable in whole or in part, as the case may be.</w:t>
      </w:r>
    </w:p>
    <w:p>
      <w:pPr>
        <w:spacing w:after="0" w:line="75"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In the event of any stock split, reverse stock split, stock dividend, recapitalization, combination of shares, reclassification of shares, spin-off or other similar change in capitalization or event, or any dividend or distribution to holders of our common stock, other than an ordinary cash dividend, we are required to make equitable adjustments (or make substituted awards, as applicable), in the manner determined by our Board of Directors, to (i) the number and class of securities available under the Amended 2020 Plan, (ii) the share counting rules set forth in the Amended 2020 Plan, (iii) the sublimits contained in the Amended 2020 Plan, (iv) the number and class of securities and exercise price per share of each outstanding option, (v) the share- and per-share provisions and the measurement price of each outstanding SAR, (vi) the number of shares subject to and the repurchase price per share subject to each outstanding award of restricted stock, and (vii) the share and per-share-related provisions and the purchase price, if any, of each outstanding RSU award and each outstanding other stock-based award.</w:t>
      </w:r>
    </w:p>
    <w:p>
      <w:pPr>
        <w:spacing w:after="0" w:line="77" w:lineRule="exact"/>
        <w:rPr>
          <w:sz w:val="20"/>
          <w:szCs w:val="20"/>
          <w:color w:val="auto"/>
        </w:rPr>
      </w:pPr>
    </w:p>
    <w:p>
      <w:pPr>
        <w:ind w:right="40"/>
        <w:spacing w:after="0" w:line="262" w:lineRule="auto"/>
        <w:rPr>
          <w:sz w:val="20"/>
          <w:szCs w:val="20"/>
          <w:color w:val="auto"/>
        </w:rPr>
      </w:pPr>
      <w:r>
        <w:rPr>
          <w:rFonts w:ascii="Arial" w:cs="Arial" w:eastAsia="Arial" w:hAnsi="Arial"/>
          <w:sz w:val="18"/>
          <w:szCs w:val="18"/>
          <w:color w:val="auto"/>
        </w:rPr>
        <w:t>We will indemnify and hold harmless each director, officer, employee or agent to whom any duty or power relating to the administration or interpretation of the Amended 2020 Plan has been or will be delegated against any cost or expense (including attorneys’ fees) or liability (including any sum paid in settlement of a claim with our Board of Directors’ approval) arising out of any act or omission to act concerning the Amended 2020 Plan unless arising out of such person’s own fraud or bad faith.</w:t>
      </w:r>
    </w:p>
    <w:p>
      <w:pPr>
        <w:spacing w:after="0" w:line="68"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Except as otherwise provided under the Amended 2020 Plan with respect to repricing outstanding stock options or SARs, our Board of Directors may amend, modify or terminate any outstanding award, including but not limited to, substituting therefor another award of the same or a different type, changing the date of exercise or realization, and converting an incentive stock option to a nonstatutory stock option, provided that the participant’s consent to any such action will be required unless our Board of Directors determines that the action, taking into account any related action, does not materially and adversely affect the participant’s rights under the Amended 2020 Plan or the change is otherwise permitted under the terms of the Amended 2020 Plan in connection with a change in capitalization or reorganization event.</w:t>
      </w:r>
    </w:p>
    <w:p>
      <w:pPr>
        <w:spacing w:after="0" w:line="211" w:lineRule="exact"/>
        <w:rPr>
          <w:sz w:val="20"/>
          <w:szCs w:val="20"/>
          <w:color w:val="auto"/>
        </w:rPr>
      </w:pPr>
    </w:p>
    <w:p>
      <w:pPr>
        <w:spacing w:after="0"/>
        <w:rPr>
          <w:sz w:val="20"/>
          <w:szCs w:val="20"/>
          <w:color w:val="auto"/>
        </w:rPr>
      </w:pPr>
      <w:r>
        <w:rPr>
          <w:rFonts w:ascii="Arial" w:cs="Arial" w:eastAsia="Arial" w:hAnsi="Arial"/>
          <w:sz w:val="32"/>
          <w:szCs w:val="32"/>
          <w:b w:val="1"/>
          <w:bCs w:val="1"/>
          <w:color w:val="auto"/>
        </w:rPr>
        <w:t>Reorganization Events</w:t>
      </w:r>
    </w:p>
    <w:p>
      <w:pPr>
        <w:spacing w:after="0" w:line="156"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The Amended 2020 Plan contains provisions addressing the consequences of any reorganization event. A reorganization event is defined under the Amended 2020 Plan as (a) any merger or consolidation of us with or into another entity as a result of which all of our common stock is converted into or exchanged for the right to receive cash, securities or other property, or is canceled, (b) any transfer or disposition of all of our common stock for cash, securities or other property pursuant to a share exchange or other transaction or (c) our liquidation or dissolution.</w:t>
      </w:r>
    </w:p>
    <w:p>
      <w:pPr>
        <w:spacing w:after="0" w:line="71"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b w:val="1"/>
          <w:bCs w:val="1"/>
          <w:color w:val="0067B3"/>
        </w:rPr>
        <w:t xml:space="preserve">Provisions Applicable to Awards Other than Restricted Stock. </w:t>
      </w:r>
      <w:r>
        <w:rPr>
          <w:rFonts w:ascii="Arial" w:cs="Arial" w:eastAsia="Arial" w:hAnsi="Arial"/>
          <w:sz w:val="18"/>
          <w:szCs w:val="18"/>
          <w:color w:val="000000"/>
        </w:rPr>
        <w:t>Under the Amended 2020 Plan, if a reorganization event occurs</w:t>
      </w:r>
      <w:r>
        <w:rPr>
          <w:rFonts w:ascii="Arial" w:cs="Arial" w:eastAsia="Arial" w:hAnsi="Arial"/>
          <w:sz w:val="18"/>
          <w:szCs w:val="18"/>
          <w:b w:val="1"/>
          <w:bCs w:val="1"/>
          <w:color w:val="0067B3"/>
        </w:rPr>
        <w:t xml:space="preserve"> </w:t>
      </w:r>
      <w:r>
        <w:rPr>
          <w:rFonts w:ascii="Arial" w:cs="Arial" w:eastAsia="Arial" w:hAnsi="Arial"/>
          <w:sz w:val="18"/>
          <w:szCs w:val="18"/>
          <w:color w:val="000000"/>
        </w:rPr>
        <w:t>(regardless of whether such event also constitutes a Change in Control Event, as defined in the Amended 2020 Plan), our Board of Directors shall provide that all outstanding awards other than restricted stock shall be assumed, or equivalent awards shall be substituted, by the acquiring or succeeding corporation (or an affiliate thereof). If such reorganization event also constitutes a Change in Control Event, except to the extent specifically provided to the contrary in the instrument evidencing any award other than restricted stock or any other agreement between a participant and us (A) one-half of the number of shares subject to the award other than restricted stock which were not already vested shall become vested and/or exercisable upon</w:t>
      </w:r>
    </w:p>
    <w:p>
      <w:pPr>
        <w:sectPr>
          <w:pgSz w:w="11900" w:h="16838" w:orient="portrait"/>
          <w:cols w:equalWidth="0" w:num="1">
            <w:col w:w="11240"/>
          </w:cols>
          <w:pgMar w:left="320" w:top="1174" w:right="339" w:bottom="1440" w:gutter="0" w:footer="0" w:header="0"/>
        </w:sectPr>
      </w:pPr>
    </w:p>
    <w:p>
      <w:pPr>
        <w:spacing w:after="0" w:line="200" w:lineRule="exact"/>
        <w:rPr>
          <w:sz w:val="20"/>
          <w:szCs w:val="20"/>
          <w:color w:val="auto"/>
        </w:rPr>
      </w:pPr>
    </w:p>
    <w:p>
      <w:pPr>
        <w:spacing w:after="0" w:line="234" w:lineRule="exact"/>
        <w:rPr>
          <w:sz w:val="20"/>
          <w:szCs w:val="20"/>
          <w:color w:val="auto"/>
        </w:rPr>
      </w:pPr>
    </w:p>
    <w:p>
      <w:pPr>
        <w:ind w:left="8980"/>
        <w:spacing w:after="0"/>
        <w:tabs>
          <w:tab w:leader="none" w:pos="10980" w:val="left"/>
        </w:tabs>
        <w:rPr>
          <w:sz w:val="20"/>
          <w:szCs w:val="20"/>
          <w:color w:val="auto"/>
        </w:rPr>
      </w:pPr>
      <w:r>
        <w:rPr>
          <w:rFonts w:ascii="Arial" w:cs="Arial" w:eastAsia="Arial" w:hAnsi="Arial"/>
          <w:sz w:val="16"/>
          <w:szCs w:val="16"/>
          <w:color w:val="0067B3"/>
        </w:rPr>
        <w:t>2026 Proxy Statement</w:t>
      </w:r>
      <w:r>
        <w:rPr>
          <w:sz w:val="20"/>
          <w:szCs w:val="20"/>
          <w:color w:val="auto"/>
        </w:rPr>
        <w:tab/>
      </w:r>
      <w:r>
        <w:rPr>
          <w:rFonts w:ascii="Arial" w:cs="Arial" w:eastAsia="Arial" w:hAnsi="Arial"/>
          <w:sz w:val="19"/>
          <w:szCs w:val="19"/>
          <w:b w:val="1"/>
          <w:bCs w:val="1"/>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223520</wp:posOffset>
            </wp:positionV>
            <wp:extent cx="7157720" cy="42545"/>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4" w:right="339" w:bottom="1440" w:gutter="0" w:footer="0" w:header="0"/>
          <w:type w:val="continuous"/>
        </w:sectPr>
      </w:pPr>
    </w:p>
    <w:bookmarkStart w:id="93" w:name="page94"/>
    <w:bookmarkEnd w:id="93"/>
    <w:p>
      <w:pPr>
        <w:spacing w:after="0" w:line="252" w:lineRule="auto"/>
        <w:rPr>
          <w:sz w:val="20"/>
          <w:szCs w:val="20"/>
          <w:color w:val="auto"/>
        </w:rPr>
      </w:pPr>
      <w:r>
        <w:rPr>
          <w:rFonts w:ascii="Arial" w:cs="Arial" w:eastAsia="Arial" w:hAnsi="Arial"/>
          <w:sz w:val="18"/>
          <w:szCs w:val="18"/>
          <w:color w:val="auto"/>
        </w:rPr>
        <w:t>the occurrence of such reorganization event and, subject to (B) below, the remaining one-half of such number of shares shall continue to become vested in accordance with the original vesting schedule set forth in such award, with one-half of the number of shares that would otherwise have become vested on each subsequent vesting date in accordance with the original schedule becoming vested on each subsequent vesting date and (B) such assumed or substituted award other than restricted stock shall become immediately vested and/or exercisable in full if, on or prior to the first anniversary of the date of the consummation of the reorganization event, the participant’s employment with us or the acquiring or succeeding corporation is terminated for Good Reason (as defined in the Amended 2020 Plan) by the Participant or is terminated without Cause (as defined in the Amended 2020 Plan) by us or the acquiring or succeeding corporation. For purposes hereof, an award other than restricted stock shall be considered to be assumed if, following consummation of the reorganization event, the award confers the right to purchase or receive, for each share of common stock subject to the award immediately prior to the consummation of the reorganization event, the consideration (whether cash, securities or other property) received as a result of the reorganization event by holders of common stock for each share of common stock held immediately prior to the consummation of the reorganization event (and if holders were offered a choice of consideration, the type of consideration chosen by the holders of a majority of the outstanding shares of common stock); provided, however, that if the consideration received as a result of the reorganization event is not solely common stock of the acquiring or succeeding corporation (or an affiliate thereof), we may, with the consent of the acquiring or succeeding corporation, provide for the consideration to be received upon the exercise and/or vesting of the awards other than restricted stock to consist solely of common stock of the acquiring or succeeding corporation (or an affiliate thereof) equivalent in value (as determined by the Board of Directors) to the per share consideration received by holders of outstanding shares of common stock as a result of the reorganization event.</w:t>
      </w:r>
    </w:p>
    <w:p>
      <w:pPr>
        <w:spacing w:after="0" w:line="70"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Notwithstanding the foregoing and anything to the contrary in the Amended 2020 Plan, if the acquiring or succeeding corporation (or an affiliate thereof) does not agree to assume, or substitute for, such awards other than restricted stock, or in the event of a liquidation or dissolution of the Company, the Board of Directors shall, upon written notice to the participants, provide that all then unexercised or unvested awards other than restricted stock will become vested and/or exercisable in full as of a specified time prior to the reorganization event and will terminate immediately prior to the consummation of such reorganization event, except to the extent, as applicable, exercised by the participants before the consummation of such reorganization event; provided, however, that in the event of a reorganization event under the terms of which holders of common stock will receive upon consummation thereof a cash payment for each share of common stock surrendered pursuant to such reorganization event (referred to as the Acquisition Price), then the Board of Directors may instead provide that all outstanding awards other than restricted stock shall terminate upon consummation of such reorganization event and that each participant shall receive, in exchange therefor, a cash payment equal to the amount (if any) by which (A) the Acquisition Price multiplied by the number of shares of common stock subject to such outstanding award other than restricted stock (whether or not then vested), exceeds (B) the aggregate exercise price of such award other than restricted stock, if any. Further, certain restricted stock unit awards that are subject to Section 409A of the Code will be settled in accordance with the terms of the applicable award agreement.</w:t>
      </w:r>
    </w:p>
    <w:p>
      <w:pPr>
        <w:spacing w:after="0" w:line="66" w:lineRule="exact"/>
        <w:rPr>
          <w:sz w:val="20"/>
          <w:szCs w:val="20"/>
          <w:color w:val="auto"/>
        </w:rPr>
      </w:pPr>
    </w:p>
    <w:p>
      <w:pPr>
        <w:ind w:right="240"/>
        <w:spacing w:after="0" w:line="259" w:lineRule="auto"/>
        <w:rPr>
          <w:sz w:val="20"/>
          <w:szCs w:val="20"/>
          <w:color w:val="auto"/>
        </w:rPr>
      </w:pPr>
      <w:r>
        <w:rPr>
          <w:rFonts w:ascii="Arial" w:cs="Arial" w:eastAsia="Arial" w:hAnsi="Arial"/>
          <w:sz w:val="18"/>
          <w:szCs w:val="18"/>
          <w:b w:val="1"/>
          <w:bCs w:val="1"/>
          <w:color w:val="0067B3"/>
        </w:rPr>
        <w:t xml:space="preserve">Provisions Applicable to Restricted Stock. </w:t>
      </w:r>
      <w:r>
        <w:rPr>
          <w:rFonts w:ascii="Arial" w:cs="Arial" w:eastAsia="Arial" w:hAnsi="Arial"/>
          <w:sz w:val="18"/>
          <w:szCs w:val="18"/>
          <w:color w:val="000000"/>
        </w:rPr>
        <w:t>Restricted stock Upon the occurrence of a reorganization event (regardless of whether such</w:t>
      </w:r>
      <w:r>
        <w:rPr>
          <w:rFonts w:ascii="Arial" w:cs="Arial" w:eastAsia="Arial" w:hAnsi="Arial"/>
          <w:sz w:val="18"/>
          <w:szCs w:val="18"/>
          <w:b w:val="1"/>
          <w:bCs w:val="1"/>
          <w:color w:val="0067B3"/>
        </w:rPr>
        <w:t xml:space="preserve"> </w:t>
      </w:r>
      <w:r>
        <w:rPr>
          <w:rFonts w:ascii="Arial" w:cs="Arial" w:eastAsia="Arial" w:hAnsi="Arial"/>
          <w:sz w:val="18"/>
          <w:szCs w:val="18"/>
          <w:color w:val="000000"/>
        </w:rPr>
        <w:t>event also constitutes a Change in Control Event), the repurchase and other rights of the Company under each outstanding award of restricted stock shall inure to the benefit of the Company’s successor and shall apply to the cash, securities or other property which the common stock was converted into or exchanged for pursuant to such reorganization event in the same manner and to the same extent as they applied to such award of restricted stock.</w:t>
      </w:r>
    </w:p>
    <w:p>
      <w:pPr>
        <w:spacing w:after="0" w:line="114" w:lineRule="exact"/>
        <w:rPr>
          <w:sz w:val="20"/>
          <w:szCs w:val="20"/>
          <w:color w:val="auto"/>
        </w:rPr>
      </w:pPr>
    </w:p>
    <w:p>
      <w:pPr>
        <w:spacing w:after="0"/>
        <w:rPr>
          <w:sz w:val="20"/>
          <w:szCs w:val="20"/>
          <w:color w:val="auto"/>
        </w:rPr>
      </w:pPr>
      <w:r>
        <w:rPr>
          <w:rFonts w:ascii="Arial" w:cs="Arial" w:eastAsia="Arial" w:hAnsi="Arial"/>
          <w:sz w:val="32"/>
          <w:szCs w:val="32"/>
          <w:b w:val="1"/>
          <w:bCs w:val="1"/>
          <w:color w:val="auto"/>
        </w:rPr>
        <w:t>Change in Control Event</w:t>
      </w:r>
    </w:p>
    <w:p>
      <w:pPr>
        <w:spacing w:after="0" w:line="156"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b w:val="1"/>
          <w:bCs w:val="1"/>
          <w:color w:val="0067B3"/>
        </w:rPr>
        <w:t xml:space="preserve">Provisions Applicable to Awards Other than Restricted Stock. </w:t>
      </w:r>
      <w:r>
        <w:rPr>
          <w:rFonts w:ascii="Arial" w:cs="Arial" w:eastAsia="Arial" w:hAnsi="Arial"/>
          <w:sz w:val="18"/>
          <w:szCs w:val="18"/>
          <w:color w:val="000000"/>
        </w:rPr>
        <w:t>The Amended 2020 Plan also contains provisions addressing the</w:t>
      </w:r>
      <w:r>
        <w:rPr>
          <w:rFonts w:ascii="Arial" w:cs="Arial" w:eastAsia="Arial" w:hAnsi="Arial"/>
          <w:sz w:val="18"/>
          <w:szCs w:val="18"/>
          <w:b w:val="1"/>
          <w:bCs w:val="1"/>
          <w:color w:val="0067B3"/>
        </w:rPr>
        <w:t xml:space="preserve"> </w:t>
      </w:r>
      <w:r>
        <w:rPr>
          <w:rFonts w:ascii="Arial" w:cs="Arial" w:eastAsia="Arial" w:hAnsi="Arial"/>
          <w:sz w:val="18"/>
          <w:szCs w:val="18"/>
          <w:color w:val="000000"/>
        </w:rPr>
        <w:t>consequences of any Change in Control Event. Upon the occurrence of a Change in Control Event that does not also constitute a reorganization event, except to the extent specifically provided to the contrary in the instrument evidencing any award other than restricted stock or any other agreement between a participant and us, and notwithstanding anything to the contrary in the Amended 2020 Plan, the vesting schedule of such award shall be accelerated in part so that one-half of the number of shares that would otherwise have first become vested on any date after the date of the Change in Control Event shall immediately become vested and/or exercisable. The remaining one-half of such number of shares shall continue to become vested in accordance with the original vesting schedule set forth in such award other than restricted stock, with one-half of the number of shares that would otherwise have become vested on each subsequent vesting date in accordance with the original schedule becoming vested on each such subsequent vesting date; provided, however, that each such award other than restricted stock shall be immediately vested and/or exercisable in full if, on or prior to the first anniversary of the date of the consummation of the Change in Control Event, the Participant’s employment with us or the acquiring or succeeding corporation is terminated for Good Reason by the participant or is terminated without Cause by us or the acquiring or succeeding corporation.</w:t>
      </w:r>
    </w:p>
    <w:p>
      <w:pPr>
        <w:spacing w:after="0" w:line="68" w:lineRule="exact"/>
        <w:rPr>
          <w:sz w:val="20"/>
          <w:szCs w:val="20"/>
          <w:color w:val="auto"/>
        </w:rPr>
      </w:pPr>
    </w:p>
    <w:p>
      <w:pPr>
        <w:spacing w:after="0" w:line="255" w:lineRule="auto"/>
        <w:rPr>
          <w:sz w:val="20"/>
          <w:szCs w:val="20"/>
          <w:color w:val="auto"/>
        </w:rPr>
      </w:pPr>
      <w:r>
        <w:rPr>
          <w:rFonts w:ascii="Arial" w:cs="Arial" w:eastAsia="Arial" w:hAnsi="Arial"/>
          <w:sz w:val="18"/>
          <w:szCs w:val="18"/>
          <w:b w:val="1"/>
          <w:bCs w:val="1"/>
          <w:color w:val="0067B3"/>
        </w:rPr>
        <w:t xml:space="preserve">Provisions Applicable to Restricted Stock. </w:t>
      </w:r>
      <w:r>
        <w:rPr>
          <w:rFonts w:ascii="Arial" w:cs="Arial" w:eastAsia="Arial" w:hAnsi="Arial"/>
          <w:sz w:val="18"/>
          <w:szCs w:val="18"/>
          <w:color w:val="000000"/>
        </w:rPr>
        <w:t>Upon the occurrence of a Change in Control Event (regardless of whether such event also</w:t>
      </w:r>
      <w:r>
        <w:rPr>
          <w:rFonts w:ascii="Arial" w:cs="Arial" w:eastAsia="Arial" w:hAnsi="Arial"/>
          <w:sz w:val="18"/>
          <w:szCs w:val="18"/>
          <w:b w:val="1"/>
          <w:bCs w:val="1"/>
          <w:color w:val="0067B3"/>
        </w:rPr>
        <w:t xml:space="preserve"> </w:t>
      </w:r>
      <w:r>
        <w:rPr>
          <w:rFonts w:ascii="Arial" w:cs="Arial" w:eastAsia="Arial" w:hAnsi="Arial"/>
          <w:sz w:val="18"/>
          <w:szCs w:val="18"/>
          <w:color w:val="000000"/>
        </w:rPr>
        <w:t>constitutes a reorganization event), except to the extent specifically provided to the contrary in the instrument evidencing any award of restricted stock or any other agreement between a participant and us, and notwithstanding anything to the contrary in the Amended 2020 Plan, the vesting schedule of all awards of restricted stock shall be accelerated in part so that one-half of the number of shares that would otherwise have first become free from conditions or restrictions on any date after the date of the Change in Control Event shall immediately become free from conditions or restrictions. Subject to the following sentence, the remaining one-half of such number of shares shall continue to become free from conditions or restrictions in accordance with the original schedule set forth in such award, with one-half of the number of shares that would otherwise have become free from conditions or restrictions on each subsequent vesting date in accordance with the original schedule becoming free from conditions or restrictions on</w:t>
      </w:r>
    </w:p>
    <w:p>
      <w:pPr>
        <w:sectPr>
          <w:pgSz w:w="11900" w:h="16838" w:orient="portrait"/>
          <w:cols w:equalWidth="0" w:num="1">
            <w:col w:w="11220"/>
          </w:cols>
          <w:pgMar w:left="320" w:top="1174" w:right="359" w:bottom="1097" w:gutter="0" w:footer="0" w:header="0"/>
        </w:sectPr>
      </w:pPr>
    </w:p>
    <w:p>
      <w:pPr>
        <w:spacing w:after="0" w:line="200" w:lineRule="exact"/>
        <w:rPr>
          <w:sz w:val="20"/>
          <w:szCs w:val="20"/>
          <w:color w:val="auto"/>
        </w:rPr>
      </w:pPr>
    </w:p>
    <w:p>
      <w:pPr>
        <w:spacing w:after="0" w:line="267" w:lineRule="exact"/>
        <w:rPr>
          <w:sz w:val="20"/>
          <w:szCs w:val="20"/>
          <w:color w:val="auto"/>
        </w:rPr>
      </w:pPr>
    </w:p>
    <w:p>
      <w:pPr>
        <w:ind w:left="640" w:hanging="614"/>
        <w:spacing w:after="0"/>
        <w:tabs>
          <w:tab w:leader="none" w:pos="640" w:val="left"/>
        </w:tabs>
        <w:numPr>
          <w:ilvl w:val="0"/>
          <w:numId w:val="154"/>
        </w:numPr>
        <w:rPr>
          <w:rFonts w:ascii="Arial" w:cs="Arial" w:eastAsia="Arial" w:hAnsi="Arial"/>
          <w:sz w:val="20"/>
          <w:szCs w:val="20"/>
          <w:b w:val="1"/>
          <w:bCs w:val="1"/>
          <w:color w:val="auto"/>
        </w:rPr>
      </w:pPr>
      <w:r>
        <w:rPr>
          <w:rFonts w:ascii="Arial" w:cs="Arial" w:eastAsia="Arial" w:hAnsi="Arial"/>
          <w:sz w:val="16"/>
          <w:szCs w:val="16"/>
          <w:color w:val="6D6E71"/>
        </w:rPr>
        <w:t>Proposal 4: Approval of the Amended and Restated Analog Devices, Inc. 2020 Equity Incentive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194310</wp:posOffset>
            </wp:positionV>
            <wp:extent cx="7157720" cy="42545"/>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4" w:right="359" w:bottom="1097" w:gutter="0" w:footer="0" w:header="0"/>
          <w:type w:val="continuous"/>
        </w:sectPr>
      </w:pPr>
    </w:p>
    <w:bookmarkStart w:id="94" w:name="page95"/>
    <w:bookmarkEnd w:id="94"/>
    <w:p>
      <w:pPr>
        <w:ind w:right="40"/>
        <w:spacing w:after="0" w:line="262" w:lineRule="auto"/>
        <w:rPr>
          <w:sz w:val="20"/>
          <w:szCs w:val="20"/>
          <w:color w:val="auto"/>
        </w:rPr>
      </w:pPr>
      <w:r>
        <w:rPr>
          <w:rFonts w:ascii="Arial" w:cs="Arial" w:eastAsia="Arial" w:hAnsi="Arial"/>
          <w:sz w:val="18"/>
          <w:szCs w:val="18"/>
          <w:color w:val="auto"/>
        </w:rPr>
        <w:t>each subsequent vesting date. In addition, each such award shall immediately become free from all conditions or restrictions if, on or prior to the first anniversary of the date of the consummation of the Change in Control Event, the participant’s employment with us or the acquiring or succeeding corporation is terminated for Good Reason by the participant or is terminated without Cause us or the acquiring or succeeding corporation.</w:t>
      </w:r>
    </w:p>
    <w:p>
      <w:pPr>
        <w:spacing w:after="0" w:line="205" w:lineRule="exact"/>
        <w:rPr>
          <w:sz w:val="20"/>
          <w:szCs w:val="20"/>
          <w:color w:val="auto"/>
        </w:rPr>
      </w:pPr>
    </w:p>
    <w:p>
      <w:pPr>
        <w:spacing w:after="0"/>
        <w:rPr>
          <w:sz w:val="20"/>
          <w:szCs w:val="20"/>
          <w:color w:val="auto"/>
        </w:rPr>
      </w:pPr>
      <w:r>
        <w:rPr>
          <w:rFonts w:ascii="Arial" w:cs="Arial" w:eastAsia="Arial" w:hAnsi="Arial"/>
          <w:sz w:val="32"/>
          <w:szCs w:val="32"/>
          <w:b w:val="1"/>
          <w:bCs w:val="1"/>
          <w:color w:val="auto"/>
        </w:rPr>
        <w:t>Provisions for Foreign Participants</w:t>
      </w:r>
    </w:p>
    <w:p>
      <w:pPr>
        <w:spacing w:after="0" w:line="156"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The Board of Directors may establish one or more sub-plans under the Amended 2020 Plan to satisfy applicable securities, tax or other laws of various jurisdictions. The Board of Directors will establish such sub-plans by adopting supplements to the Amended 2020 Plan containing any limitations on the Board of Director’s discretion under the Amended 2020 Plan and any additional terms and conditions not otherwise inconsistent with the Amended 2020 Plan as the Board of Directors deems necessary or desirable. All supplements adopted by the Board of Directors will be deemed to be part of the Amended 2020 Plan, but each supplement will only apply to participants within the affected jurisdiction.</w:t>
      </w:r>
    </w:p>
    <w:p>
      <w:pPr>
        <w:spacing w:after="0" w:line="211" w:lineRule="exact"/>
        <w:rPr>
          <w:sz w:val="20"/>
          <w:szCs w:val="20"/>
          <w:color w:val="auto"/>
        </w:rPr>
      </w:pPr>
    </w:p>
    <w:p>
      <w:pPr>
        <w:spacing w:after="0"/>
        <w:rPr>
          <w:sz w:val="20"/>
          <w:szCs w:val="20"/>
          <w:color w:val="auto"/>
        </w:rPr>
      </w:pPr>
      <w:r>
        <w:rPr>
          <w:rFonts w:ascii="Arial" w:cs="Arial" w:eastAsia="Arial" w:hAnsi="Arial"/>
          <w:sz w:val="32"/>
          <w:szCs w:val="32"/>
          <w:b w:val="1"/>
          <w:bCs w:val="1"/>
          <w:color w:val="auto"/>
        </w:rPr>
        <w:t>Amendment or Termination</w:t>
      </w:r>
    </w:p>
    <w:p>
      <w:pPr>
        <w:spacing w:after="0" w:line="156" w:lineRule="exact"/>
        <w:rPr>
          <w:sz w:val="20"/>
          <w:szCs w:val="20"/>
          <w:color w:val="auto"/>
        </w:rPr>
      </w:pPr>
    </w:p>
    <w:p>
      <w:pPr>
        <w:ind w:right="120"/>
        <w:spacing w:after="0" w:line="252" w:lineRule="auto"/>
        <w:rPr>
          <w:sz w:val="20"/>
          <w:szCs w:val="20"/>
          <w:color w:val="auto"/>
        </w:rPr>
      </w:pPr>
      <w:r>
        <w:rPr>
          <w:rFonts w:ascii="Arial" w:cs="Arial" w:eastAsia="Arial" w:hAnsi="Arial"/>
          <w:sz w:val="18"/>
          <w:szCs w:val="18"/>
          <w:color w:val="auto"/>
        </w:rPr>
        <w:t>If we receive shareholder approval of the Amended 2020 Plan, no award may be granted under the Amended 2020 Plan after March 11, 2030, but awards previously granted may extend beyond that date. Our Board of Directors may amend, suspend or terminate the Amended 2020 Plan or any portion of the Amended 2020 Plan at any time, except that (i) no amendment may be made to the plan to permit an option or SAR to be repriced without shareholder approval and (ii) no amendment that would require shareholder approval under the rules of the national securities exchange on which we then maintain our primary listing may be made effective unless and until such amendment has been approved by our shareholders. If the national securities exchange on which we then maintain our primary listing does not have rules regarding when shareholder approval of amendments to equity compensation plans is required (or if our common stock is not then listed on any national securities exchange), no amendment of the Amended 2020 Plan materially increasing the number of shares authorized under the plan, expanding the types of awards that may be granted under the plan or materially expanding the class of participants eligible to participate in the plan will be effective unless and until the our shareholders approve such amendment. If at any time the approval of our shareholders is required as to any other modification or amendment under Section 422 of the Code or any successor provision with respect to incentive stock options, our Board of Directors may not effect such modification or amendment without such approval. Unless otherwise specified in the amendment, any amendment to the Amended 2020 Plan adopted in accordance with the procedures described above will apply to, and be binding on the holders of, all awards outstanding under the Amended 2020 Plan at the time the amendment is adopted, provided that our Board of Directors determines that such amendment, taking into account any related action, does not materially and adversely affect the rights of participants under the Amended 2020 Plan. No award will be made that is conditioned on shareholder approval of any amendment to the Amended 2020 Plan unless the award provides that (i) it will terminate or be forfeited if shareholder approval of such amendment is not obtained within 12 months from the date the award was granted and (ii) it may not be exercised or settled (or otherwise result in the issuance of shares of our common stock) prior to the receipt of such shareholder approval.</w:t>
      </w:r>
    </w:p>
    <w:p>
      <w:pPr>
        <w:spacing w:after="0" w:line="83" w:lineRule="exact"/>
        <w:rPr>
          <w:sz w:val="20"/>
          <w:szCs w:val="20"/>
          <w:color w:val="auto"/>
        </w:rPr>
      </w:pPr>
    </w:p>
    <w:p>
      <w:pPr>
        <w:ind w:right="120"/>
        <w:spacing w:after="0" w:line="268" w:lineRule="auto"/>
        <w:rPr>
          <w:sz w:val="20"/>
          <w:szCs w:val="20"/>
          <w:color w:val="auto"/>
        </w:rPr>
      </w:pPr>
      <w:r>
        <w:rPr>
          <w:rFonts w:ascii="Arial" w:cs="Arial" w:eastAsia="Arial" w:hAnsi="Arial"/>
          <w:sz w:val="18"/>
          <w:szCs w:val="18"/>
          <w:color w:val="auto"/>
        </w:rPr>
        <w:t>If shareholders do not approve the adoption of the Amended 2020 Plan, the Amended 2020 Plan will not go into effect, but we may continue to grant awards under the existing 2020 Plan. In this event, the Board of Directors will consider whether to adopt alternative arrangements based on its assessment of the needs of the Company.</w:t>
      </w:r>
    </w:p>
    <w:p>
      <w:pPr>
        <w:spacing w:after="0" w:line="200" w:lineRule="exact"/>
        <w:rPr>
          <w:sz w:val="20"/>
          <w:szCs w:val="20"/>
          <w:color w:val="auto"/>
        </w:rPr>
      </w:pPr>
    </w:p>
    <w:p>
      <w:pPr>
        <w:spacing w:after="0"/>
        <w:rPr>
          <w:sz w:val="20"/>
          <w:szCs w:val="20"/>
          <w:color w:val="auto"/>
        </w:rPr>
      </w:pPr>
      <w:r>
        <w:rPr>
          <w:rFonts w:ascii="Arial" w:cs="Arial" w:eastAsia="Arial" w:hAnsi="Arial"/>
          <w:sz w:val="32"/>
          <w:szCs w:val="32"/>
          <w:b w:val="1"/>
          <w:bCs w:val="1"/>
          <w:color w:val="auto"/>
        </w:rPr>
        <w:t>Federal Income Tax Consequences</w:t>
      </w:r>
    </w:p>
    <w:p>
      <w:pPr>
        <w:spacing w:after="0" w:line="170"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The following is a summary of the United States federal ordinary income tax consequences that generally will arise with respect to awards granted under the Amended 2020 Plan and not of FICA, SECA, state, local or foreign taxes. This summary is based on the U.S. federal income tax laws in effect as of the date of this proxy statement and does not include a discussion of or anticipate changes that may become effective or be implemented after November 1, 2025. In addition, this summary assumes that all awards are exempt from, or comply with, the rules under Section 409A of the Code regarding nonqualified deferred compensation. Changes to these laws could alter the tax consequences described below.</w:t>
      </w:r>
    </w:p>
    <w:p>
      <w:pPr>
        <w:spacing w:after="0" w:line="74" w:lineRule="exact"/>
        <w:rPr>
          <w:sz w:val="20"/>
          <w:szCs w:val="20"/>
          <w:color w:val="auto"/>
        </w:rPr>
      </w:pPr>
    </w:p>
    <w:p>
      <w:pPr>
        <w:spacing w:after="0" w:line="257" w:lineRule="auto"/>
        <w:rPr>
          <w:sz w:val="20"/>
          <w:szCs w:val="20"/>
          <w:color w:val="auto"/>
        </w:rPr>
      </w:pPr>
      <w:r>
        <w:rPr>
          <w:rFonts w:ascii="Arial" w:cs="Arial" w:eastAsia="Arial" w:hAnsi="Arial"/>
          <w:sz w:val="18"/>
          <w:szCs w:val="18"/>
          <w:b w:val="1"/>
          <w:bCs w:val="1"/>
          <w:color w:val="0067B3"/>
        </w:rPr>
        <w:t xml:space="preserve">Incentive Stock Options. </w:t>
      </w:r>
      <w:r>
        <w:rPr>
          <w:rFonts w:ascii="Arial" w:cs="Arial" w:eastAsia="Arial" w:hAnsi="Arial"/>
          <w:sz w:val="18"/>
          <w:szCs w:val="18"/>
          <w:color w:val="000000"/>
        </w:rPr>
        <w:t>A participant will not have income upon the grant of an incentive stock option. Also, except as described below, a</w:t>
      </w:r>
      <w:r>
        <w:rPr>
          <w:rFonts w:ascii="Arial" w:cs="Arial" w:eastAsia="Arial" w:hAnsi="Arial"/>
          <w:sz w:val="18"/>
          <w:szCs w:val="18"/>
          <w:b w:val="1"/>
          <w:bCs w:val="1"/>
          <w:color w:val="0067B3"/>
        </w:rPr>
        <w:t xml:space="preserve"> </w:t>
      </w:r>
      <w:r>
        <w:rPr>
          <w:rFonts w:ascii="Arial" w:cs="Arial" w:eastAsia="Arial" w:hAnsi="Arial"/>
          <w:sz w:val="18"/>
          <w:szCs w:val="18"/>
          <w:color w:val="000000"/>
        </w:rPr>
        <w:t>participant will not have income upon exercise of an incentive stock option if the participant has been employed by ADI or its corporate parent or 50% or majority-owned corporate subsidiary at all times beginning with the option grant date and ending three months before the date the participant exercises the option. If the participant has not been so employed during that time, then the participant will be taxed as described below under “Nonstatutory Stock Options.” The exercise of an incentive stock option may subject the participant to the alternative minimum tax.</w:t>
      </w:r>
    </w:p>
    <w:p>
      <w:pPr>
        <w:spacing w:after="0" w:line="74"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A participant will have income upon the sale of the stock acquired under an incentive stock option at a profit (if sales proceeds exceed the exercise price). The type of income will depend on when the participant sells the stock. If a participant sells the stock more than two years after the option was granted and more than one year after the option was exercised, then all of the profit will be long-term capital gain. If a participant sells the stock prior to satisfying these waiting periods, then the participant will have engaged in a disqualifying disposition, and a portion of the profit will be ordinary income and a portion may be capital gain. This capital gain will be long-term if the participant has held the stock for more than one year and otherwise will be short-term. If a participant sells the stock at a loss (sales proceeds are less than the exercise price), then the loss will be a capital loss. This capital loss will be long-term if the participant held the stock for more than one year and otherwise will be short-term.</w:t>
      </w:r>
    </w:p>
    <w:p>
      <w:pPr>
        <w:sectPr>
          <w:pgSz w:w="11900" w:h="16838" w:orient="portrait"/>
          <w:cols w:equalWidth="0" w:num="1">
            <w:col w:w="11240"/>
          </w:cols>
          <w:pgMar w:left="320" w:top="1174" w:right="339" w:bottom="536" w:gutter="0" w:footer="0" w:header="0"/>
        </w:sectPr>
      </w:pPr>
    </w:p>
    <w:p>
      <w:pPr>
        <w:spacing w:after="0" w:line="200" w:lineRule="exact"/>
        <w:rPr>
          <w:sz w:val="20"/>
          <w:szCs w:val="20"/>
          <w:color w:val="auto"/>
        </w:rPr>
      </w:pPr>
    </w:p>
    <w:p>
      <w:pPr>
        <w:spacing w:after="0" w:line="236" w:lineRule="exact"/>
        <w:rPr>
          <w:sz w:val="20"/>
          <w:szCs w:val="20"/>
          <w:color w:val="auto"/>
        </w:rPr>
      </w:pPr>
    </w:p>
    <w:p>
      <w:pPr>
        <w:ind w:left="8980"/>
        <w:spacing w:after="0"/>
        <w:tabs>
          <w:tab w:leader="none" w:pos="10980" w:val="left"/>
        </w:tabs>
        <w:rPr>
          <w:sz w:val="20"/>
          <w:szCs w:val="20"/>
          <w:color w:val="auto"/>
        </w:rPr>
      </w:pPr>
      <w:r>
        <w:rPr>
          <w:rFonts w:ascii="Arial" w:cs="Arial" w:eastAsia="Arial" w:hAnsi="Arial"/>
          <w:sz w:val="16"/>
          <w:szCs w:val="16"/>
          <w:color w:val="0067B3"/>
        </w:rPr>
        <w:t>2026 Proxy Statement</w:t>
      </w:r>
      <w:r>
        <w:rPr>
          <w:sz w:val="20"/>
          <w:szCs w:val="20"/>
          <w:color w:val="auto"/>
        </w:rPr>
        <w:tab/>
      </w:r>
      <w:r>
        <w:rPr>
          <w:rFonts w:ascii="Arial" w:cs="Arial" w:eastAsia="Arial" w:hAnsi="Arial"/>
          <w:sz w:val="19"/>
          <w:szCs w:val="19"/>
          <w:b w:val="1"/>
          <w:bCs w:val="1"/>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232410</wp:posOffset>
            </wp:positionV>
            <wp:extent cx="7157720" cy="42545"/>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4" w:right="339" w:bottom="536" w:gutter="0" w:footer="0" w:header="0"/>
          <w:type w:val="continuous"/>
        </w:sectPr>
      </w:pPr>
    </w:p>
    <w:bookmarkStart w:id="95" w:name="page96"/>
    <w:bookmarkEnd w:id="95"/>
    <w:p>
      <w:pPr>
        <w:spacing w:after="0" w:line="259" w:lineRule="auto"/>
        <w:rPr>
          <w:sz w:val="20"/>
          <w:szCs w:val="20"/>
          <w:color w:val="auto"/>
        </w:rPr>
      </w:pPr>
      <w:r>
        <w:rPr>
          <w:rFonts w:ascii="Arial" w:cs="Arial" w:eastAsia="Arial" w:hAnsi="Arial"/>
          <w:sz w:val="18"/>
          <w:szCs w:val="18"/>
          <w:b w:val="1"/>
          <w:bCs w:val="1"/>
          <w:color w:val="0067B3"/>
        </w:rPr>
        <w:t xml:space="preserve">Nonstatutory Stock Options. </w:t>
      </w:r>
      <w:r>
        <w:rPr>
          <w:rFonts w:ascii="Arial" w:cs="Arial" w:eastAsia="Arial" w:hAnsi="Arial"/>
          <w:sz w:val="18"/>
          <w:szCs w:val="18"/>
          <w:color w:val="000000"/>
        </w:rPr>
        <w:t>A participant will not have income upon the grant of a nonstatutory stock option. A participant will have</w:t>
      </w:r>
      <w:r>
        <w:rPr>
          <w:rFonts w:ascii="Arial" w:cs="Arial" w:eastAsia="Arial" w:hAnsi="Arial"/>
          <w:sz w:val="18"/>
          <w:szCs w:val="18"/>
          <w:b w:val="1"/>
          <w:bCs w:val="1"/>
          <w:color w:val="0067B3"/>
        </w:rPr>
        <w:t xml:space="preserve"> </w:t>
      </w:r>
      <w:r>
        <w:rPr>
          <w:rFonts w:ascii="Arial" w:cs="Arial" w:eastAsia="Arial" w:hAnsi="Arial"/>
          <w:sz w:val="18"/>
          <w:szCs w:val="18"/>
          <w:color w:val="000000"/>
        </w:rPr>
        <w:t>compensation income upon the exercise of a nonstatutory stock option equal to the value of the stock on the day the participant exercised the option less the exercise price. Upon sale of the stock, the participant will have capital gain or loss equal to the difference between the sales proceeds and the value of the stock on the day the option was exercised. This capital gain or loss will be long-term if the participant has held the stock for more than one year and otherwise will be short-term.</w:t>
      </w:r>
    </w:p>
    <w:p>
      <w:pPr>
        <w:spacing w:after="0" w:line="71"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b w:val="1"/>
          <w:bCs w:val="1"/>
          <w:color w:val="0067B3"/>
        </w:rPr>
        <w:t xml:space="preserve">Stock Appreciation Rights. </w:t>
      </w:r>
      <w:r>
        <w:rPr>
          <w:rFonts w:ascii="Arial" w:cs="Arial" w:eastAsia="Arial" w:hAnsi="Arial"/>
          <w:sz w:val="18"/>
          <w:szCs w:val="18"/>
          <w:color w:val="000000"/>
        </w:rPr>
        <w:t>A participant will not have income upon the grant of a stock appreciation right. A participant generally will</w:t>
      </w:r>
      <w:r>
        <w:rPr>
          <w:rFonts w:ascii="Arial" w:cs="Arial" w:eastAsia="Arial" w:hAnsi="Arial"/>
          <w:sz w:val="18"/>
          <w:szCs w:val="18"/>
          <w:b w:val="1"/>
          <w:bCs w:val="1"/>
          <w:color w:val="0067B3"/>
        </w:rPr>
        <w:t xml:space="preserve"> </w:t>
      </w:r>
      <w:r>
        <w:rPr>
          <w:rFonts w:ascii="Arial" w:cs="Arial" w:eastAsia="Arial" w:hAnsi="Arial"/>
          <w:sz w:val="18"/>
          <w:szCs w:val="18"/>
          <w:color w:val="000000"/>
        </w:rPr>
        <w:t>recognize compensation income upon the exercise of an SAR equal to the amount of the cash and the fair market value of any stock received. Upon the sale of the stock, the participant will have capital gain or loss equal to the difference between the sales proceeds and the value of the stock on the day the SAR was exercised. This capital gain or loss will be long-term if the participant held the stock for more than one year and otherwise will be short-term.</w:t>
      </w:r>
    </w:p>
    <w:p>
      <w:pPr>
        <w:spacing w:after="0" w:line="71"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b w:val="1"/>
          <w:bCs w:val="1"/>
          <w:color w:val="0067B3"/>
        </w:rPr>
        <w:t xml:space="preserve">Restricted Stock Awards. </w:t>
      </w:r>
      <w:r>
        <w:rPr>
          <w:rFonts w:ascii="Arial" w:cs="Arial" w:eastAsia="Arial" w:hAnsi="Arial"/>
          <w:sz w:val="18"/>
          <w:szCs w:val="18"/>
          <w:color w:val="000000"/>
        </w:rPr>
        <w:t>A participant will not have income upon the grant of restricted stock unless an election under Section 83(b) of the</w:t>
      </w:r>
      <w:r>
        <w:rPr>
          <w:rFonts w:ascii="Arial" w:cs="Arial" w:eastAsia="Arial" w:hAnsi="Arial"/>
          <w:sz w:val="18"/>
          <w:szCs w:val="18"/>
          <w:b w:val="1"/>
          <w:bCs w:val="1"/>
          <w:color w:val="0067B3"/>
        </w:rPr>
        <w:t xml:space="preserve"> </w:t>
      </w:r>
      <w:r>
        <w:rPr>
          <w:rFonts w:ascii="Arial" w:cs="Arial" w:eastAsia="Arial" w:hAnsi="Arial"/>
          <w:sz w:val="18"/>
          <w:szCs w:val="18"/>
          <w:color w:val="000000"/>
        </w:rPr>
        <w:t>Code is made within 30 days of the date of grant. If a timely 83(b) election is made, then a participant will have compensation income equal to the value of the stock less the purchase price. When the stock is sold, the participant will have capital gain or loss equal to the difference between the sales proceeds and the value of the stock on the date of grant. If the participant does not make an 83(b) election, then when the stock vests the participant will have compensation income equal to the value of the stock on the vesting date less the purchase price. When the stock is sold, the participant will have capital gain or loss equal to the sales proceeds less the value of the stock on the vesting date. Any capital gain or loss will be long-term if the participant held the stock for more than one year and otherwise will be short-term.</w:t>
      </w:r>
    </w:p>
    <w:p>
      <w:pPr>
        <w:spacing w:after="0" w:line="75"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b w:val="1"/>
          <w:bCs w:val="1"/>
          <w:color w:val="0067B3"/>
        </w:rPr>
        <w:t xml:space="preserve">Restricted Stock Units. </w:t>
      </w:r>
      <w:r>
        <w:rPr>
          <w:rFonts w:ascii="Arial" w:cs="Arial" w:eastAsia="Arial" w:hAnsi="Arial"/>
          <w:sz w:val="18"/>
          <w:szCs w:val="18"/>
          <w:color w:val="000000"/>
        </w:rPr>
        <w:t>A participant will not have income upon the grant of a restricted stock unit. A participant is not permitted to make a</w:t>
      </w:r>
      <w:r>
        <w:rPr>
          <w:rFonts w:ascii="Arial" w:cs="Arial" w:eastAsia="Arial" w:hAnsi="Arial"/>
          <w:sz w:val="18"/>
          <w:szCs w:val="18"/>
          <w:b w:val="1"/>
          <w:bCs w:val="1"/>
          <w:color w:val="0067B3"/>
        </w:rPr>
        <w:t xml:space="preserve"> </w:t>
      </w:r>
      <w:r>
        <w:rPr>
          <w:rFonts w:ascii="Arial" w:cs="Arial" w:eastAsia="Arial" w:hAnsi="Arial"/>
          <w:sz w:val="18"/>
          <w:szCs w:val="18"/>
          <w:color w:val="000000"/>
        </w:rPr>
        <w:t>Section 83(b) election with respect to a restricted stock unit award. When the restricted stock unit vests, the participant will have income on the vesting date in an amount equal to the fair market value of the stock on the vesting date less the purchase price, if any. When the stock is sold, the participant will have capital gain or loss equal to the sales proceeds less the value of the stock on the vesting date. Any capital gain or loss will be long-term if the participant held the stock for more than one year and otherwise will be short-term.</w:t>
      </w:r>
    </w:p>
    <w:p>
      <w:pPr>
        <w:spacing w:after="0" w:line="71" w:lineRule="exact"/>
        <w:rPr>
          <w:sz w:val="20"/>
          <w:szCs w:val="20"/>
          <w:color w:val="auto"/>
        </w:rPr>
      </w:pPr>
    </w:p>
    <w:p>
      <w:pPr>
        <w:ind w:right="40"/>
        <w:spacing w:after="0" w:line="262" w:lineRule="auto"/>
        <w:rPr>
          <w:sz w:val="20"/>
          <w:szCs w:val="20"/>
          <w:color w:val="auto"/>
        </w:rPr>
      </w:pPr>
      <w:r>
        <w:rPr>
          <w:rFonts w:ascii="Arial" w:cs="Arial" w:eastAsia="Arial" w:hAnsi="Arial"/>
          <w:sz w:val="18"/>
          <w:szCs w:val="18"/>
          <w:b w:val="1"/>
          <w:bCs w:val="1"/>
          <w:color w:val="0067B3"/>
        </w:rPr>
        <w:t xml:space="preserve">Other Stock-Based Awards. </w:t>
      </w:r>
      <w:r>
        <w:rPr>
          <w:rFonts w:ascii="Arial" w:cs="Arial" w:eastAsia="Arial" w:hAnsi="Arial"/>
          <w:sz w:val="18"/>
          <w:szCs w:val="18"/>
          <w:color w:val="000000"/>
        </w:rPr>
        <w:t>The tax consequences associated with any other stock-based award granted under the Amended 2020 Plan</w:t>
      </w:r>
      <w:r>
        <w:rPr>
          <w:rFonts w:ascii="Arial" w:cs="Arial" w:eastAsia="Arial" w:hAnsi="Arial"/>
          <w:sz w:val="18"/>
          <w:szCs w:val="18"/>
          <w:b w:val="1"/>
          <w:bCs w:val="1"/>
          <w:color w:val="0067B3"/>
        </w:rPr>
        <w:t xml:space="preserve"> </w:t>
      </w:r>
      <w:r>
        <w:rPr>
          <w:rFonts w:ascii="Arial" w:cs="Arial" w:eastAsia="Arial" w:hAnsi="Arial"/>
          <w:sz w:val="18"/>
          <w:szCs w:val="18"/>
          <w:color w:val="000000"/>
        </w:rPr>
        <w:t>will vary depending on the specific terms of such award. Among the relevant factors are whether or not the award has a readily ascertainable fair market value, whether or not the award is subject to forfeiture provisions or restrictions on transfer, the nature of the property to be received by the participant under the award, and the participant’s holding period and tax basis for the award or underlying common stock.</w:t>
      </w:r>
    </w:p>
    <w:p>
      <w:pPr>
        <w:spacing w:after="0" w:line="68"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b w:val="1"/>
          <w:bCs w:val="1"/>
          <w:color w:val="0067B3"/>
        </w:rPr>
        <w:t xml:space="preserve">Tax Consequences to the Company. </w:t>
      </w:r>
      <w:r>
        <w:rPr>
          <w:rFonts w:ascii="Arial" w:cs="Arial" w:eastAsia="Arial" w:hAnsi="Arial"/>
          <w:sz w:val="18"/>
          <w:szCs w:val="18"/>
          <w:color w:val="000000"/>
        </w:rPr>
        <w:t>There will be no tax consequences to the Company except that the Company will be potentially</w:t>
      </w:r>
      <w:r>
        <w:rPr>
          <w:rFonts w:ascii="Arial" w:cs="Arial" w:eastAsia="Arial" w:hAnsi="Arial"/>
          <w:sz w:val="18"/>
          <w:szCs w:val="18"/>
          <w:b w:val="1"/>
          <w:bCs w:val="1"/>
          <w:color w:val="0067B3"/>
        </w:rPr>
        <w:t xml:space="preserve"> </w:t>
      </w:r>
      <w:r>
        <w:rPr>
          <w:rFonts w:ascii="Arial" w:cs="Arial" w:eastAsia="Arial" w:hAnsi="Arial"/>
          <w:sz w:val="18"/>
          <w:szCs w:val="18"/>
          <w:color w:val="000000"/>
        </w:rPr>
        <w:t>eligible for a tax deduction when a participant has compensation income Our ability to realize the benefit of any tax deductions described below depends on our generation of taxable income as well as the requirement of reasonableness, the limitations of Section 162(m) of the Code and the satisfaction of our tax reporting obligations. Section 162(m) may limit the deductibility of compensation paid to our chief executive officer and to each of our other “covered employees” under Section 162(m). Under Section 162(m), the annual compensation paid to any of these specified executives will be deductible by us only to the extent that it does not exceed $1,000,000 or an exemption from such deduction limitation is applicable and available. The exemption from Section 162(m)’s deduction limit for performance-based compensation was repealed, generally effective for taxable years beginning after December 31, 2017, such that any awards granted under the Amended 2020 Plan are not eligible to qualify for any exemption from such deduction limitation. We reserve the right to grant awards under the 2020 Plan that results in compensation to our covered employees in excess of the $1,000,000 Section 162(m) deduction limitation.</w:t>
      </w:r>
    </w:p>
    <w:p>
      <w:pPr>
        <w:spacing w:after="0" w:line="200" w:lineRule="exact"/>
        <w:rPr>
          <w:sz w:val="20"/>
          <w:szCs w:val="20"/>
          <w:color w:val="auto"/>
        </w:rPr>
      </w:pPr>
    </w:p>
    <w:p>
      <w:pPr>
        <w:spacing w:after="0" w:line="299" w:lineRule="exact"/>
        <w:rPr>
          <w:sz w:val="20"/>
          <w:szCs w:val="20"/>
          <w:color w:val="auto"/>
        </w:rPr>
      </w:pPr>
    </w:p>
    <w:p>
      <w:pPr>
        <w:ind w:left="640" w:hanging="614"/>
        <w:spacing w:after="0"/>
        <w:tabs>
          <w:tab w:leader="none" w:pos="640" w:val="left"/>
        </w:tabs>
        <w:numPr>
          <w:ilvl w:val="0"/>
          <w:numId w:val="155"/>
        </w:numPr>
        <w:rPr>
          <w:rFonts w:ascii="Arial" w:cs="Arial" w:eastAsia="Arial" w:hAnsi="Arial"/>
          <w:sz w:val="20"/>
          <w:szCs w:val="20"/>
          <w:b w:val="1"/>
          <w:bCs w:val="1"/>
          <w:color w:val="auto"/>
        </w:rPr>
      </w:pPr>
      <w:r>
        <w:rPr>
          <w:rFonts w:ascii="Arial" w:cs="Arial" w:eastAsia="Arial" w:hAnsi="Arial"/>
          <w:sz w:val="16"/>
          <w:szCs w:val="16"/>
          <w:color w:val="6D6E71"/>
        </w:rPr>
        <w:t>Proposal 4: Approval of the Amended and Restated Analog Devices, Inc. 2020 Equity Incentive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194310</wp:posOffset>
            </wp:positionV>
            <wp:extent cx="7157720" cy="42545"/>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4" w:right="339" w:bottom="1440" w:gutter="0" w:footer="0" w:header="0"/>
        </w:sectPr>
      </w:pPr>
    </w:p>
    <w:bookmarkStart w:id="96" w:name="page97"/>
    <w:bookmarkEnd w:id="96"/>
    <w:p>
      <w:pPr>
        <w:spacing w:after="0"/>
        <w:rPr>
          <w:sz w:val="20"/>
          <w:szCs w:val="20"/>
          <w:color w:val="auto"/>
        </w:rPr>
      </w:pPr>
      <w:r>
        <w:rPr>
          <w:rFonts w:ascii="Arial" w:cs="Arial" w:eastAsia="Arial" w:hAnsi="Arial"/>
          <w:sz w:val="32"/>
          <w:szCs w:val="32"/>
          <w:b w:val="1"/>
          <w:bCs w:val="1"/>
          <w:color w:val="auto"/>
        </w:rPr>
        <w:t>2020 Plan Benefits</w:t>
      </w:r>
    </w:p>
    <w:p>
      <w:pPr>
        <w:spacing w:after="0" w:line="156" w:lineRule="exact"/>
        <w:rPr>
          <w:sz w:val="20"/>
          <w:szCs w:val="20"/>
          <w:color w:val="auto"/>
        </w:rPr>
      </w:pPr>
    </w:p>
    <w:p>
      <w:pPr>
        <w:ind w:right="400"/>
        <w:spacing w:after="0" w:line="287" w:lineRule="auto"/>
        <w:rPr>
          <w:sz w:val="20"/>
          <w:szCs w:val="20"/>
          <w:color w:val="auto"/>
        </w:rPr>
      </w:pPr>
      <w:r>
        <w:rPr>
          <w:rFonts w:ascii="Arial" w:cs="Arial" w:eastAsia="Arial" w:hAnsi="Arial"/>
          <w:sz w:val="18"/>
          <w:szCs w:val="18"/>
          <w:color w:val="auto"/>
        </w:rPr>
        <w:t>The following table shows all awards granted to the applicable individuals and groups under the 2020 Plan since the 2020 Plan's original effectiveness through November 1, 2025, even if not currently outstanding.</w:t>
      </w:r>
    </w:p>
    <w:p>
      <w:pPr>
        <w:spacing w:after="0" w:line="91"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6260" w:type="dxa"/>
            <w:vAlign w:val="bottom"/>
            <w:shd w:val="clear" w:color="auto" w:fill="0067B3"/>
          </w:tcPr>
          <w:p>
            <w:pPr>
              <w:spacing w:after="0"/>
              <w:rPr>
                <w:sz w:val="18"/>
                <w:szCs w:val="18"/>
                <w:color w:val="auto"/>
              </w:rPr>
            </w:pPr>
          </w:p>
        </w:tc>
        <w:tc>
          <w:tcPr>
            <w:tcW w:w="1880" w:type="dxa"/>
            <w:vAlign w:val="bottom"/>
            <w:shd w:val="clear" w:color="auto" w:fill="0067B3"/>
          </w:tcPr>
          <w:p>
            <w:pPr>
              <w:jc w:val="right"/>
              <w:ind w:right="52"/>
              <w:spacing w:after="0"/>
              <w:rPr>
                <w:sz w:val="20"/>
                <w:szCs w:val="20"/>
                <w:color w:val="auto"/>
              </w:rPr>
            </w:pPr>
            <w:r>
              <w:rPr>
                <w:rFonts w:ascii="Arial" w:cs="Arial" w:eastAsia="Arial" w:hAnsi="Arial"/>
                <w:sz w:val="16"/>
                <w:szCs w:val="16"/>
                <w:b w:val="1"/>
                <w:bCs w:val="1"/>
                <w:color w:val="FFFFFF"/>
              </w:rPr>
              <w:t>Number of Units/</w:t>
            </w:r>
          </w:p>
        </w:tc>
        <w:tc>
          <w:tcPr>
            <w:tcW w:w="1680" w:type="dxa"/>
            <w:vAlign w:val="bottom"/>
            <w:shd w:val="clear" w:color="auto" w:fill="0067B3"/>
          </w:tcPr>
          <w:p>
            <w:pPr>
              <w:jc w:val="right"/>
              <w:ind w:right="72"/>
              <w:spacing w:after="0"/>
              <w:rPr>
                <w:sz w:val="20"/>
                <w:szCs w:val="20"/>
                <w:color w:val="auto"/>
              </w:rPr>
            </w:pPr>
            <w:r>
              <w:rPr>
                <w:rFonts w:ascii="Arial" w:cs="Arial" w:eastAsia="Arial" w:hAnsi="Arial"/>
                <w:sz w:val="16"/>
                <w:szCs w:val="16"/>
                <w:b w:val="1"/>
                <w:bCs w:val="1"/>
                <w:color w:val="FFFFFF"/>
              </w:rPr>
              <w:t>Number of Units</w:t>
            </w:r>
          </w:p>
        </w:tc>
        <w:tc>
          <w:tcPr>
            <w:tcW w:w="1420" w:type="dxa"/>
            <w:vAlign w:val="bottom"/>
            <w:shd w:val="clear" w:color="auto" w:fill="0067B3"/>
          </w:tcPr>
          <w:p>
            <w:pPr>
              <w:jc w:val="right"/>
              <w:spacing w:after="0"/>
              <w:rPr>
                <w:sz w:val="20"/>
                <w:szCs w:val="20"/>
                <w:color w:val="auto"/>
              </w:rPr>
            </w:pPr>
            <w:r>
              <w:rPr>
                <w:rFonts w:ascii="Arial" w:cs="Arial" w:eastAsia="Arial" w:hAnsi="Arial"/>
                <w:sz w:val="16"/>
                <w:szCs w:val="16"/>
                <w:b w:val="1"/>
                <w:bCs w:val="1"/>
                <w:color w:val="FFFFFF"/>
              </w:rPr>
              <w:t>Number of Units</w:t>
            </w:r>
          </w:p>
        </w:tc>
      </w:tr>
      <w:tr>
        <w:trPr>
          <w:trHeight w:val="189"/>
        </w:trPr>
        <w:tc>
          <w:tcPr>
            <w:tcW w:w="6260" w:type="dxa"/>
            <w:vAlign w:val="bottom"/>
            <w:shd w:val="clear" w:color="auto" w:fill="0067B3"/>
          </w:tcPr>
          <w:p>
            <w:pPr>
              <w:spacing w:after="0"/>
              <w:rPr>
                <w:sz w:val="16"/>
                <w:szCs w:val="16"/>
                <w:color w:val="auto"/>
              </w:rPr>
            </w:pPr>
          </w:p>
        </w:tc>
        <w:tc>
          <w:tcPr>
            <w:tcW w:w="1880" w:type="dxa"/>
            <w:vAlign w:val="bottom"/>
            <w:shd w:val="clear" w:color="auto" w:fill="0067B3"/>
          </w:tcPr>
          <w:p>
            <w:pPr>
              <w:jc w:val="right"/>
              <w:ind w:right="52"/>
              <w:spacing w:after="0"/>
              <w:rPr>
                <w:sz w:val="20"/>
                <w:szCs w:val="20"/>
                <w:color w:val="auto"/>
              </w:rPr>
            </w:pPr>
            <w:r>
              <w:rPr>
                <w:rFonts w:ascii="Arial" w:cs="Arial" w:eastAsia="Arial" w:hAnsi="Arial"/>
                <w:sz w:val="16"/>
                <w:szCs w:val="16"/>
                <w:b w:val="1"/>
                <w:bCs w:val="1"/>
                <w:color w:val="FFFFFF"/>
              </w:rPr>
              <w:t>Awards/Shares</w:t>
            </w:r>
          </w:p>
        </w:tc>
        <w:tc>
          <w:tcPr>
            <w:tcW w:w="1680" w:type="dxa"/>
            <w:vAlign w:val="bottom"/>
            <w:shd w:val="clear" w:color="auto" w:fill="0067B3"/>
          </w:tcPr>
          <w:p>
            <w:pPr>
              <w:jc w:val="right"/>
              <w:ind w:right="72"/>
              <w:spacing w:after="0"/>
              <w:rPr>
                <w:sz w:val="20"/>
                <w:szCs w:val="20"/>
                <w:color w:val="auto"/>
              </w:rPr>
            </w:pPr>
            <w:r>
              <w:rPr>
                <w:rFonts w:ascii="Arial" w:cs="Arial" w:eastAsia="Arial" w:hAnsi="Arial"/>
                <w:sz w:val="16"/>
                <w:szCs w:val="16"/>
                <w:b w:val="1"/>
                <w:bCs w:val="1"/>
                <w:color w:val="FFFFFF"/>
              </w:rPr>
              <w:t>Awards/Shares</w:t>
            </w:r>
          </w:p>
        </w:tc>
        <w:tc>
          <w:tcPr>
            <w:tcW w:w="1420" w:type="dxa"/>
            <w:vAlign w:val="bottom"/>
            <w:shd w:val="clear" w:color="auto" w:fill="0067B3"/>
          </w:tcPr>
          <w:p>
            <w:pPr>
              <w:jc w:val="right"/>
              <w:spacing w:after="0"/>
              <w:rPr>
                <w:sz w:val="20"/>
                <w:szCs w:val="20"/>
                <w:color w:val="auto"/>
              </w:rPr>
            </w:pPr>
            <w:r>
              <w:rPr>
                <w:rFonts w:ascii="Arial" w:cs="Arial" w:eastAsia="Arial" w:hAnsi="Arial"/>
                <w:sz w:val="16"/>
                <w:szCs w:val="16"/>
                <w:b w:val="1"/>
                <w:bCs w:val="1"/>
                <w:color w:val="FFFFFF"/>
              </w:rPr>
              <w:t>Awards/Shares</w:t>
            </w:r>
          </w:p>
        </w:tc>
      </w:tr>
      <w:tr>
        <w:trPr>
          <w:trHeight w:val="192"/>
        </w:trPr>
        <w:tc>
          <w:tcPr>
            <w:tcW w:w="6260" w:type="dxa"/>
            <w:vAlign w:val="bottom"/>
            <w:shd w:val="clear" w:color="auto" w:fill="0067B3"/>
          </w:tcPr>
          <w:p>
            <w:pPr>
              <w:spacing w:after="0"/>
              <w:rPr>
                <w:sz w:val="16"/>
                <w:szCs w:val="16"/>
                <w:color w:val="auto"/>
              </w:rPr>
            </w:pPr>
          </w:p>
        </w:tc>
        <w:tc>
          <w:tcPr>
            <w:tcW w:w="1880" w:type="dxa"/>
            <w:vAlign w:val="bottom"/>
            <w:shd w:val="clear" w:color="auto" w:fill="0067B3"/>
          </w:tcPr>
          <w:p>
            <w:pPr>
              <w:jc w:val="right"/>
              <w:ind w:right="52"/>
              <w:spacing w:after="0"/>
              <w:rPr>
                <w:sz w:val="20"/>
                <w:szCs w:val="20"/>
                <w:color w:val="auto"/>
              </w:rPr>
            </w:pPr>
            <w:r>
              <w:rPr>
                <w:rFonts w:ascii="Arial" w:cs="Arial" w:eastAsia="Arial" w:hAnsi="Arial"/>
                <w:sz w:val="16"/>
                <w:szCs w:val="16"/>
                <w:b w:val="1"/>
                <w:bCs w:val="1"/>
                <w:color w:val="FFFFFF"/>
              </w:rPr>
              <w:t>Subject to Past</w:t>
            </w:r>
          </w:p>
        </w:tc>
        <w:tc>
          <w:tcPr>
            <w:tcW w:w="1680" w:type="dxa"/>
            <w:vAlign w:val="bottom"/>
            <w:shd w:val="clear" w:color="auto" w:fill="0067B3"/>
          </w:tcPr>
          <w:p>
            <w:pPr>
              <w:jc w:val="right"/>
              <w:ind w:right="72"/>
              <w:spacing w:after="0"/>
              <w:rPr>
                <w:sz w:val="20"/>
                <w:szCs w:val="20"/>
                <w:color w:val="auto"/>
              </w:rPr>
            </w:pPr>
            <w:r>
              <w:rPr>
                <w:rFonts w:ascii="Arial" w:cs="Arial" w:eastAsia="Arial" w:hAnsi="Arial"/>
                <w:sz w:val="16"/>
                <w:szCs w:val="16"/>
                <w:b w:val="1"/>
                <w:bCs w:val="1"/>
                <w:color w:val="FFFFFF"/>
              </w:rPr>
              <w:t>Vested as of</w:t>
            </w:r>
          </w:p>
        </w:tc>
        <w:tc>
          <w:tcPr>
            <w:tcW w:w="1420" w:type="dxa"/>
            <w:vAlign w:val="bottom"/>
            <w:shd w:val="clear" w:color="auto" w:fill="0067B3"/>
          </w:tcPr>
          <w:p>
            <w:pPr>
              <w:jc w:val="right"/>
              <w:spacing w:after="0"/>
              <w:rPr>
                <w:sz w:val="20"/>
                <w:szCs w:val="20"/>
                <w:color w:val="auto"/>
              </w:rPr>
            </w:pPr>
            <w:r>
              <w:rPr>
                <w:rFonts w:ascii="Arial" w:cs="Arial" w:eastAsia="Arial" w:hAnsi="Arial"/>
                <w:sz w:val="16"/>
                <w:szCs w:val="16"/>
                <w:b w:val="1"/>
                <w:bCs w:val="1"/>
                <w:color w:val="FFFFFF"/>
              </w:rPr>
              <w:t>Unvested as of</w:t>
            </w:r>
          </w:p>
        </w:tc>
      </w:tr>
      <w:tr>
        <w:trPr>
          <w:trHeight w:val="240"/>
        </w:trPr>
        <w:tc>
          <w:tcPr>
            <w:tcW w:w="6260" w:type="dxa"/>
            <w:vAlign w:val="bottom"/>
            <w:shd w:val="clear" w:color="auto" w:fill="0067B3"/>
          </w:tcPr>
          <w:p>
            <w:pPr>
              <w:ind w:left="20"/>
              <w:spacing w:after="0" w:line="240" w:lineRule="exact"/>
              <w:rPr>
                <w:sz w:val="20"/>
                <w:szCs w:val="20"/>
                <w:color w:val="auto"/>
              </w:rPr>
            </w:pPr>
            <w:r>
              <w:rPr>
                <w:rFonts w:ascii="Arial" w:cs="Arial" w:eastAsia="Arial" w:hAnsi="Arial"/>
                <w:sz w:val="16"/>
                <w:szCs w:val="16"/>
                <w:b w:val="1"/>
                <w:bCs w:val="1"/>
                <w:color w:val="FFFFFF"/>
              </w:rPr>
              <w:t>Name and Position</w:t>
            </w:r>
            <w:r>
              <w:rPr>
                <w:rFonts w:ascii="Arial" w:cs="Arial" w:eastAsia="Arial" w:hAnsi="Arial"/>
                <w:sz w:val="21"/>
                <w:szCs w:val="21"/>
                <w:b w:val="1"/>
                <w:bCs w:val="1"/>
                <w:color w:val="FFFFFF"/>
                <w:vertAlign w:val="superscript"/>
              </w:rPr>
              <w:t>(1)</w:t>
            </w:r>
          </w:p>
        </w:tc>
        <w:tc>
          <w:tcPr>
            <w:tcW w:w="1880" w:type="dxa"/>
            <w:vAlign w:val="bottom"/>
            <w:shd w:val="clear" w:color="auto" w:fill="0067B3"/>
          </w:tcPr>
          <w:p>
            <w:pPr>
              <w:jc w:val="right"/>
              <w:ind w:right="52"/>
              <w:spacing w:after="0" w:line="240" w:lineRule="exact"/>
              <w:rPr>
                <w:sz w:val="20"/>
                <w:szCs w:val="20"/>
                <w:color w:val="auto"/>
              </w:rPr>
            </w:pPr>
            <w:r>
              <w:rPr>
                <w:rFonts w:ascii="Arial" w:cs="Arial" w:eastAsia="Arial" w:hAnsi="Arial"/>
                <w:sz w:val="16"/>
                <w:szCs w:val="16"/>
                <w:b w:val="1"/>
                <w:bCs w:val="1"/>
                <w:color w:val="FFFFFF"/>
              </w:rPr>
              <w:t>Awards</w:t>
            </w:r>
            <w:r>
              <w:rPr>
                <w:rFonts w:ascii="Arial" w:cs="Arial" w:eastAsia="Arial" w:hAnsi="Arial"/>
                <w:sz w:val="21"/>
                <w:szCs w:val="21"/>
                <w:b w:val="1"/>
                <w:bCs w:val="1"/>
                <w:color w:val="FFFFFF"/>
                <w:vertAlign w:val="superscript"/>
              </w:rPr>
              <w:t>(2)</w:t>
            </w:r>
          </w:p>
        </w:tc>
        <w:tc>
          <w:tcPr>
            <w:tcW w:w="3100" w:type="dxa"/>
            <w:vAlign w:val="bottom"/>
            <w:gridSpan w:val="2"/>
            <w:shd w:val="clear" w:color="auto" w:fill="0067B3"/>
          </w:tcPr>
          <w:p>
            <w:pPr>
              <w:jc w:val="right"/>
              <w:spacing w:after="0" w:line="240" w:lineRule="exact"/>
              <w:rPr>
                <w:sz w:val="20"/>
                <w:szCs w:val="20"/>
                <w:color w:val="auto"/>
              </w:rPr>
            </w:pPr>
            <w:r>
              <w:rPr>
                <w:rFonts w:ascii="Arial" w:cs="Arial" w:eastAsia="Arial" w:hAnsi="Arial"/>
                <w:sz w:val="16"/>
                <w:szCs w:val="16"/>
                <w:b w:val="1"/>
                <w:bCs w:val="1"/>
                <w:color w:val="FFFFFF"/>
              </w:rPr>
              <w:t>November 1, 2025 November 1, 2025</w:t>
            </w:r>
            <w:r>
              <w:rPr>
                <w:rFonts w:ascii="Arial" w:cs="Arial" w:eastAsia="Arial" w:hAnsi="Arial"/>
                <w:sz w:val="21"/>
                <w:szCs w:val="21"/>
                <w:b w:val="1"/>
                <w:bCs w:val="1"/>
                <w:color w:val="FFFFFF"/>
                <w:vertAlign w:val="superscript"/>
              </w:rPr>
              <w:t>(3)</w:t>
            </w:r>
          </w:p>
        </w:tc>
      </w:tr>
      <w:tr>
        <w:trPr>
          <w:trHeight w:val="255"/>
        </w:trPr>
        <w:tc>
          <w:tcPr>
            <w:tcW w:w="6260" w:type="dxa"/>
            <w:vAlign w:val="bottom"/>
            <w:shd w:val="clear" w:color="auto" w:fill="E2E6F4"/>
          </w:tcPr>
          <w:p>
            <w:pPr>
              <w:ind w:left="20"/>
              <w:spacing w:after="0"/>
              <w:rPr>
                <w:sz w:val="20"/>
                <w:szCs w:val="20"/>
                <w:color w:val="auto"/>
              </w:rPr>
            </w:pPr>
            <w:r>
              <w:rPr>
                <w:rFonts w:ascii="Arial" w:cs="Arial" w:eastAsia="Arial" w:hAnsi="Arial"/>
                <w:sz w:val="18"/>
                <w:szCs w:val="18"/>
                <w:b w:val="1"/>
                <w:bCs w:val="1"/>
                <w:color w:val="0067B3"/>
              </w:rPr>
              <w:t>Vincent Roche</w:t>
            </w:r>
          </w:p>
        </w:tc>
        <w:tc>
          <w:tcPr>
            <w:tcW w:w="1880" w:type="dxa"/>
            <w:vAlign w:val="bottom"/>
            <w:shd w:val="clear" w:color="auto" w:fill="E2E6F4"/>
          </w:tcPr>
          <w:p>
            <w:pPr>
              <w:spacing w:after="0"/>
              <w:rPr>
                <w:sz w:val="22"/>
                <w:szCs w:val="22"/>
                <w:color w:val="auto"/>
              </w:rPr>
            </w:pPr>
          </w:p>
        </w:tc>
        <w:tc>
          <w:tcPr>
            <w:tcW w:w="1680" w:type="dxa"/>
            <w:vAlign w:val="bottom"/>
            <w:shd w:val="clear" w:color="auto" w:fill="E2E6F4"/>
          </w:tcPr>
          <w:p>
            <w:pPr>
              <w:spacing w:after="0"/>
              <w:rPr>
                <w:sz w:val="22"/>
                <w:szCs w:val="22"/>
                <w:color w:val="auto"/>
              </w:rPr>
            </w:pPr>
          </w:p>
        </w:tc>
        <w:tc>
          <w:tcPr>
            <w:tcW w:w="1420" w:type="dxa"/>
            <w:vAlign w:val="bottom"/>
            <w:shd w:val="clear" w:color="auto" w:fill="E2E6F4"/>
          </w:tcPr>
          <w:p>
            <w:pPr>
              <w:spacing w:after="0"/>
              <w:rPr>
                <w:sz w:val="22"/>
                <w:szCs w:val="22"/>
                <w:color w:val="auto"/>
              </w:rPr>
            </w:pPr>
          </w:p>
        </w:tc>
      </w:tr>
      <w:tr>
        <w:trPr>
          <w:trHeight w:val="265"/>
        </w:trPr>
        <w:tc>
          <w:tcPr>
            <w:tcW w:w="6260" w:type="dxa"/>
            <w:vAlign w:val="bottom"/>
            <w:tcBorders>
              <w:bottom w:val="single" w:sz="8" w:color="E2E6F4"/>
            </w:tcBorders>
            <w:shd w:val="clear" w:color="auto" w:fill="E2E6F4"/>
          </w:tcPr>
          <w:p>
            <w:pPr>
              <w:ind w:left="20"/>
              <w:spacing w:after="0"/>
              <w:rPr>
                <w:sz w:val="20"/>
                <w:szCs w:val="20"/>
                <w:color w:val="auto"/>
              </w:rPr>
            </w:pPr>
            <w:r>
              <w:rPr>
                <w:rFonts w:ascii="Arial" w:cs="Arial" w:eastAsia="Arial" w:hAnsi="Arial"/>
                <w:sz w:val="18"/>
                <w:szCs w:val="18"/>
                <w:color w:val="auto"/>
              </w:rPr>
              <w:t>Chief Executive Officer and Chair of the Board of Directors</w:t>
            </w:r>
          </w:p>
        </w:tc>
        <w:tc>
          <w:tcPr>
            <w:tcW w:w="1880" w:type="dxa"/>
            <w:vAlign w:val="bottom"/>
            <w:tcBorders>
              <w:bottom w:val="single" w:sz="8" w:color="E2E6F4"/>
            </w:tcBorders>
            <w:shd w:val="clear" w:color="auto" w:fill="E2E6F4"/>
          </w:tcPr>
          <w:p>
            <w:pPr>
              <w:jc w:val="right"/>
              <w:ind w:right="52"/>
              <w:spacing w:after="0"/>
              <w:rPr>
                <w:sz w:val="20"/>
                <w:szCs w:val="20"/>
                <w:color w:val="auto"/>
              </w:rPr>
            </w:pPr>
            <w:r>
              <w:rPr>
                <w:rFonts w:ascii="Arial" w:cs="Arial" w:eastAsia="Arial" w:hAnsi="Arial"/>
                <w:sz w:val="18"/>
                <w:szCs w:val="18"/>
                <w:color w:val="auto"/>
              </w:rPr>
              <w:t>1,216,018</w:t>
            </w:r>
          </w:p>
        </w:tc>
        <w:tc>
          <w:tcPr>
            <w:tcW w:w="1680" w:type="dxa"/>
            <w:vAlign w:val="bottom"/>
            <w:tcBorders>
              <w:bottom w:val="single" w:sz="8" w:color="E2E6F4"/>
            </w:tcBorders>
            <w:shd w:val="clear" w:color="auto" w:fill="E2E6F4"/>
          </w:tcPr>
          <w:p>
            <w:pPr>
              <w:jc w:val="right"/>
              <w:ind w:right="72"/>
              <w:spacing w:after="0"/>
              <w:rPr>
                <w:sz w:val="20"/>
                <w:szCs w:val="20"/>
                <w:color w:val="auto"/>
              </w:rPr>
            </w:pPr>
            <w:r>
              <w:rPr>
                <w:rFonts w:ascii="Arial" w:cs="Arial" w:eastAsia="Arial" w:hAnsi="Arial"/>
                <w:sz w:val="18"/>
                <w:szCs w:val="18"/>
                <w:color w:val="auto"/>
              </w:rPr>
              <w:t>934,898</w:t>
            </w:r>
          </w:p>
        </w:tc>
        <w:tc>
          <w:tcPr>
            <w:tcW w:w="1420" w:type="dxa"/>
            <w:vAlign w:val="bottom"/>
            <w:tcBorders>
              <w:bottom w:val="single" w:sz="8" w:color="E2E6F4"/>
            </w:tcBorders>
            <w:shd w:val="clear" w:color="auto" w:fill="E2E6F4"/>
          </w:tcPr>
          <w:p>
            <w:pPr>
              <w:jc w:val="right"/>
              <w:spacing w:after="0"/>
              <w:rPr>
                <w:sz w:val="20"/>
                <w:szCs w:val="20"/>
                <w:color w:val="auto"/>
              </w:rPr>
            </w:pPr>
            <w:r>
              <w:rPr>
                <w:rFonts w:ascii="Arial" w:cs="Arial" w:eastAsia="Arial" w:hAnsi="Arial"/>
                <w:sz w:val="18"/>
                <w:szCs w:val="18"/>
                <w:color w:val="auto"/>
              </w:rPr>
              <w:t>532,859</w:t>
            </w:r>
          </w:p>
        </w:tc>
      </w:tr>
      <w:tr>
        <w:trPr>
          <w:trHeight w:val="255"/>
        </w:trPr>
        <w:tc>
          <w:tcPr>
            <w:tcW w:w="6260" w:type="dxa"/>
            <w:vAlign w:val="bottom"/>
          </w:tcPr>
          <w:p>
            <w:pPr>
              <w:ind w:left="20"/>
              <w:spacing w:after="0"/>
              <w:rPr>
                <w:sz w:val="20"/>
                <w:szCs w:val="20"/>
                <w:color w:val="auto"/>
              </w:rPr>
            </w:pPr>
            <w:r>
              <w:rPr>
                <w:rFonts w:ascii="Arial" w:cs="Arial" w:eastAsia="Arial" w:hAnsi="Arial"/>
                <w:sz w:val="18"/>
                <w:szCs w:val="18"/>
                <w:b w:val="1"/>
                <w:bCs w:val="1"/>
                <w:color w:val="0067B3"/>
              </w:rPr>
              <w:t>Richard C. Puccio, Jr.</w:t>
            </w:r>
          </w:p>
        </w:tc>
        <w:tc>
          <w:tcPr>
            <w:tcW w:w="1880" w:type="dxa"/>
            <w:vAlign w:val="bottom"/>
          </w:tcPr>
          <w:p>
            <w:pPr>
              <w:spacing w:after="0"/>
              <w:rPr>
                <w:sz w:val="22"/>
                <w:szCs w:val="22"/>
                <w:color w:val="auto"/>
              </w:rPr>
            </w:pPr>
          </w:p>
        </w:tc>
        <w:tc>
          <w:tcPr>
            <w:tcW w:w="1680" w:type="dxa"/>
            <w:vAlign w:val="bottom"/>
          </w:tcPr>
          <w:p>
            <w:pPr>
              <w:spacing w:after="0"/>
              <w:rPr>
                <w:sz w:val="22"/>
                <w:szCs w:val="22"/>
                <w:color w:val="auto"/>
              </w:rPr>
            </w:pPr>
          </w:p>
        </w:tc>
        <w:tc>
          <w:tcPr>
            <w:tcW w:w="1420" w:type="dxa"/>
            <w:vAlign w:val="bottom"/>
          </w:tcPr>
          <w:p>
            <w:pPr>
              <w:spacing w:after="0"/>
              <w:rPr>
                <w:sz w:val="22"/>
                <w:szCs w:val="22"/>
                <w:color w:val="auto"/>
              </w:rPr>
            </w:pPr>
          </w:p>
        </w:tc>
      </w:tr>
      <w:tr>
        <w:trPr>
          <w:trHeight w:val="262"/>
        </w:trPr>
        <w:tc>
          <w:tcPr>
            <w:tcW w:w="6260" w:type="dxa"/>
            <w:vAlign w:val="bottom"/>
          </w:tcPr>
          <w:p>
            <w:pPr>
              <w:ind w:left="20"/>
              <w:spacing w:after="0"/>
              <w:rPr>
                <w:sz w:val="20"/>
                <w:szCs w:val="20"/>
                <w:color w:val="auto"/>
              </w:rPr>
            </w:pPr>
            <w:r>
              <w:rPr>
                <w:rFonts w:ascii="Arial" w:cs="Arial" w:eastAsia="Arial" w:hAnsi="Arial"/>
                <w:sz w:val="18"/>
                <w:szCs w:val="18"/>
                <w:color w:val="auto"/>
              </w:rPr>
              <w:t>Executive Vice President and Chief Financial Officer</w:t>
            </w:r>
          </w:p>
        </w:tc>
        <w:tc>
          <w:tcPr>
            <w:tcW w:w="1880" w:type="dxa"/>
            <w:vAlign w:val="bottom"/>
          </w:tcPr>
          <w:p>
            <w:pPr>
              <w:jc w:val="right"/>
              <w:ind w:right="52"/>
              <w:spacing w:after="0"/>
              <w:rPr>
                <w:sz w:val="20"/>
                <w:szCs w:val="20"/>
                <w:color w:val="auto"/>
              </w:rPr>
            </w:pPr>
            <w:r>
              <w:rPr>
                <w:rFonts w:ascii="Arial" w:cs="Arial" w:eastAsia="Arial" w:hAnsi="Arial"/>
                <w:sz w:val="18"/>
                <w:szCs w:val="18"/>
                <w:color w:val="auto"/>
              </w:rPr>
              <w:t>112,610</w:t>
            </w:r>
          </w:p>
        </w:tc>
        <w:tc>
          <w:tcPr>
            <w:tcW w:w="1680" w:type="dxa"/>
            <w:vAlign w:val="bottom"/>
          </w:tcPr>
          <w:p>
            <w:pPr>
              <w:jc w:val="right"/>
              <w:ind w:right="72"/>
              <w:spacing w:after="0"/>
              <w:rPr>
                <w:sz w:val="20"/>
                <w:szCs w:val="20"/>
                <w:color w:val="auto"/>
              </w:rPr>
            </w:pPr>
            <w:r>
              <w:rPr>
                <w:rFonts w:ascii="Arial" w:cs="Arial" w:eastAsia="Arial" w:hAnsi="Arial"/>
                <w:sz w:val="18"/>
                <w:szCs w:val="18"/>
                <w:color w:val="auto"/>
              </w:rPr>
              <w:t>19,998</w:t>
            </w:r>
          </w:p>
        </w:tc>
        <w:tc>
          <w:tcPr>
            <w:tcW w:w="1420" w:type="dxa"/>
            <w:vAlign w:val="bottom"/>
          </w:tcPr>
          <w:p>
            <w:pPr>
              <w:jc w:val="right"/>
              <w:spacing w:after="0"/>
              <w:rPr>
                <w:sz w:val="20"/>
                <w:szCs w:val="20"/>
                <w:color w:val="auto"/>
              </w:rPr>
            </w:pPr>
            <w:r>
              <w:rPr>
                <w:rFonts w:ascii="Arial" w:cs="Arial" w:eastAsia="Arial" w:hAnsi="Arial"/>
                <w:sz w:val="18"/>
                <w:szCs w:val="18"/>
                <w:color w:val="auto"/>
              </w:rPr>
              <w:t>130,320</w:t>
            </w:r>
          </w:p>
        </w:tc>
      </w:tr>
      <w:tr>
        <w:trPr>
          <w:trHeight w:val="23"/>
        </w:trPr>
        <w:tc>
          <w:tcPr>
            <w:tcW w:w="6260" w:type="dxa"/>
            <w:vAlign w:val="bottom"/>
          </w:tcPr>
          <w:p>
            <w:pPr>
              <w:spacing w:after="0"/>
              <w:rPr>
                <w:sz w:val="2"/>
                <w:szCs w:val="2"/>
                <w:color w:val="auto"/>
              </w:rPr>
            </w:pPr>
          </w:p>
        </w:tc>
        <w:tc>
          <w:tcPr>
            <w:tcW w:w="188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5"/>
        </w:trPr>
        <w:tc>
          <w:tcPr>
            <w:tcW w:w="6260" w:type="dxa"/>
            <w:vAlign w:val="bottom"/>
            <w:shd w:val="clear" w:color="auto" w:fill="E2E6F4"/>
          </w:tcPr>
          <w:p>
            <w:pPr>
              <w:ind w:left="20"/>
              <w:spacing w:after="0"/>
              <w:rPr>
                <w:sz w:val="20"/>
                <w:szCs w:val="20"/>
                <w:color w:val="auto"/>
              </w:rPr>
            </w:pPr>
            <w:r>
              <w:rPr>
                <w:rFonts w:ascii="Arial" w:cs="Arial" w:eastAsia="Arial" w:hAnsi="Arial"/>
                <w:sz w:val="18"/>
                <w:szCs w:val="18"/>
                <w:b w:val="1"/>
                <w:bCs w:val="1"/>
                <w:color w:val="0067B3"/>
              </w:rPr>
              <w:t>Martin Cotter</w:t>
            </w:r>
          </w:p>
        </w:tc>
        <w:tc>
          <w:tcPr>
            <w:tcW w:w="1880" w:type="dxa"/>
            <w:vAlign w:val="bottom"/>
            <w:shd w:val="clear" w:color="auto" w:fill="E2E6F4"/>
          </w:tcPr>
          <w:p>
            <w:pPr>
              <w:spacing w:after="0"/>
              <w:rPr>
                <w:sz w:val="22"/>
                <w:szCs w:val="22"/>
                <w:color w:val="auto"/>
              </w:rPr>
            </w:pPr>
          </w:p>
        </w:tc>
        <w:tc>
          <w:tcPr>
            <w:tcW w:w="1680" w:type="dxa"/>
            <w:vAlign w:val="bottom"/>
            <w:shd w:val="clear" w:color="auto" w:fill="E2E6F4"/>
          </w:tcPr>
          <w:p>
            <w:pPr>
              <w:spacing w:after="0"/>
              <w:rPr>
                <w:sz w:val="22"/>
                <w:szCs w:val="22"/>
                <w:color w:val="auto"/>
              </w:rPr>
            </w:pPr>
          </w:p>
        </w:tc>
        <w:tc>
          <w:tcPr>
            <w:tcW w:w="1420" w:type="dxa"/>
            <w:vAlign w:val="bottom"/>
            <w:shd w:val="clear" w:color="auto" w:fill="E2E6F4"/>
          </w:tcPr>
          <w:p>
            <w:pPr>
              <w:spacing w:after="0"/>
              <w:rPr>
                <w:sz w:val="22"/>
                <w:szCs w:val="22"/>
                <w:color w:val="auto"/>
              </w:rPr>
            </w:pPr>
          </w:p>
        </w:tc>
      </w:tr>
      <w:tr>
        <w:trPr>
          <w:trHeight w:val="265"/>
        </w:trPr>
        <w:tc>
          <w:tcPr>
            <w:tcW w:w="6260" w:type="dxa"/>
            <w:vAlign w:val="bottom"/>
            <w:tcBorders>
              <w:bottom w:val="single" w:sz="8" w:color="E2E6F4"/>
            </w:tcBorders>
            <w:shd w:val="clear" w:color="auto" w:fill="E2E6F4"/>
          </w:tcPr>
          <w:p>
            <w:pPr>
              <w:ind w:left="20"/>
              <w:spacing w:after="0"/>
              <w:rPr>
                <w:sz w:val="20"/>
                <w:szCs w:val="20"/>
                <w:color w:val="auto"/>
              </w:rPr>
            </w:pPr>
            <w:r>
              <w:rPr>
                <w:rFonts w:ascii="Arial" w:cs="Arial" w:eastAsia="Arial" w:hAnsi="Arial"/>
                <w:sz w:val="18"/>
                <w:szCs w:val="18"/>
                <w:color w:val="auto"/>
              </w:rPr>
              <w:t>Senior Vice President, Vertical Business Units</w:t>
            </w:r>
          </w:p>
        </w:tc>
        <w:tc>
          <w:tcPr>
            <w:tcW w:w="1880" w:type="dxa"/>
            <w:vAlign w:val="bottom"/>
            <w:tcBorders>
              <w:bottom w:val="single" w:sz="8" w:color="E2E6F4"/>
            </w:tcBorders>
            <w:shd w:val="clear" w:color="auto" w:fill="E2E6F4"/>
          </w:tcPr>
          <w:p>
            <w:pPr>
              <w:jc w:val="right"/>
              <w:ind w:right="52"/>
              <w:spacing w:after="0"/>
              <w:rPr>
                <w:sz w:val="20"/>
                <w:szCs w:val="20"/>
                <w:color w:val="auto"/>
              </w:rPr>
            </w:pPr>
            <w:r>
              <w:rPr>
                <w:rFonts w:ascii="Arial" w:cs="Arial" w:eastAsia="Arial" w:hAnsi="Arial"/>
                <w:sz w:val="18"/>
                <w:szCs w:val="18"/>
                <w:color w:val="auto"/>
              </w:rPr>
              <w:t>157,884</w:t>
            </w:r>
          </w:p>
        </w:tc>
        <w:tc>
          <w:tcPr>
            <w:tcW w:w="1680" w:type="dxa"/>
            <w:vAlign w:val="bottom"/>
            <w:tcBorders>
              <w:bottom w:val="single" w:sz="8" w:color="E2E6F4"/>
            </w:tcBorders>
            <w:shd w:val="clear" w:color="auto" w:fill="E2E6F4"/>
          </w:tcPr>
          <w:p>
            <w:pPr>
              <w:jc w:val="right"/>
              <w:ind w:right="72"/>
              <w:spacing w:after="0"/>
              <w:rPr>
                <w:sz w:val="20"/>
                <w:szCs w:val="20"/>
                <w:color w:val="auto"/>
              </w:rPr>
            </w:pPr>
            <w:r>
              <w:rPr>
                <w:rFonts w:ascii="Arial" w:cs="Arial" w:eastAsia="Arial" w:hAnsi="Arial"/>
                <w:sz w:val="18"/>
                <w:szCs w:val="18"/>
                <w:color w:val="auto"/>
              </w:rPr>
              <w:t>129,786</w:t>
            </w:r>
          </w:p>
        </w:tc>
        <w:tc>
          <w:tcPr>
            <w:tcW w:w="1420" w:type="dxa"/>
            <w:vAlign w:val="bottom"/>
            <w:tcBorders>
              <w:bottom w:val="single" w:sz="8" w:color="E2E6F4"/>
            </w:tcBorders>
            <w:shd w:val="clear" w:color="auto" w:fill="E2E6F4"/>
          </w:tcPr>
          <w:p>
            <w:pPr>
              <w:jc w:val="right"/>
              <w:spacing w:after="0"/>
              <w:rPr>
                <w:sz w:val="20"/>
                <w:szCs w:val="20"/>
                <w:color w:val="auto"/>
              </w:rPr>
            </w:pPr>
            <w:r>
              <w:rPr>
                <w:rFonts w:ascii="Arial" w:cs="Arial" w:eastAsia="Arial" w:hAnsi="Arial"/>
                <w:sz w:val="18"/>
                <w:szCs w:val="18"/>
                <w:color w:val="auto"/>
              </w:rPr>
              <w:t>87,268</w:t>
            </w:r>
          </w:p>
        </w:tc>
      </w:tr>
      <w:tr>
        <w:trPr>
          <w:trHeight w:val="255"/>
        </w:trPr>
        <w:tc>
          <w:tcPr>
            <w:tcW w:w="6260" w:type="dxa"/>
            <w:vAlign w:val="bottom"/>
          </w:tcPr>
          <w:p>
            <w:pPr>
              <w:ind w:left="20"/>
              <w:spacing w:after="0"/>
              <w:rPr>
                <w:sz w:val="20"/>
                <w:szCs w:val="20"/>
                <w:color w:val="auto"/>
              </w:rPr>
            </w:pPr>
            <w:r>
              <w:rPr>
                <w:rFonts w:ascii="Arial" w:cs="Arial" w:eastAsia="Arial" w:hAnsi="Arial"/>
                <w:sz w:val="18"/>
                <w:szCs w:val="18"/>
                <w:b w:val="1"/>
                <w:bCs w:val="1"/>
                <w:color w:val="0067B3"/>
              </w:rPr>
              <w:t>Vivek Jain</w:t>
            </w:r>
          </w:p>
        </w:tc>
        <w:tc>
          <w:tcPr>
            <w:tcW w:w="1880" w:type="dxa"/>
            <w:vAlign w:val="bottom"/>
          </w:tcPr>
          <w:p>
            <w:pPr>
              <w:spacing w:after="0"/>
              <w:rPr>
                <w:sz w:val="22"/>
                <w:szCs w:val="22"/>
                <w:color w:val="auto"/>
              </w:rPr>
            </w:pPr>
          </w:p>
        </w:tc>
        <w:tc>
          <w:tcPr>
            <w:tcW w:w="1680" w:type="dxa"/>
            <w:vAlign w:val="bottom"/>
          </w:tcPr>
          <w:p>
            <w:pPr>
              <w:spacing w:after="0"/>
              <w:rPr>
                <w:sz w:val="22"/>
                <w:szCs w:val="22"/>
                <w:color w:val="auto"/>
              </w:rPr>
            </w:pPr>
          </w:p>
        </w:tc>
        <w:tc>
          <w:tcPr>
            <w:tcW w:w="1420" w:type="dxa"/>
            <w:vAlign w:val="bottom"/>
          </w:tcPr>
          <w:p>
            <w:pPr>
              <w:spacing w:after="0"/>
              <w:rPr>
                <w:sz w:val="22"/>
                <w:szCs w:val="22"/>
                <w:color w:val="auto"/>
              </w:rPr>
            </w:pPr>
          </w:p>
        </w:tc>
      </w:tr>
      <w:tr>
        <w:trPr>
          <w:trHeight w:val="262"/>
        </w:trPr>
        <w:tc>
          <w:tcPr>
            <w:tcW w:w="6260" w:type="dxa"/>
            <w:vAlign w:val="bottom"/>
          </w:tcPr>
          <w:p>
            <w:pPr>
              <w:ind w:left="20"/>
              <w:spacing w:after="0"/>
              <w:rPr>
                <w:sz w:val="20"/>
                <w:szCs w:val="20"/>
                <w:color w:val="auto"/>
              </w:rPr>
            </w:pPr>
            <w:r>
              <w:rPr>
                <w:rFonts w:ascii="Arial" w:cs="Arial" w:eastAsia="Arial" w:hAnsi="Arial"/>
                <w:sz w:val="18"/>
                <w:szCs w:val="18"/>
                <w:color w:val="auto"/>
              </w:rPr>
              <w:t>Executive Vice President, Global Operations and Technology</w:t>
            </w:r>
          </w:p>
        </w:tc>
        <w:tc>
          <w:tcPr>
            <w:tcW w:w="1880" w:type="dxa"/>
            <w:vAlign w:val="bottom"/>
          </w:tcPr>
          <w:p>
            <w:pPr>
              <w:jc w:val="right"/>
              <w:ind w:right="52"/>
              <w:spacing w:after="0"/>
              <w:rPr>
                <w:sz w:val="20"/>
                <w:szCs w:val="20"/>
                <w:color w:val="auto"/>
              </w:rPr>
            </w:pPr>
            <w:r>
              <w:rPr>
                <w:rFonts w:ascii="Arial" w:cs="Arial" w:eastAsia="Arial" w:hAnsi="Arial"/>
                <w:sz w:val="18"/>
                <w:szCs w:val="18"/>
                <w:color w:val="auto"/>
              </w:rPr>
              <w:t>125,307</w:t>
            </w:r>
          </w:p>
        </w:tc>
        <w:tc>
          <w:tcPr>
            <w:tcW w:w="1680" w:type="dxa"/>
            <w:vAlign w:val="bottom"/>
          </w:tcPr>
          <w:p>
            <w:pPr>
              <w:jc w:val="right"/>
              <w:ind w:right="72"/>
              <w:spacing w:after="0"/>
              <w:rPr>
                <w:sz w:val="20"/>
                <w:szCs w:val="20"/>
                <w:color w:val="auto"/>
              </w:rPr>
            </w:pPr>
            <w:r>
              <w:rPr>
                <w:rFonts w:ascii="Arial" w:cs="Arial" w:eastAsia="Arial" w:hAnsi="Arial"/>
                <w:sz w:val="18"/>
                <w:szCs w:val="18"/>
                <w:color w:val="auto"/>
              </w:rPr>
              <w:t>70,507</w:t>
            </w:r>
          </w:p>
        </w:tc>
        <w:tc>
          <w:tcPr>
            <w:tcW w:w="1420" w:type="dxa"/>
            <w:vAlign w:val="bottom"/>
          </w:tcPr>
          <w:p>
            <w:pPr>
              <w:jc w:val="right"/>
              <w:spacing w:after="0"/>
              <w:rPr>
                <w:sz w:val="20"/>
                <w:szCs w:val="20"/>
                <w:color w:val="auto"/>
              </w:rPr>
            </w:pPr>
            <w:r>
              <w:rPr>
                <w:rFonts w:ascii="Arial" w:cs="Arial" w:eastAsia="Arial" w:hAnsi="Arial"/>
                <w:sz w:val="18"/>
                <w:szCs w:val="18"/>
                <w:color w:val="auto"/>
              </w:rPr>
              <w:t>116,438</w:t>
            </w:r>
          </w:p>
        </w:tc>
      </w:tr>
      <w:tr>
        <w:trPr>
          <w:trHeight w:val="23"/>
        </w:trPr>
        <w:tc>
          <w:tcPr>
            <w:tcW w:w="6260" w:type="dxa"/>
            <w:vAlign w:val="bottom"/>
          </w:tcPr>
          <w:p>
            <w:pPr>
              <w:spacing w:after="0"/>
              <w:rPr>
                <w:sz w:val="2"/>
                <w:szCs w:val="2"/>
                <w:color w:val="auto"/>
              </w:rPr>
            </w:pPr>
          </w:p>
        </w:tc>
        <w:tc>
          <w:tcPr>
            <w:tcW w:w="188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5"/>
        </w:trPr>
        <w:tc>
          <w:tcPr>
            <w:tcW w:w="6260" w:type="dxa"/>
            <w:vAlign w:val="bottom"/>
            <w:shd w:val="clear" w:color="auto" w:fill="E2E6F4"/>
          </w:tcPr>
          <w:p>
            <w:pPr>
              <w:ind w:left="20"/>
              <w:spacing w:after="0"/>
              <w:rPr>
                <w:sz w:val="20"/>
                <w:szCs w:val="20"/>
                <w:color w:val="auto"/>
              </w:rPr>
            </w:pPr>
            <w:r>
              <w:rPr>
                <w:rFonts w:ascii="Arial" w:cs="Arial" w:eastAsia="Arial" w:hAnsi="Arial"/>
                <w:sz w:val="18"/>
                <w:szCs w:val="18"/>
                <w:b w:val="1"/>
                <w:bCs w:val="1"/>
                <w:color w:val="0067B3"/>
              </w:rPr>
              <w:t>Katsu Nakamura</w:t>
            </w:r>
          </w:p>
        </w:tc>
        <w:tc>
          <w:tcPr>
            <w:tcW w:w="1880" w:type="dxa"/>
            <w:vAlign w:val="bottom"/>
            <w:shd w:val="clear" w:color="auto" w:fill="E2E6F4"/>
          </w:tcPr>
          <w:p>
            <w:pPr>
              <w:spacing w:after="0"/>
              <w:rPr>
                <w:sz w:val="22"/>
                <w:szCs w:val="22"/>
                <w:color w:val="auto"/>
              </w:rPr>
            </w:pPr>
          </w:p>
        </w:tc>
        <w:tc>
          <w:tcPr>
            <w:tcW w:w="1680" w:type="dxa"/>
            <w:vAlign w:val="bottom"/>
            <w:shd w:val="clear" w:color="auto" w:fill="E2E6F4"/>
          </w:tcPr>
          <w:p>
            <w:pPr>
              <w:spacing w:after="0"/>
              <w:rPr>
                <w:sz w:val="22"/>
                <w:szCs w:val="22"/>
                <w:color w:val="auto"/>
              </w:rPr>
            </w:pPr>
          </w:p>
        </w:tc>
        <w:tc>
          <w:tcPr>
            <w:tcW w:w="1420" w:type="dxa"/>
            <w:vAlign w:val="bottom"/>
            <w:shd w:val="clear" w:color="auto" w:fill="E2E6F4"/>
          </w:tcPr>
          <w:p>
            <w:pPr>
              <w:spacing w:after="0"/>
              <w:rPr>
                <w:sz w:val="22"/>
                <w:szCs w:val="22"/>
                <w:color w:val="auto"/>
              </w:rPr>
            </w:pPr>
          </w:p>
        </w:tc>
      </w:tr>
      <w:tr>
        <w:trPr>
          <w:trHeight w:val="265"/>
        </w:trPr>
        <w:tc>
          <w:tcPr>
            <w:tcW w:w="6260" w:type="dxa"/>
            <w:vAlign w:val="bottom"/>
            <w:tcBorders>
              <w:bottom w:val="single" w:sz="8" w:color="E2E6F4"/>
            </w:tcBorders>
            <w:shd w:val="clear" w:color="auto" w:fill="E2E6F4"/>
          </w:tcPr>
          <w:p>
            <w:pPr>
              <w:ind w:left="20"/>
              <w:spacing w:after="0"/>
              <w:rPr>
                <w:sz w:val="20"/>
                <w:szCs w:val="20"/>
                <w:color w:val="auto"/>
              </w:rPr>
            </w:pPr>
            <w:r>
              <w:rPr>
                <w:rFonts w:ascii="Arial" w:cs="Arial" w:eastAsia="Arial" w:hAnsi="Arial"/>
                <w:sz w:val="18"/>
                <w:szCs w:val="18"/>
                <w:color w:val="auto"/>
              </w:rPr>
              <w:t>Senior Vice President and Chief Customer Officer</w:t>
            </w:r>
          </w:p>
        </w:tc>
        <w:tc>
          <w:tcPr>
            <w:tcW w:w="1880" w:type="dxa"/>
            <w:vAlign w:val="bottom"/>
            <w:tcBorders>
              <w:bottom w:val="single" w:sz="8" w:color="E2E6F4"/>
            </w:tcBorders>
            <w:shd w:val="clear" w:color="auto" w:fill="E2E6F4"/>
          </w:tcPr>
          <w:p>
            <w:pPr>
              <w:jc w:val="right"/>
              <w:ind w:right="52"/>
              <w:spacing w:after="0"/>
              <w:rPr>
                <w:sz w:val="20"/>
                <w:szCs w:val="20"/>
                <w:color w:val="auto"/>
              </w:rPr>
            </w:pPr>
            <w:r>
              <w:rPr>
                <w:rFonts w:ascii="Arial" w:cs="Arial" w:eastAsia="Arial" w:hAnsi="Arial"/>
                <w:sz w:val="18"/>
                <w:szCs w:val="18"/>
                <w:color w:val="auto"/>
              </w:rPr>
              <w:t>30,471</w:t>
            </w:r>
          </w:p>
        </w:tc>
        <w:tc>
          <w:tcPr>
            <w:tcW w:w="1680" w:type="dxa"/>
            <w:vAlign w:val="bottom"/>
            <w:tcBorders>
              <w:bottom w:val="single" w:sz="8" w:color="E2E6F4"/>
            </w:tcBorders>
            <w:shd w:val="clear" w:color="auto" w:fill="E2E6F4"/>
          </w:tcPr>
          <w:p>
            <w:pPr>
              <w:jc w:val="right"/>
              <w:ind w:right="72"/>
              <w:spacing w:after="0"/>
              <w:rPr>
                <w:sz w:val="20"/>
                <w:szCs w:val="20"/>
                <w:color w:val="auto"/>
              </w:rPr>
            </w:pPr>
            <w:r>
              <w:rPr>
                <w:rFonts w:ascii="Arial" w:cs="Arial" w:eastAsia="Arial" w:hAnsi="Arial"/>
                <w:sz w:val="18"/>
                <w:szCs w:val="18"/>
                <w:color w:val="auto"/>
              </w:rPr>
              <w:t>9,684</w:t>
            </w:r>
          </w:p>
        </w:tc>
        <w:tc>
          <w:tcPr>
            <w:tcW w:w="1420" w:type="dxa"/>
            <w:vAlign w:val="bottom"/>
            <w:tcBorders>
              <w:bottom w:val="single" w:sz="8" w:color="E2E6F4"/>
            </w:tcBorders>
            <w:shd w:val="clear" w:color="auto" w:fill="E2E6F4"/>
          </w:tcPr>
          <w:p>
            <w:pPr>
              <w:jc w:val="right"/>
              <w:spacing w:after="0"/>
              <w:rPr>
                <w:sz w:val="20"/>
                <w:szCs w:val="20"/>
                <w:color w:val="auto"/>
              </w:rPr>
            </w:pPr>
            <w:r>
              <w:rPr>
                <w:rFonts w:ascii="Arial" w:cs="Arial" w:eastAsia="Arial" w:hAnsi="Arial"/>
                <w:sz w:val="18"/>
                <w:szCs w:val="18"/>
                <w:color w:val="auto"/>
              </w:rPr>
              <w:t>34,865</w:t>
            </w:r>
          </w:p>
        </w:tc>
      </w:tr>
      <w:tr>
        <w:trPr>
          <w:trHeight w:val="247"/>
        </w:trPr>
        <w:tc>
          <w:tcPr>
            <w:tcW w:w="6260" w:type="dxa"/>
            <w:vAlign w:val="bottom"/>
          </w:tcPr>
          <w:p>
            <w:pPr>
              <w:ind w:left="20"/>
              <w:spacing w:after="0"/>
              <w:rPr>
                <w:sz w:val="20"/>
                <w:szCs w:val="20"/>
                <w:color w:val="auto"/>
              </w:rPr>
            </w:pPr>
            <w:r>
              <w:rPr>
                <w:rFonts w:ascii="Arial" w:cs="Arial" w:eastAsia="Arial" w:hAnsi="Arial"/>
                <w:sz w:val="18"/>
                <w:szCs w:val="18"/>
                <w:color w:val="auto"/>
              </w:rPr>
              <w:t>All executive officers as a group (5 persons)</w:t>
            </w:r>
          </w:p>
        </w:tc>
        <w:tc>
          <w:tcPr>
            <w:tcW w:w="1880" w:type="dxa"/>
            <w:vAlign w:val="bottom"/>
          </w:tcPr>
          <w:p>
            <w:pPr>
              <w:jc w:val="right"/>
              <w:ind w:right="52"/>
              <w:spacing w:after="0"/>
              <w:rPr>
                <w:sz w:val="20"/>
                <w:szCs w:val="20"/>
                <w:color w:val="auto"/>
              </w:rPr>
            </w:pPr>
            <w:r>
              <w:rPr>
                <w:rFonts w:ascii="Arial" w:cs="Arial" w:eastAsia="Arial" w:hAnsi="Arial"/>
                <w:sz w:val="18"/>
                <w:szCs w:val="18"/>
                <w:color w:val="auto"/>
              </w:rPr>
              <w:t>1,642,290</w:t>
            </w:r>
          </w:p>
        </w:tc>
        <w:tc>
          <w:tcPr>
            <w:tcW w:w="1680" w:type="dxa"/>
            <w:vAlign w:val="bottom"/>
          </w:tcPr>
          <w:p>
            <w:pPr>
              <w:jc w:val="right"/>
              <w:ind w:right="72"/>
              <w:spacing w:after="0"/>
              <w:rPr>
                <w:sz w:val="20"/>
                <w:szCs w:val="20"/>
                <w:color w:val="auto"/>
              </w:rPr>
            </w:pPr>
            <w:r>
              <w:rPr>
                <w:rFonts w:ascii="Arial" w:cs="Arial" w:eastAsia="Arial" w:hAnsi="Arial"/>
                <w:sz w:val="18"/>
                <w:szCs w:val="18"/>
                <w:color w:val="auto"/>
              </w:rPr>
              <w:t>1,164,873</w:t>
            </w:r>
          </w:p>
        </w:tc>
        <w:tc>
          <w:tcPr>
            <w:tcW w:w="1420" w:type="dxa"/>
            <w:vAlign w:val="bottom"/>
          </w:tcPr>
          <w:p>
            <w:pPr>
              <w:jc w:val="right"/>
              <w:spacing w:after="0"/>
              <w:rPr>
                <w:sz w:val="20"/>
                <w:szCs w:val="20"/>
                <w:color w:val="auto"/>
              </w:rPr>
            </w:pPr>
            <w:r>
              <w:rPr>
                <w:rFonts w:ascii="Arial" w:cs="Arial" w:eastAsia="Arial" w:hAnsi="Arial"/>
                <w:sz w:val="18"/>
                <w:szCs w:val="18"/>
                <w:color w:val="auto"/>
              </w:rPr>
              <w:t>901,750</w:t>
            </w:r>
          </w:p>
        </w:tc>
      </w:tr>
      <w:tr>
        <w:trPr>
          <w:trHeight w:val="23"/>
        </w:trPr>
        <w:tc>
          <w:tcPr>
            <w:tcW w:w="6260" w:type="dxa"/>
            <w:vAlign w:val="bottom"/>
          </w:tcPr>
          <w:p>
            <w:pPr>
              <w:spacing w:after="0"/>
              <w:rPr>
                <w:sz w:val="2"/>
                <w:szCs w:val="2"/>
                <w:color w:val="auto"/>
              </w:rPr>
            </w:pPr>
          </w:p>
        </w:tc>
        <w:tc>
          <w:tcPr>
            <w:tcW w:w="188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6260" w:type="dxa"/>
            <w:vAlign w:val="bottom"/>
            <w:tcBorders>
              <w:bottom w:val="single" w:sz="8" w:color="E2E6F4"/>
            </w:tcBorders>
            <w:shd w:val="clear" w:color="auto" w:fill="E2E6F4"/>
          </w:tcPr>
          <w:p>
            <w:pPr>
              <w:ind w:left="20"/>
              <w:spacing w:after="0"/>
              <w:rPr>
                <w:sz w:val="20"/>
                <w:szCs w:val="20"/>
                <w:color w:val="auto"/>
              </w:rPr>
            </w:pPr>
            <w:r>
              <w:rPr>
                <w:rFonts w:ascii="Arial" w:cs="Arial" w:eastAsia="Arial" w:hAnsi="Arial"/>
                <w:sz w:val="18"/>
                <w:szCs w:val="18"/>
                <w:color w:val="auto"/>
              </w:rPr>
              <w:t>All directors who are not executive officers as a group (10 persons)</w:t>
            </w:r>
          </w:p>
        </w:tc>
        <w:tc>
          <w:tcPr>
            <w:tcW w:w="1880" w:type="dxa"/>
            <w:vAlign w:val="bottom"/>
            <w:tcBorders>
              <w:bottom w:val="single" w:sz="8" w:color="E2E6F4"/>
            </w:tcBorders>
            <w:shd w:val="clear" w:color="auto" w:fill="E2E6F4"/>
          </w:tcPr>
          <w:p>
            <w:pPr>
              <w:jc w:val="right"/>
              <w:ind w:right="52"/>
              <w:spacing w:after="0"/>
              <w:rPr>
                <w:sz w:val="20"/>
                <w:szCs w:val="20"/>
                <w:color w:val="auto"/>
              </w:rPr>
            </w:pPr>
            <w:r>
              <w:rPr>
                <w:rFonts w:ascii="Arial" w:cs="Arial" w:eastAsia="Arial" w:hAnsi="Arial"/>
                <w:sz w:val="18"/>
                <w:szCs w:val="18"/>
                <w:color w:val="auto"/>
              </w:rPr>
              <w:t>52,590</w:t>
            </w:r>
          </w:p>
        </w:tc>
        <w:tc>
          <w:tcPr>
            <w:tcW w:w="1680" w:type="dxa"/>
            <w:vAlign w:val="bottom"/>
            <w:tcBorders>
              <w:bottom w:val="single" w:sz="8" w:color="E2E6F4"/>
            </w:tcBorders>
            <w:shd w:val="clear" w:color="auto" w:fill="E2E6F4"/>
          </w:tcPr>
          <w:p>
            <w:pPr>
              <w:jc w:val="right"/>
              <w:ind w:right="72"/>
              <w:spacing w:after="0"/>
              <w:rPr>
                <w:sz w:val="20"/>
                <w:szCs w:val="20"/>
                <w:color w:val="auto"/>
              </w:rPr>
            </w:pPr>
            <w:r>
              <w:rPr>
                <w:rFonts w:ascii="Arial" w:cs="Arial" w:eastAsia="Arial" w:hAnsi="Arial"/>
                <w:sz w:val="18"/>
                <w:szCs w:val="18"/>
                <w:color w:val="auto"/>
              </w:rPr>
              <w:t>42,150</w:t>
            </w:r>
          </w:p>
        </w:tc>
        <w:tc>
          <w:tcPr>
            <w:tcW w:w="1420" w:type="dxa"/>
            <w:vAlign w:val="bottom"/>
            <w:tcBorders>
              <w:bottom w:val="single" w:sz="8" w:color="E2E6F4"/>
            </w:tcBorders>
            <w:shd w:val="clear" w:color="auto" w:fill="E2E6F4"/>
          </w:tcPr>
          <w:p>
            <w:pPr>
              <w:jc w:val="right"/>
              <w:spacing w:after="0"/>
              <w:rPr>
                <w:sz w:val="20"/>
                <w:szCs w:val="20"/>
                <w:color w:val="auto"/>
              </w:rPr>
            </w:pPr>
            <w:r>
              <w:rPr>
                <w:rFonts w:ascii="Arial" w:cs="Arial" w:eastAsia="Arial" w:hAnsi="Arial"/>
                <w:sz w:val="18"/>
                <w:szCs w:val="18"/>
                <w:color w:val="auto"/>
              </w:rPr>
              <w:t>10,440</w:t>
            </w:r>
          </w:p>
        </w:tc>
      </w:tr>
      <w:tr>
        <w:trPr>
          <w:trHeight w:val="247"/>
        </w:trPr>
        <w:tc>
          <w:tcPr>
            <w:tcW w:w="6260" w:type="dxa"/>
            <w:vAlign w:val="bottom"/>
          </w:tcPr>
          <w:p>
            <w:pPr>
              <w:ind w:left="20"/>
              <w:spacing w:after="0"/>
              <w:rPr>
                <w:sz w:val="20"/>
                <w:szCs w:val="20"/>
                <w:color w:val="auto"/>
              </w:rPr>
            </w:pPr>
            <w:r>
              <w:rPr>
                <w:rFonts w:ascii="Arial" w:cs="Arial" w:eastAsia="Arial" w:hAnsi="Arial"/>
                <w:sz w:val="18"/>
                <w:szCs w:val="18"/>
                <w:color w:val="auto"/>
              </w:rPr>
              <w:t>Each nominee for election as a director:</w:t>
            </w:r>
          </w:p>
        </w:tc>
        <w:tc>
          <w:tcPr>
            <w:tcW w:w="1880" w:type="dxa"/>
            <w:vAlign w:val="bottom"/>
          </w:tcPr>
          <w:p>
            <w:pPr>
              <w:spacing w:after="0"/>
              <w:rPr>
                <w:sz w:val="21"/>
                <w:szCs w:val="21"/>
                <w:color w:val="auto"/>
              </w:rPr>
            </w:pPr>
          </w:p>
        </w:tc>
        <w:tc>
          <w:tcPr>
            <w:tcW w:w="1680" w:type="dxa"/>
            <w:vAlign w:val="bottom"/>
          </w:tcPr>
          <w:p>
            <w:pPr>
              <w:spacing w:after="0"/>
              <w:rPr>
                <w:sz w:val="21"/>
                <w:szCs w:val="21"/>
                <w:color w:val="auto"/>
              </w:rPr>
            </w:pPr>
          </w:p>
        </w:tc>
        <w:tc>
          <w:tcPr>
            <w:tcW w:w="1420" w:type="dxa"/>
            <w:vAlign w:val="bottom"/>
          </w:tcPr>
          <w:p>
            <w:pPr>
              <w:spacing w:after="0"/>
              <w:rPr>
                <w:sz w:val="21"/>
                <w:szCs w:val="21"/>
                <w:color w:val="auto"/>
              </w:rPr>
            </w:pPr>
          </w:p>
        </w:tc>
      </w:tr>
      <w:tr>
        <w:trPr>
          <w:trHeight w:val="23"/>
        </w:trPr>
        <w:tc>
          <w:tcPr>
            <w:tcW w:w="6260" w:type="dxa"/>
            <w:vAlign w:val="bottom"/>
          </w:tcPr>
          <w:p>
            <w:pPr>
              <w:spacing w:after="0"/>
              <w:rPr>
                <w:sz w:val="2"/>
                <w:szCs w:val="2"/>
                <w:color w:val="auto"/>
              </w:rPr>
            </w:pPr>
          </w:p>
        </w:tc>
        <w:tc>
          <w:tcPr>
            <w:tcW w:w="188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70"/>
        </w:trPr>
        <w:tc>
          <w:tcPr>
            <w:tcW w:w="6260" w:type="dxa"/>
            <w:vAlign w:val="bottom"/>
            <w:shd w:val="clear" w:color="auto" w:fill="E2E6F4"/>
          </w:tcPr>
          <w:p>
            <w:pPr>
              <w:ind w:left="20"/>
              <w:spacing w:after="0"/>
              <w:rPr>
                <w:sz w:val="20"/>
                <w:szCs w:val="20"/>
                <w:color w:val="auto"/>
              </w:rPr>
            </w:pPr>
            <w:r>
              <w:rPr>
                <w:rFonts w:ascii="Arial" w:cs="Arial" w:eastAsia="Arial" w:hAnsi="Arial"/>
                <w:sz w:val="18"/>
                <w:szCs w:val="18"/>
                <w:b w:val="1"/>
                <w:bCs w:val="1"/>
                <w:color w:val="0067B3"/>
              </w:rPr>
              <w:t>André Andonian</w:t>
            </w:r>
          </w:p>
        </w:tc>
        <w:tc>
          <w:tcPr>
            <w:tcW w:w="1880" w:type="dxa"/>
            <w:vAlign w:val="bottom"/>
            <w:shd w:val="clear" w:color="auto" w:fill="E2E6F4"/>
          </w:tcPr>
          <w:p>
            <w:pPr>
              <w:jc w:val="right"/>
              <w:ind w:right="52"/>
              <w:spacing w:after="0"/>
              <w:rPr>
                <w:sz w:val="20"/>
                <w:szCs w:val="20"/>
                <w:color w:val="auto"/>
              </w:rPr>
            </w:pPr>
            <w:r>
              <w:rPr>
                <w:rFonts w:ascii="Arial" w:cs="Arial" w:eastAsia="Arial" w:hAnsi="Arial"/>
                <w:sz w:val="18"/>
                <w:szCs w:val="18"/>
                <w:color w:val="auto"/>
              </w:rPr>
              <w:t>4,608</w:t>
            </w:r>
          </w:p>
        </w:tc>
        <w:tc>
          <w:tcPr>
            <w:tcW w:w="1680" w:type="dxa"/>
            <w:vAlign w:val="bottom"/>
            <w:shd w:val="clear" w:color="auto" w:fill="E2E6F4"/>
          </w:tcPr>
          <w:p>
            <w:pPr>
              <w:jc w:val="right"/>
              <w:ind w:right="72"/>
              <w:spacing w:after="0"/>
              <w:rPr>
                <w:sz w:val="20"/>
                <w:szCs w:val="20"/>
                <w:color w:val="auto"/>
              </w:rPr>
            </w:pPr>
            <w:r>
              <w:rPr>
                <w:rFonts w:ascii="Arial" w:cs="Arial" w:eastAsia="Arial" w:hAnsi="Arial"/>
                <w:sz w:val="18"/>
                <w:szCs w:val="18"/>
                <w:color w:val="auto"/>
              </w:rPr>
              <w:t>3,448</w:t>
            </w:r>
          </w:p>
        </w:tc>
        <w:tc>
          <w:tcPr>
            <w:tcW w:w="1420" w:type="dxa"/>
            <w:vAlign w:val="bottom"/>
            <w:shd w:val="clear" w:color="auto" w:fill="E2E6F4"/>
          </w:tcPr>
          <w:p>
            <w:pPr>
              <w:jc w:val="right"/>
              <w:spacing w:after="0"/>
              <w:rPr>
                <w:sz w:val="20"/>
                <w:szCs w:val="20"/>
                <w:color w:val="auto"/>
              </w:rPr>
            </w:pPr>
            <w:r>
              <w:rPr>
                <w:rFonts w:ascii="Arial" w:cs="Arial" w:eastAsia="Arial" w:hAnsi="Arial"/>
                <w:sz w:val="18"/>
                <w:szCs w:val="18"/>
                <w:color w:val="auto"/>
              </w:rPr>
              <w:t>1,160</w:t>
            </w:r>
          </w:p>
        </w:tc>
      </w:tr>
      <w:tr>
        <w:trPr>
          <w:trHeight w:val="263"/>
        </w:trPr>
        <w:tc>
          <w:tcPr>
            <w:tcW w:w="6260" w:type="dxa"/>
            <w:vAlign w:val="bottom"/>
          </w:tcPr>
          <w:p>
            <w:pPr>
              <w:ind w:left="20"/>
              <w:spacing w:after="0"/>
              <w:rPr>
                <w:sz w:val="20"/>
                <w:szCs w:val="20"/>
                <w:color w:val="auto"/>
              </w:rPr>
            </w:pPr>
            <w:r>
              <w:rPr>
                <w:rFonts w:ascii="Arial" w:cs="Arial" w:eastAsia="Arial" w:hAnsi="Arial"/>
                <w:sz w:val="18"/>
                <w:szCs w:val="18"/>
                <w:b w:val="1"/>
                <w:bCs w:val="1"/>
                <w:color w:val="0067B3"/>
              </w:rPr>
              <w:t>Edward H. Frank</w:t>
            </w:r>
          </w:p>
        </w:tc>
        <w:tc>
          <w:tcPr>
            <w:tcW w:w="1880" w:type="dxa"/>
            <w:vAlign w:val="bottom"/>
          </w:tcPr>
          <w:p>
            <w:pPr>
              <w:jc w:val="right"/>
              <w:ind w:right="52"/>
              <w:spacing w:after="0"/>
              <w:rPr>
                <w:sz w:val="20"/>
                <w:szCs w:val="20"/>
                <w:color w:val="auto"/>
              </w:rPr>
            </w:pPr>
            <w:r>
              <w:rPr>
                <w:rFonts w:ascii="Arial" w:cs="Arial" w:eastAsia="Arial" w:hAnsi="Arial"/>
                <w:sz w:val="18"/>
                <w:szCs w:val="18"/>
                <w:color w:val="auto"/>
              </w:rPr>
              <w:t>8,733</w:t>
            </w:r>
          </w:p>
        </w:tc>
        <w:tc>
          <w:tcPr>
            <w:tcW w:w="1680" w:type="dxa"/>
            <w:vAlign w:val="bottom"/>
          </w:tcPr>
          <w:p>
            <w:pPr>
              <w:jc w:val="right"/>
              <w:ind w:right="72"/>
              <w:spacing w:after="0"/>
              <w:rPr>
                <w:sz w:val="20"/>
                <w:szCs w:val="20"/>
                <w:color w:val="auto"/>
              </w:rPr>
            </w:pPr>
            <w:r>
              <w:rPr>
                <w:rFonts w:ascii="Arial" w:cs="Arial" w:eastAsia="Arial" w:hAnsi="Arial"/>
                <w:sz w:val="18"/>
                <w:szCs w:val="18"/>
                <w:color w:val="auto"/>
              </w:rPr>
              <w:t>7,573</w:t>
            </w:r>
          </w:p>
        </w:tc>
        <w:tc>
          <w:tcPr>
            <w:tcW w:w="1420" w:type="dxa"/>
            <w:vAlign w:val="bottom"/>
          </w:tcPr>
          <w:p>
            <w:pPr>
              <w:jc w:val="right"/>
              <w:spacing w:after="0"/>
              <w:rPr>
                <w:sz w:val="20"/>
                <w:szCs w:val="20"/>
                <w:color w:val="auto"/>
              </w:rPr>
            </w:pPr>
            <w:r>
              <w:rPr>
                <w:rFonts w:ascii="Arial" w:cs="Arial" w:eastAsia="Arial" w:hAnsi="Arial"/>
                <w:sz w:val="18"/>
                <w:szCs w:val="18"/>
                <w:color w:val="auto"/>
              </w:rPr>
              <w:t>1,160</w:t>
            </w:r>
          </w:p>
        </w:tc>
      </w:tr>
      <w:tr>
        <w:trPr>
          <w:trHeight w:val="278"/>
        </w:trPr>
        <w:tc>
          <w:tcPr>
            <w:tcW w:w="6260" w:type="dxa"/>
            <w:vAlign w:val="bottom"/>
            <w:shd w:val="clear" w:color="auto" w:fill="E2E6F4"/>
          </w:tcPr>
          <w:p>
            <w:pPr>
              <w:ind w:left="20"/>
              <w:spacing w:after="0"/>
              <w:rPr>
                <w:sz w:val="20"/>
                <w:szCs w:val="20"/>
                <w:color w:val="auto"/>
              </w:rPr>
            </w:pPr>
            <w:r>
              <w:rPr>
                <w:rFonts w:ascii="Arial" w:cs="Arial" w:eastAsia="Arial" w:hAnsi="Arial"/>
                <w:sz w:val="18"/>
                <w:szCs w:val="18"/>
                <w:b w:val="1"/>
                <w:bCs w:val="1"/>
                <w:color w:val="0067B3"/>
              </w:rPr>
              <w:t>Karen M. Golz</w:t>
            </w:r>
          </w:p>
        </w:tc>
        <w:tc>
          <w:tcPr>
            <w:tcW w:w="1880" w:type="dxa"/>
            <w:vAlign w:val="bottom"/>
            <w:shd w:val="clear" w:color="auto" w:fill="E2E6F4"/>
          </w:tcPr>
          <w:p>
            <w:pPr>
              <w:jc w:val="right"/>
              <w:ind w:right="52"/>
              <w:spacing w:after="0"/>
              <w:rPr>
                <w:sz w:val="20"/>
                <w:szCs w:val="20"/>
                <w:color w:val="auto"/>
              </w:rPr>
            </w:pPr>
            <w:r>
              <w:rPr>
                <w:rFonts w:ascii="Arial" w:cs="Arial" w:eastAsia="Arial" w:hAnsi="Arial"/>
                <w:sz w:val="18"/>
                <w:szCs w:val="18"/>
                <w:color w:val="auto"/>
              </w:rPr>
              <w:t>8,733</w:t>
            </w:r>
          </w:p>
        </w:tc>
        <w:tc>
          <w:tcPr>
            <w:tcW w:w="1680" w:type="dxa"/>
            <w:vAlign w:val="bottom"/>
            <w:shd w:val="clear" w:color="auto" w:fill="E2E6F4"/>
          </w:tcPr>
          <w:p>
            <w:pPr>
              <w:jc w:val="right"/>
              <w:ind w:right="72"/>
              <w:spacing w:after="0"/>
              <w:rPr>
                <w:sz w:val="20"/>
                <w:szCs w:val="20"/>
                <w:color w:val="auto"/>
              </w:rPr>
            </w:pPr>
            <w:r>
              <w:rPr>
                <w:rFonts w:ascii="Arial" w:cs="Arial" w:eastAsia="Arial" w:hAnsi="Arial"/>
                <w:sz w:val="18"/>
                <w:szCs w:val="18"/>
                <w:color w:val="auto"/>
              </w:rPr>
              <w:t>7,573</w:t>
            </w:r>
          </w:p>
        </w:tc>
        <w:tc>
          <w:tcPr>
            <w:tcW w:w="1420" w:type="dxa"/>
            <w:vAlign w:val="bottom"/>
            <w:shd w:val="clear" w:color="auto" w:fill="E2E6F4"/>
          </w:tcPr>
          <w:p>
            <w:pPr>
              <w:jc w:val="right"/>
              <w:spacing w:after="0"/>
              <w:rPr>
                <w:sz w:val="20"/>
                <w:szCs w:val="20"/>
                <w:color w:val="auto"/>
              </w:rPr>
            </w:pPr>
            <w:r>
              <w:rPr>
                <w:rFonts w:ascii="Arial" w:cs="Arial" w:eastAsia="Arial" w:hAnsi="Arial"/>
                <w:sz w:val="18"/>
                <w:szCs w:val="18"/>
                <w:color w:val="auto"/>
              </w:rPr>
              <w:t>1,160</w:t>
            </w:r>
          </w:p>
        </w:tc>
      </w:tr>
      <w:tr>
        <w:trPr>
          <w:trHeight w:val="263"/>
        </w:trPr>
        <w:tc>
          <w:tcPr>
            <w:tcW w:w="6260" w:type="dxa"/>
            <w:vAlign w:val="bottom"/>
          </w:tcPr>
          <w:p>
            <w:pPr>
              <w:ind w:left="20"/>
              <w:spacing w:after="0"/>
              <w:rPr>
                <w:sz w:val="20"/>
                <w:szCs w:val="20"/>
                <w:color w:val="auto"/>
              </w:rPr>
            </w:pPr>
            <w:r>
              <w:rPr>
                <w:rFonts w:ascii="Arial" w:cs="Arial" w:eastAsia="Arial" w:hAnsi="Arial"/>
                <w:sz w:val="18"/>
                <w:szCs w:val="18"/>
                <w:b w:val="1"/>
                <w:bCs w:val="1"/>
                <w:color w:val="0067B3"/>
              </w:rPr>
              <w:t>Peter B. Henry</w:t>
            </w:r>
          </w:p>
        </w:tc>
        <w:tc>
          <w:tcPr>
            <w:tcW w:w="1880" w:type="dxa"/>
            <w:vAlign w:val="bottom"/>
          </w:tcPr>
          <w:p>
            <w:pPr>
              <w:jc w:val="right"/>
              <w:ind w:right="52"/>
              <w:spacing w:after="0"/>
              <w:rPr>
                <w:sz w:val="20"/>
                <w:szCs w:val="20"/>
                <w:color w:val="auto"/>
              </w:rPr>
            </w:pPr>
            <w:r>
              <w:rPr>
                <w:rFonts w:ascii="Arial" w:cs="Arial" w:eastAsia="Arial" w:hAnsi="Arial"/>
                <w:sz w:val="18"/>
                <w:szCs w:val="18"/>
                <w:color w:val="auto"/>
              </w:rPr>
              <w:t>2,679</w:t>
            </w:r>
          </w:p>
        </w:tc>
        <w:tc>
          <w:tcPr>
            <w:tcW w:w="1680" w:type="dxa"/>
            <w:vAlign w:val="bottom"/>
          </w:tcPr>
          <w:p>
            <w:pPr>
              <w:jc w:val="right"/>
              <w:ind w:right="72"/>
              <w:spacing w:after="0"/>
              <w:rPr>
                <w:sz w:val="20"/>
                <w:szCs w:val="20"/>
                <w:color w:val="auto"/>
              </w:rPr>
            </w:pPr>
            <w:r>
              <w:rPr>
                <w:rFonts w:ascii="Arial" w:cs="Arial" w:eastAsia="Arial" w:hAnsi="Arial"/>
                <w:sz w:val="18"/>
                <w:szCs w:val="18"/>
                <w:color w:val="auto"/>
              </w:rPr>
              <w:t>1,519</w:t>
            </w:r>
          </w:p>
        </w:tc>
        <w:tc>
          <w:tcPr>
            <w:tcW w:w="1420" w:type="dxa"/>
            <w:vAlign w:val="bottom"/>
          </w:tcPr>
          <w:p>
            <w:pPr>
              <w:jc w:val="right"/>
              <w:spacing w:after="0"/>
              <w:rPr>
                <w:sz w:val="20"/>
                <w:szCs w:val="20"/>
                <w:color w:val="auto"/>
              </w:rPr>
            </w:pPr>
            <w:r>
              <w:rPr>
                <w:rFonts w:ascii="Arial" w:cs="Arial" w:eastAsia="Arial" w:hAnsi="Arial"/>
                <w:sz w:val="18"/>
                <w:szCs w:val="18"/>
                <w:color w:val="auto"/>
              </w:rPr>
              <w:t>1,160</w:t>
            </w:r>
          </w:p>
        </w:tc>
      </w:tr>
      <w:tr>
        <w:trPr>
          <w:trHeight w:val="278"/>
        </w:trPr>
        <w:tc>
          <w:tcPr>
            <w:tcW w:w="6260" w:type="dxa"/>
            <w:vAlign w:val="bottom"/>
            <w:shd w:val="clear" w:color="auto" w:fill="E2E6F4"/>
          </w:tcPr>
          <w:p>
            <w:pPr>
              <w:ind w:left="20"/>
              <w:spacing w:after="0"/>
              <w:rPr>
                <w:sz w:val="20"/>
                <w:szCs w:val="20"/>
                <w:color w:val="auto"/>
              </w:rPr>
            </w:pPr>
            <w:r>
              <w:rPr>
                <w:rFonts w:ascii="Arial" w:cs="Arial" w:eastAsia="Arial" w:hAnsi="Arial"/>
                <w:sz w:val="18"/>
                <w:szCs w:val="18"/>
                <w:b w:val="1"/>
                <w:bCs w:val="1"/>
                <w:color w:val="0067B3"/>
              </w:rPr>
              <w:t>Stephen M. Jennings</w:t>
            </w:r>
          </w:p>
        </w:tc>
        <w:tc>
          <w:tcPr>
            <w:tcW w:w="1880" w:type="dxa"/>
            <w:vAlign w:val="bottom"/>
            <w:shd w:val="clear" w:color="auto" w:fill="E2E6F4"/>
          </w:tcPr>
          <w:p>
            <w:pPr>
              <w:jc w:val="right"/>
              <w:ind w:right="52"/>
              <w:spacing w:after="0"/>
              <w:rPr>
                <w:sz w:val="20"/>
                <w:szCs w:val="20"/>
                <w:color w:val="auto"/>
              </w:rPr>
            </w:pPr>
            <w:r>
              <w:rPr>
                <w:rFonts w:ascii="Arial" w:cs="Arial" w:eastAsia="Arial" w:hAnsi="Arial"/>
                <w:sz w:val="18"/>
                <w:szCs w:val="18"/>
                <w:color w:val="auto"/>
              </w:rPr>
              <w:t>3,253</w:t>
            </w:r>
          </w:p>
        </w:tc>
        <w:tc>
          <w:tcPr>
            <w:tcW w:w="1680" w:type="dxa"/>
            <w:vAlign w:val="bottom"/>
            <w:shd w:val="clear" w:color="auto" w:fill="E2E6F4"/>
          </w:tcPr>
          <w:p>
            <w:pPr>
              <w:jc w:val="right"/>
              <w:ind w:right="72"/>
              <w:spacing w:after="0"/>
              <w:rPr>
                <w:sz w:val="20"/>
                <w:szCs w:val="20"/>
                <w:color w:val="auto"/>
              </w:rPr>
            </w:pPr>
            <w:r>
              <w:rPr>
                <w:rFonts w:ascii="Arial" w:cs="Arial" w:eastAsia="Arial" w:hAnsi="Arial"/>
                <w:sz w:val="18"/>
                <w:szCs w:val="18"/>
                <w:color w:val="auto"/>
              </w:rPr>
              <w:t>2,093</w:t>
            </w:r>
          </w:p>
        </w:tc>
        <w:tc>
          <w:tcPr>
            <w:tcW w:w="1420" w:type="dxa"/>
            <w:vAlign w:val="bottom"/>
            <w:shd w:val="clear" w:color="auto" w:fill="E2E6F4"/>
          </w:tcPr>
          <w:p>
            <w:pPr>
              <w:jc w:val="right"/>
              <w:spacing w:after="0"/>
              <w:rPr>
                <w:sz w:val="20"/>
                <w:szCs w:val="20"/>
                <w:color w:val="auto"/>
              </w:rPr>
            </w:pPr>
            <w:r>
              <w:rPr>
                <w:rFonts w:ascii="Arial" w:cs="Arial" w:eastAsia="Arial" w:hAnsi="Arial"/>
                <w:sz w:val="18"/>
                <w:szCs w:val="18"/>
                <w:color w:val="auto"/>
              </w:rPr>
              <w:t>1,160</w:t>
            </w:r>
          </w:p>
        </w:tc>
      </w:tr>
      <w:tr>
        <w:trPr>
          <w:trHeight w:val="263"/>
        </w:trPr>
        <w:tc>
          <w:tcPr>
            <w:tcW w:w="6260" w:type="dxa"/>
            <w:vAlign w:val="bottom"/>
          </w:tcPr>
          <w:p>
            <w:pPr>
              <w:ind w:left="20"/>
              <w:spacing w:after="0"/>
              <w:rPr>
                <w:sz w:val="20"/>
                <w:szCs w:val="20"/>
                <w:color w:val="auto"/>
              </w:rPr>
            </w:pPr>
            <w:r>
              <w:rPr>
                <w:rFonts w:ascii="Arial" w:cs="Arial" w:eastAsia="Arial" w:hAnsi="Arial"/>
                <w:sz w:val="18"/>
                <w:szCs w:val="18"/>
                <w:b w:val="1"/>
                <w:bCs w:val="1"/>
                <w:color w:val="0067B3"/>
              </w:rPr>
              <w:t>Mercedes Johnson</w:t>
            </w:r>
          </w:p>
        </w:tc>
        <w:tc>
          <w:tcPr>
            <w:tcW w:w="1880" w:type="dxa"/>
            <w:vAlign w:val="bottom"/>
          </w:tcPr>
          <w:p>
            <w:pPr>
              <w:jc w:val="right"/>
              <w:ind w:right="52"/>
              <w:spacing w:after="0"/>
              <w:rPr>
                <w:sz w:val="20"/>
                <w:szCs w:val="20"/>
                <w:color w:val="auto"/>
              </w:rPr>
            </w:pPr>
            <w:r>
              <w:rPr>
                <w:rFonts w:ascii="Arial" w:cs="Arial" w:eastAsia="Arial" w:hAnsi="Arial"/>
                <w:sz w:val="18"/>
                <w:szCs w:val="18"/>
                <w:color w:val="auto"/>
              </w:rPr>
              <w:t>5,773</w:t>
            </w:r>
          </w:p>
        </w:tc>
        <w:tc>
          <w:tcPr>
            <w:tcW w:w="1680" w:type="dxa"/>
            <w:vAlign w:val="bottom"/>
          </w:tcPr>
          <w:p>
            <w:pPr>
              <w:jc w:val="right"/>
              <w:ind w:right="72"/>
              <w:spacing w:after="0"/>
              <w:rPr>
                <w:sz w:val="20"/>
                <w:szCs w:val="20"/>
                <w:color w:val="auto"/>
              </w:rPr>
            </w:pPr>
            <w:r>
              <w:rPr>
                <w:rFonts w:ascii="Arial" w:cs="Arial" w:eastAsia="Arial" w:hAnsi="Arial"/>
                <w:sz w:val="18"/>
                <w:szCs w:val="18"/>
                <w:color w:val="auto"/>
              </w:rPr>
              <w:t>4,613</w:t>
            </w:r>
          </w:p>
        </w:tc>
        <w:tc>
          <w:tcPr>
            <w:tcW w:w="1420" w:type="dxa"/>
            <w:vAlign w:val="bottom"/>
          </w:tcPr>
          <w:p>
            <w:pPr>
              <w:jc w:val="right"/>
              <w:spacing w:after="0"/>
              <w:rPr>
                <w:sz w:val="20"/>
                <w:szCs w:val="20"/>
                <w:color w:val="auto"/>
              </w:rPr>
            </w:pPr>
            <w:r>
              <w:rPr>
                <w:rFonts w:ascii="Arial" w:cs="Arial" w:eastAsia="Arial" w:hAnsi="Arial"/>
                <w:sz w:val="18"/>
                <w:szCs w:val="18"/>
                <w:color w:val="auto"/>
              </w:rPr>
              <w:t>1,160</w:t>
            </w:r>
          </w:p>
        </w:tc>
      </w:tr>
      <w:tr>
        <w:trPr>
          <w:trHeight w:val="278"/>
        </w:trPr>
        <w:tc>
          <w:tcPr>
            <w:tcW w:w="6260" w:type="dxa"/>
            <w:vAlign w:val="bottom"/>
            <w:shd w:val="clear" w:color="auto" w:fill="E2E6F4"/>
          </w:tcPr>
          <w:p>
            <w:pPr>
              <w:ind w:left="20"/>
              <w:spacing w:after="0"/>
              <w:rPr>
                <w:sz w:val="20"/>
                <w:szCs w:val="20"/>
                <w:color w:val="auto"/>
              </w:rPr>
            </w:pPr>
            <w:r>
              <w:rPr>
                <w:rFonts w:ascii="Arial" w:cs="Arial" w:eastAsia="Arial" w:hAnsi="Arial"/>
                <w:sz w:val="18"/>
                <w:szCs w:val="18"/>
                <w:b w:val="1"/>
                <w:bCs w:val="1"/>
                <w:color w:val="0067B3"/>
              </w:rPr>
              <w:t>Yoky Matsuoka</w:t>
            </w:r>
          </w:p>
        </w:tc>
        <w:tc>
          <w:tcPr>
            <w:tcW w:w="1880" w:type="dxa"/>
            <w:vAlign w:val="bottom"/>
            <w:shd w:val="clear" w:color="auto" w:fill="E2E6F4"/>
          </w:tcPr>
          <w:p>
            <w:pPr>
              <w:jc w:val="right"/>
              <w:ind w:right="52"/>
              <w:spacing w:after="0"/>
              <w:rPr>
                <w:sz w:val="20"/>
                <w:szCs w:val="20"/>
                <w:color w:val="auto"/>
              </w:rPr>
            </w:pPr>
            <w:r>
              <w:rPr>
                <w:rFonts w:ascii="Arial" w:cs="Arial" w:eastAsia="Arial" w:hAnsi="Arial"/>
                <w:sz w:val="18"/>
                <w:szCs w:val="18"/>
                <w:color w:val="auto"/>
              </w:rPr>
              <w:t>—</w:t>
            </w:r>
          </w:p>
        </w:tc>
        <w:tc>
          <w:tcPr>
            <w:tcW w:w="1680" w:type="dxa"/>
            <w:vAlign w:val="bottom"/>
            <w:shd w:val="clear" w:color="auto" w:fill="E2E6F4"/>
          </w:tcPr>
          <w:p>
            <w:pPr>
              <w:jc w:val="right"/>
              <w:ind w:right="72"/>
              <w:spacing w:after="0"/>
              <w:rPr>
                <w:sz w:val="20"/>
                <w:szCs w:val="20"/>
                <w:color w:val="auto"/>
              </w:rPr>
            </w:pPr>
            <w:r>
              <w:rPr>
                <w:rFonts w:ascii="Arial" w:cs="Arial" w:eastAsia="Arial" w:hAnsi="Arial"/>
                <w:sz w:val="18"/>
                <w:szCs w:val="18"/>
                <w:color w:val="auto"/>
              </w:rPr>
              <w:t>—</w:t>
            </w:r>
          </w:p>
        </w:tc>
        <w:tc>
          <w:tcPr>
            <w:tcW w:w="1420" w:type="dxa"/>
            <w:vAlign w:val="bottom"/>
            <w:shd w:val="clear" w:color="auto" w:fill="E2E6F4"/>
          </w:tcPr>
          <w:p>
            <w:pPr>
              <w:jc w:val="right"/>
              <w:spacing w:after="0"/>
              <w:rPr>
                <w:sz w:val="20"/>
                <w:szCs w:val="20"/>
                <w:color w:val="auto"/>
              </w:rPr>
            </w:pPr>
            <w:r>
              <w:rPr>
                <w:rFonts w:ascii="Arial" w:cs="Arial" w:eastAsia="Arial" w:hAnsi="Arial"/>
                <w:sz w:val="18"/>
                <w:szCs w:val="18"/>
                <w:color w:val="auto"/>
              </w:rPr>
              <w:t>—</w:t>
            </w:r>
          </w:p>
        </w:tc>
      </w:tr>
      <w:tr>
        <w:trPr>
          <w:trHeight w:val="263"/>
        </w:trPr>
        <w:tc>
          <w:tcPr>
            <w:tcW w:w="6260" w:type="dxa"/>
            <w:vAlign w:val="bottom"/>
          </w:tcPr>
          <w:p>
            <w:pPr>
              <w:ind w:left="20"/>
              <w:spacing w:after="0"/>
              <w:rPr>
                <w:sz w:val="20"/>
                <w:szCs w:val="20"/>
                <w:color w:val="auto"/>
              </w:rPr>
            </w:pPr>
            <w:r>
              <w:rPr>
                <w:rFonts w:ascii="Arial" w:cs="Arial" w:eastAsia="Arial" w:hAnsi="Arial"/>
                <w:sz w:val="18"/>
                <w:szCs w:val="18"/>
                <w:b w:val="1"/>
                <w:bCs w:val="1"/>
                <w:color w:val="0067B3"/>
              </w:rPr>
              <w:t>Ray Stata</w:t>
            </w:r>
          </w:p>
        </w:tc>
        <w:tc>
          <w:tcPr>
            <w:tcW w:w="1880" w:type="dxa"/>
            <w:vAlign w:val="bottom"/>
          </w:tcPr>
          <w:p>
            <w:pPr>
              <w:jc w:val="right"/>
              <w:ind w:right="52"/>
              <w:spacing w:after="0"/>
              <w:rPr>
                <w:sz w:val="20"/>
                <w:szCs w:val="20"/>
                <w:color w:val="auto"/>
              </w:rPr>
            </w:pPr>
            <w:r>
              <w:rPr>
                <w:rFonts w:ascii="Arial" w:cs="Arial" w:eastAsia="Arial" w:hAnsi="Arial"/>
                <w:sz w:val="18"/>
                <w:szCs w:val="18"/>
                <w:color w:val="auto"/>
              </w:rPr>
              <w:t>8,733</w:t>
            </w:r>
          </w:p>
        </w:tc>
        <w:tc>
          <w:tcPr>
            <w:tcW w:w="1680" w:type="dxa"/>
            <w:vAlign w:val="bottom"/>
          </w:tcPr>
          <w:p>
            <w:pPr>
              <w:jc w:val="right"/>
              <w:ind w:right="72"/>
              <w:spacing w:after="0"/>
              <w:rPr>
                <w:sz w:val="20"/>
                <w:szCs w:val="20"/>
                <w:color w:val="auto"/>
              </w:rPr>
            </w:pPr>
            <w:r>
              <w:rPr>
                <w:rFonts w:ascii="Arial" w:cs="Arial" w:eastAsia="Arial" w:hAnsi="Arial"/>
                <w:sz w:val="18"/>
                <w:szCs w:val="18"/>
                <w:color w:val="auto"/>
              </w:rPr>
              <w:t>7,573</w:t>
            </w:r>
          </w:p>
        </w:tc>
        <w:tc>
          <w:tcPr>
            <w:tcW w:w="1420" w:type="dxa"/>
            <w:vAlign w:val="bottom"/>
          </w:tcPr>
          <w:p>
            <w:pPr>
              <w:jc w:val="right"/>
              <w:spacing w:after="0"/>
              <w:rPr>
                <w:sz w:val="20"/>
                <w:szCs w:val="20"/>
                <w:color w:val="auto"/>
              </w:rPr>
            </w:pPr>
            <w:r>
              <w:rPr>
                <w:rFonts w:ascii="Arial" w:cs="Arial" w:eastAsia="Arial" w:hAnsi="Arial"/>
                <w:sz w:val="18"/>
                <w:szCs w:val="18"/>
                <w:color w:val="auto"/>
              </w:rPr>
              <w:t>1,160</w:t>
            </w:r>
          </w:p>
        </w:tc>
      </w:tr>
      <w:tr>
        <w:trPr>
          <w:trHeight w:val="278"/>
        </w:trPr>
        <w:tc>
          <w:tcPr>
            <w:tcW w:w="6260" w:type="dxa"/>
            <w:vAlign w:val="bottom"/>
            <w:shd w:val="clear" w:color="auto" w:fill="E2E6F4"/>
          </w:tcPr>
          <w:p>
            <w:pPr>
              <w:ind w:left="20"/>
              <w:spacing w:after="0"/>
              <w:rPr>
                <w:sz w:val="20"/>
                <w:szCs w:val="20"/>
                <w:color w:val="auto"/>
              </w:rPr>
            </w:pPr>
            <w:r>
              <w:rPr>
                <w:rFonts w:ascii="Arial" w:cs="Arial" w:eastAsia="Arial" w:hAnsi="Arial"/>
                <w:sz w:val="18"/>
                <w:szCs w:val="18"/>
                <w:b w:val="1"/>
                <w:bCs w:val="1"/>
                <w:color w:val="0067B3"/>
              </w:rPr>
              <w:t>Andrea F. Wainer</w:t>
            </w:r>
          </w:p>
        </w:tc>
        <w:tc>
          <w:tcPr>
            <w:tcW w:w="1880" w:type="dxa"/>
            <w:vAlign w:val="bottom"/>
            <w:shd w:val="clear" w:color="auto" w:fill="E2E6F4"/>
          </w:tcPr>
          <w:p>
            <w:pPr>
              <w:jc w:val="right"/>
              <w:ind w:right="52"/>
              <w:spacing w:after="0"/>
              <w:rPr>
                <w:sz w:val="20"/>
                <w:szCs w:val="20"/>
                <w:color w:val="auto"/>
              </w:rPr>
            </w:pPr>
            <w:r>
              <w:rPr>
                <w:rFonts w:ascii="Arial" w:cs="Arial" w:eastAsia="Arial" w:hAnsi="Arial"/>
                <w:sz w:val="18"/>
                <w:szCs w:val="18"/>
                <w:color w:val="auto"/>
              </w:rPr>
              <w:t>1,345</w:t>
            </w:r>
          </w:p>
        </w:tc>
        <w:tc>
          <w:tcPr>
            <w:tcW w:w="1680" w:type="dxa"/>
            <w:vAlign w:val="bottom"/>
            <w:shd w:val="clear" w:color="auto" w:fill="E2E6F4"/>
          </w:tcPr>
          <w:p>
            <w:pPr>
              <w:jc w:val="right"/>
              <w:ind w:right="72"/>
              <w:spacing w:after="0"/>
              <w:rPr>
                <w:sz w:val="20"/>
                <w:szCs w:val="20"/>
                <w:color w:val="auto"/>
              </w:rPr>
            </w:pPr>
            <w:r>
              <w:rPr>
                <w:rFonts w:ascii="Arial" w:cs="Arial" w:eastAsia="Arial" w:hAnsi="Arial"/>
                <w:sz w:val="18"/>
                <w:szCs w:val="18"/>
                <w:color w:val="auto"/>
              </w:rPr>
              <w:t>185</w:t>
            </w:r>
          </w:p>
        </w:tc>
        <w:tc>
          <w:tcPr>
            <w:tcW w:w="1420" w:type="dxa"/>
            <w:vAlign w:val="bottom"/>
            <w:shd w:val="clear" w:color="auto" w:fill="E2E6F4"/>
          </w:tcPr>
          <w:p>
            <w:pPr>
              <w:jc w:val="right"/>
              <w:spacing w:after="0"/>
              <w:rPr>
                <w:sz w:val="20"/>
                <w:szCs w:val="20"/>
                <w:color w:val="auto"/>
              </w:rPr>
            </w:pPr>
            <w:r>
              <w:rPr>
                <w:rFonts w:ascii="Arial" w:cs="Arial" w:eastAsia="Arial" w:hAnsi="Arial"/>
                <w:sz w:val="18"/>
                <w:szCs w:val="18"/>
                <w:color w:val="auto"/>
              </w:rPr>
              <w:t>1,160</w:t>
            </w:r>
          </w:p>
        </w:tc>
      </w:tr>
      <w:tr>
        <w:trPr>
          <w:trHeight w:val="262"/>
        </w:trPr>
        <w:tc>
          <w:tcPr>
            <w:tcW w:w="6260" w:type="dxa"/>
            <w:vAlign w:val="bottom"/>
          </w:tcPr>
          <w:p>
            <w:pPr>
              <w:ind w:left="20"/>
              <w:spacing w:after="0"/>
              <w:rPr>
                <w:sz w:val="20"/>
                <w:szCs w:val="20"/>
                <w:color w:val="auto"/>
              </w:rPr>
            </w:pPr>
            <w:r>
              <w:rPr>
                <w:rFonts w:ascii="Arial" w:cs="Arial" w:eastAsia="Arial" w:hAnsi="Arial"/>
                <w:sz w:val="18"/>
                <w:szCs w:val="18"/>
                <w:b w:val="1"/>
                <w:bCs w:val="1"/>
                <w:color w:val="0067B3"/>
              </w:rPr>
              <w:t>Susie Wee</w:t>
            </w:r>
          </w:p>
        </w:tc>
        <w:tc>
          <w:tcPr>
            <w:tcW w:w="1880" w:type="dxa"/>
            <w:vAlign w:val="bottom"/>
          </w:tcPr>
          <w:p>
            <w:pPr>
              <w:jc w:val="right"/>
              <w:ind w:right="52"/>
              <w:spacing w:after="0"/>
              <w:rPr>
                <w:sz w:val="20"/>
                <w:szCs w:val="20"/>
                <w:color w:val="auto"/>
              </w:rPr>
            </w:pPr>
            <w:r>
              <w:rPr>
                <w:rFonts w:ascii="Arial" w:cs="Arial" w:eastAsia="Arial" w:hAnsi="Arial"/>
                <w:sz w:val="18"/>
                <w:szCs w:val="18"/>
                <w:color w:val="auto"/>
              </w:rPr>
              <w:t>8,733</w:t>
            </w:r>
          </w:p>
        </w:tc>
        <w:tc>
          <w:tcPr>
            <w:tcW w:w="1680" w:type="dxa"/>
            <w:vAlign w:val="bottom"/>
          </w:tcPr>
          <w:p>
            <w:pPr>
              <w:jc w:val="right"/>
              <w:ind w:right="72"/>
              <w:spacing w:after="0"/>
              <w:rPr>
                <w:sz w:val="20"/>
                <w:szCs w:val="20"/>
                <w:color w:val="auto"/>
              </w:rPr>
            </w:pPr>
            <w:r>
              <w:rPr>
                <w:rFonts w:ascii="Arial" w:cs="Arial" w:eastAsia="Arial" w:hAnsi="Arial"/>
                <w:sz w:val="18"/>
                <w:szCs w:val="18"/>
                <w:color w:val="auto"/>
              </w:rPr>
              <w:t>7,573</w:t>
            </w:r>
          </w:p>
        </w:tc>
        <w:tc>
          <w:tcPr>
            <w:tcW w:w="1420" w:type="dxa"/>
            <w:vAlign w:val="bottom"/>
          </w:tcPr>
          <w:p>
            <w:pPr>
              <w:jc w:val="right"/>
              <w:spacing w:after="0"/>
              <w:rPr>
                <w:sz w:val="20"/>
                <w:szCs w:val="20"/>
                <w:color w:val="auto"/>
              </w:rPr>
            </w:pPr>
            <w:r>
              <w:rPr>
                <w:rFonts w:ascii="Arial" w:cs="Arial" w:eastAsia="Arial" w:hAnsi="Arial"/>
                <w:sz w:val="18"/>
                <w:szCs w:val="18"/>
                <w:color w:val="auto"/>
              </w:rPr>
              <w:t>1,160</w:t>
            </w:r>
          </w:p>
        </w:tc>
      </w:tr>
      <w:tr>
        <w:trPr>
          <w:trHeight w:val="232"/>
        </w:trPr>
        <w:tc>
          <w:tcPr>
            <w:tcW w:w="6260" w:type="dxa"/>
            <w:vAlign w:val="bottom"/>
            <w:shd w:val="clear" w:color="auto" w:fill="E2E6F4"/>
          </w:tcPr>
          <w:p>
            <w:pPr>
              <w:ind w:left="20"/>
              <w:spacing w:after="0"/>
              <w:rPr>
                <w:sz w:val="20"/>
                <w:szCs w:val="20"/>
                <w:color w:val="auto"/>
              </w:rPr>
            </w:pPr>
            <w:r>
              <w:rPr>
                <w:rFonts w:ascii="Arial" w:cs="Arial" w:eastAsia="Arial" w:hAnsi="Arial"/>
                <w:sz w:val="18"/>
                <w:szCs w:val="18"/>
                <w:color w:val="auto"/>
              </w:rPr>
              <w:t>All current employees, who are not executive officers, as a group (12,897</w:t>
            </w:r>
          </w:p>
        </w:tc>
        <w:tc>
          <w:tcPr>
            <w:tcW w:w="1880" w:type="dxa"/>
            <w:vAlign w:val="bottom"/>
            <w:shd w:val="clear" w:color="auto" w:fill="E2E6F4"/>
          </w:tcPr>
          <w:p>
            <w:pPr>
              <w:spacing w:after="0"/>
              <w:rPr>
                <w:sz w:val="20"/>
                <w:szCs w:val="20"/>
                <w:color w:val="auto"/>
              </w:rPr>
            </w:pPr>
          </w:p>
        </w:tc>
        <w:tc>
          <w:tcPr>
            <w:tcW w:w="1680" w:type="dxa"/>
            <w:vAlign w:val="bottom"/>
            <w:shd w:val="clear" w:color="auto" w:fill="E2E6F4"/>
          </w:tcPr>
          <w:p>
            <w:pPr>
              <w:spacing w:after="0"/>
              <w:rPr>
                <w:sz w:val="20"/>
                <w:szCs w:val="20"/>
                <w:color w:val="auto"/>
              </w:rPr>
            </w:pPr>
          </w:p>
        </w:tc>
        <w:tc>
          <w:tcPr>
            <w:tcW w:w="1420" w:type="dxa"/>
            <w:vAlign w:val="bottom"/>
            <w:shd w:val="clear" w:color="auto" w:fill="E2E6F4"/>
          </w:tcPr>
          <w:p>
            <w:pPr>
              <w:spacing w:after="0"/>
              <w:rPr>
                <w:sz w:val="20"/>
                <w:szCs w:val="20"/>
                <w:color w:val="auto"/>
              </w:rPr>
            </w:pPr>
          </w:p>
        </w:tc>
      </w:tr>
      <w:tr>
        <w:trPr>
          <w:trHeight w:val="242"/>
        </w:trPr>
        <w:tc>
          <w:tcPr>
            <w:tcW w:w="6260" w:type="dxa"/>
            <w:vAlign w:val="bottom"/>
            <w:tcBorders>
              <w:bottom w:val="single" w:sz="8" w:color="E2E6F4"/>
            </w:tcBorders>
            <w:shd w:val="clear" w:color="auto" w:fill="E2E6F4"/>
          </w:tcPr>
          <w:p>
            <w:pPr>
              <w:ind w:left="20"/>
              <w:spacing w:after="0"/>
              <w:rPr>
                <w:sz w:val="20"/>
                <w:szCs w:val="20"/>
                <w:color w:val="auto"/>
              </w:rPr>
            </w:pPr>
            <w:r>
              <w:rPr>
                <w:rFonts w:ascii="Arial" w:cs="Arial" w:eastAsia="Arial" w:hAnsi="Arial"/>
                <w:sz w:val="18"/>
                <w:szCs w:val="18"/>
                <w:color w:val="auto"/>
              </w:rPr>
              <w:t>persons)</w:t>
            </w:r>
          </w:p>
        </w:tc>
        <w:tc>
          <w:tcPr>
            <w:tcW w:w="1880" w:type="dxa"/>
            <w:vAlign w:val="bottom"/>
            <w:tcBorders>
              <w:bottom w:val="single" w:sz="8" w:color="E2E6F4"/>
            </w:tcBorders>
            <w:shd w:val="clear" w:color="auto" w:fill="E2E6F4"/>
          </w:tcPr>
          <w:p>
            <w:pPr>
              <w:jc w:val="right"/>
              <w:ind w:right="52"/>
              <w:spacing w:after="0"/>
              <w:rPr>
                <w:sz w:val="20"/>
                <w:szCs w:val="20"/>
                <w:color w:val="auto"/>
              </w:rPr>
            </w:pPr>
            <w:r>
              <w:rPr>
                <w:rFonts w:ascii="Arial" w:cs="Arial" w:eastAsia="Arial" w:hAnsi="Arial"/>
                <w:sz w:val="18"/>
                <w:szCs w:val="18"/>
                <w:color w:val="auto"/>
              </w:rPr>
              <w:t>9,284,592</w:t>
            </w:r>
          </w:p>
        </w:tc>
        <w:tc>
          <w:tcPr>
            <w:tcW w:w="1680" w:type="dxa"/>
            <w:vAlign w:val="bottom"/>
            <w:tcBorders>
              <w:bottom w:val="single" w:sz="8" w:color="E2E6F4"/>
            </w:tcBorders>
            <w:shd w:val="clear" w:color="auto" w:fill="E2E6F4"/>
          </w:tcPr>
          <w:p>
            <w:pPr>
              <w:jc w:val="right"/>
              <w:ind w:right="72"/>
              <w:spacing w:after="0"/>
              <w:rPr>
                <w:sz w:val="20"/>
                <w:szCs w:val="20"/>
                <w:color w:val="auto"/>
              </w:rPr>
            </w:pPr>
            <w:r>
              <w:rPr>
                <w:rFonts w:ascii="Arial" w:cs="Arial" w:eastAsia="Arial" w:hAnsi="Arial"/>
                <w:sz w:val="18"/>
                <w:szCs w:val="18"/>
                <w:color w:val="auto"/>
              </w:rPr>
              <w:t>4,547,136</w:t>
            </w:r>
          </w:p>
        </w:tc>
        <w:tc>
          <w:tcPr>
            <w:tcW w:w="1420" w:type="dxa"/>
            <w:vAlign w:val="bottom"/>
            <w:tcBorders>
              <w:bottom w:val="single" w:sz="8" w:color="E2E6F4"/>
            </w:tcBorders>
            <w:shd w:val="clear" w:color="auto" w:fill="E2E6F4"/>
          </w:tcPr>
          <w:p>
            <w:pPr>
              <w:jc w:val="right"/>
              <w:spacing w:after="0"/>
              <w:rPr>
                <w:sz w:val="20"/>
                <w:szCs w:val="20"/>
                <w:color w:val="auto"/>
              </w:rPr>
            </w:pPr>
            <w:r>
              <w:rPr>
                <w:rFonts w:ascii="Arial" w:cs="Arial" w:eastAsia="Arial" w:hAnsi="Arial"/>
                <w:sz w:val="18"/>
                <w:szCs w:val="18"/>
                <w:color w:val="auto"/>
              </w:rPr>
              <w:t>3,785,129</w:t>
            </w:r>
          </w:p>
        </w:tc>
      </w:tr>
      <w:tr>
        <w:trPr>
          <w:trHeight w:val="20"/>
        </w:trPr>
        <w:tc>
          <w:tcPr>
            <w:tcW w:w="6260" w:type="dxa"/>
            <w:vAlign w:val="bottom"/>
            <w:shd w:val="clear" w:color="auto" w:fill="0067B3"/>
          </w:tcPr>
          <w:p>
            <w:pPr>
              <w:spacing w:after="0" w:line="20" w:lineRule="exact"/>
              <w:rPr>
                <w:sz w:val="1"/>
                <w:szCs w:val="1"/>
                <w:color w:val="auto"/>
              </w:rPr>
            </w:pPr>
          </w:p>
        </w:tc>
        <w:tc>
          <w:tcPr>
            <w:tcW w:w="1880" w:type="dxa"/>
            <w:vAlign w:val="bottom"/>
            <w:shd w:val="clear" w:color="auto" w:fill="0067B3"/>
          </w:tcPr>
          <w:p>
            <w:pPr>
              <w:spacing w:after="0" w:line="20" w:lineRule="exact"/>
              <w:rPr>
                <w:sz w:val="1"/>
                <w:szCs w:val="1"/>
                <w:color w:val="auto"/>
              </w:rPr>
            </w:pPr>
          </w:p>
        </w:tc>
        <w:tc>
          <w:tcPr>
            <w:tcW w:w="1680" w:type="dxa"/>
            <w:vAlign w:val="bottom"/>
            <w:shd w:val="clear" w:color="auto" w:fill="0067B3"/>
          </w:tcPr>
          <w:p>
            <w:pPr>
              <w:spacing w:after="0" w:line="20" w:lineRule="exact"/>
              <w:rPr>
                <w:sz w:val="1"/>
                <w:szCs w:val="1"/>
                <w:color w:val="auto"/>
              </w:rPr>
            </w:pPr>
          </w:p>
        </w:tc>
        <w:tc>
          <w:tcPr>
            <w:tcW w:w="1420" w:type="dxa"/>
            <w:vAlign w:val="bottom"/>
            <w:shd w:val="clear" w:color="auto" w:fill="0067B3"/>
          </w:tcPr>
          <w:p>
            <w:pPr>
              <w:spacing w:after="0" w:line="20" w:lineRule="exact"/>
              <w:rPr>
                <w:sz w:val="1"/>
                <w:szCs w:val="1"/>
                <w:color w:val="auto"/>
              </w:rPr>
            </w:pPr>
          </w:p>
        </w:tc>
      </w:tr>
    </w:tbl>
    <w:p>
      <w:pPr>
        <w:spacing w:after="0" w:line="148" w:lineRule="exact"/>
        <w:rPr>
          <w:sz w:val="20"/>
          <w:szCs w:val="20"/>
          <w:color w:val="auto"/>
        </w:rPr>
      </w:pPr>
    </w:p>
    <w:p>
      <w:pPr>
        <w:ind w:left="200" w:right="20" w:hanging="192"/>
        <w:spacing w:after="0" w:line="235" w:lineRule="auto"/>
        <w:tabs>
          <w:tab w:leader="none" w:pos="215" w:val="left"/>
        </w:tabs>
        <w:numPr>
          <w:ilvl w:val="0"/>
          <w:numId w:val="156"/>
        </w:numPr>
        <w:rPr>
          <w:rFonts w:ascii="Arial" w:cs="Arial" w:eastAsia="Arial" w:hAnsi="Arial"/>
          <w:sz w:val="21"/>
          <w:szCs w:val="21"/>
          <w:color w:val="auto"/>
          <w:vertAlign w:val="superscript"/>
        </w:rPr>
      </w:pPr>
      <w:r>
        <w:rPr>
          <w:rFonts w:ascii="Arial" w:cs="Arial" w:eastAsia="Arial" w:hAnsi="Arial"/>
          <w:sz w:val="16"/>
          <w:szCs w:val="16"/>
          <w:color w:val="auto"/>
        </w:rPr>
        <w:t>No equity awards were granted to associates of any of our directors, executive officers, or director nominees. Additionally, no other person received 5% of the awards under the 2020 Plan.</w:t>
      </w:r>
    </w:p>
    <w:p>
      <w:pPr>
        <w:spacing w:after="0" w:line="29" w:lineRule="exact"/>
        <w:rPr>
          <w:rFonts w:ascii="Arial" w:cs="Arial" w:eastAsia="Arial" w:hAnsi="Arial"/>
          <w:sz w:val="21"/>
          <w:szCs w:val="21"/>
          <w:color w:val="auto"/>
          <w:vertAlign w:val="superscript"/>
        </w:rPr>
      </w:pPr>
    </w:p>
    <w:p>
      <w:pPr>
        <w:ind w:left="220" w:hanging="212"/>
        <w:spacing w:after="0"/>
        <w:tabs>
          <w:tab w:leader="none" w:pos="220" w:val="left"/>
        </w:tabs>
        <w:numPr>
          <w:ilvl w:val="0"/>
          <w:numId w:val="156"/>
        </w:numPr>
        <w:rPr>
          <w:rFonts w:ascii="Arial" w:cs="Arial" w:eastAsia="Arial" w:hAnsi="Arial"/>
          <w:sz w:val="21"/>
          <w:szCs w:val="21"/>
          <w:color w:val="auto"/>
          <w:vertAlign w:val="superscript"/>
        </w:rPr>
      </w:pPr>
      <w:r>
        <w:rPr>
          <w:rFonts w:ascii="Arial" w:cs="Arial" w:eastAsia="Arial" w:hAnsi="Arial"/>
          <w:sz w:val="16"/>
          <w:szCs w:val="16"/>
          <w:color w:val="auto"/>
        </w:rPr>
        <w:t>Reflects the target number of shares that were eligible to be earned based on satisfaction of the applicable performance goals.</w:t>
      </w:r>
    </w:p>
    <w:p>
      <w:pPr>
        <w:spacing w:after="0" w:line="57" w:lineRule="exact"/>
        <w:rPr>
          <w:rFonts w:ascii="Arial" w:cs="Arial" w:eastAsia="Arial" w:hAnsi="Arial"/>
          <w:sz w:val="21"/>
          <w:szCs w:val="21"/>
          <w:color w:val="auto"/>
          <w:vertAlign w:val="superscript"/>
        </w:rPr>
      </w:pPr>
    </w:p>
    <w:p>
      <w:pPr>
        <w:ind w:left="200" w:right="760" w:hanging="192"/>
        <w:spacing w:after="0" w:line="226" w:lineRule="auto"/>
        <w:tabs>
          <w:tab w:leader="none" w:pos="215" w:val="left"/>
        </w:tabs>
        <w:numPr>
          <w:ilvl w:val="0"/>
          <w:numId w:val="156"/>
        </w:numPr>
        <w:rPr>
          <w:rFonts w:ascii="Arial" w:cs="Arial" w:eastAsia="Arial" w:hAnsi="Arial"/>
          <w:sz w:val="21"/>
          <w:szCs w:val="21"/>
          <w:color w:val="auto"/>
          <w:vertAlign w:val="superscript"/>
        </w:rPr>
      </w:pPr>
      <w:r>
        <w:rPr>
          <w:rFonts w:ascii="Arial" w:cs="Arial" w:eastAsia="Arial" w:hAnsi="Arial"/>
          <w:sz w:val="16"/>
          <w:szCs w:val="16"/>
          <w:color w:val="auto"/>
        </w:rPr>
        <w:t>Reflects the maximum number of shares eligible to be earned and vested based on satisfaction of the applicable performance goals, unless the performance period had already ended as of November 1, 2025 and the actual number of shares eligible to vest is determinable.</w:t>
      </w:r>
    </w:p>
    <w:p>
      <w:pPr>
        <w:spacing w:after="0" w:line="200" w:lineRule="exact"/>
        <w:rPr>
          <w:sz w:val="20"/>
          <w:szCs w:val="20"/>
          <w:color w:val="auto"/>
        </w:rPr>
      </w:pP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78"/>
        </w:trPr>
        <w:tc>
          <w:tcPr>
            <w:tcW w:w="10800" w:type="dxa"/>
            <w:vAlign w:val="bottom"/>
          </w:tcPr>
          <w:p>
            <w:pPr>
              <w:ind w:left="8980"/>
              <w:spacing w:after="0"/>
              <w:rPr>
                <w:sz w:val="20"/>
                <w:szCs w:val="20"/>
                <w:color w:val="auto"/>
              </w:rPr>
            </w:pPr>
            <w:r>
              <w:rPr>
                <w:rFonts w:ascii="Arial" w:cs="Arial" w:eastAsia="Arial" w:hAnsi="Arial"/>
                <w:sz w:val="16"/>
                <w:szCs w:val="16"/>
                <w:color w:val="0067B3"/>
              </w:rPr>
              <w:t>2026 Proxy Statement</w:t>
            </w:r>
          </w:p>
        </w:tc>
        <w:tc>
          <w:tcPr>
            <w:tcW w:w="440" w:type="dxa"/>
            <w:vAlign w:val="bottom"/>
          </w:tcPr>
          <w:p>
            <w:pPr>
              <w:jc w:val="right"/>
              <w:spacing w:after="0"/>
              <w:rPr>
                <w:sz w:val="20"/>
                <w:szCs w:val="20"/>
                <w:color w:val="auto"/>
              </w:rPr>
            </w:pPr>
            <w:r>
              <w:rPr>
                <w:rFonts w:ascii="Arial" w:cs="Arial" w:eastAsia="Arial" w:hAnsi="Arial"/>
                <w:sz w:val="20"/>
                <w:szCs w:val="20"/>
                <w:b w:val="1"/>
                <w:bCs w:val="1"/>
                <w:color w:val="auto"/>
              </w:rPr>
              <w:t>89</w:t>
            </w:r>
          </w:p>
        </w:tc>
      </w:tr>
      <w:tr>
        <w:trPr>
          <w:trHeight w:val="333"/>
        </w:trPr>
        <w:tc>
          <w:tcPr>
            <w:tcW w:w="1080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8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9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311" w:right="339" w:bottom="1440" w:gutter="0" w:footer="0" w:header="0"/>
        </w:sectPr>
      </w:pPr>
    </w:p>
    <w:bookmarkStart w:id="97" w:name="page98"/>
    <w:bookmarkEnd w:id="97"/>
    <w:p>
      <w:pPr>
        <w:spacing w:after="0" w:line="5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774700</wp:posOffset>
            </wp:positionV>
            <wp:extent cx="7132320" cy="1449070"/>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91">
                      <a:extLst>
                        <a:ext uri="{28A0092B-C50C-407E-A947-70E740481C1C}"/>
                      </a:extLst>
                    </a:blip>
                    <a:srcRect/>
                    <a:stretch>
                      <a:fillRect/>
                    </a:stretch>
                  </pic:blipFill>
                  <pic:spPr bwMode="auto">
                    <a:xfrm>
                      <a:off x="0" y="0"/>
                      <a:ext cx="7132320" cy="1449070"/>
                    </a:xfrm>
                    <a:prstGeom prst="rect">
                      <a:avLst/>
                    </a:prstGeom>
                    <a:noFill/>
                  </pic:spPr>
                </pic:pic>
              </a:graphicData>
            </a:graphic>
          </wp:anchor>
        </w:drawing>
      </w:r>
    </w:p>
    <w:p>
      <w:pPr>
        <w:ind w:left="220"/>
        <w:spacing w:after="0"/>
        <w:rPr>
          <w:sz w:val="20"/>
          <w:szCs w:val="20"/>
          <w:color w:val="auto"/>
        </w:rPr>
      </w:pPr>
      <w:r>
        <w:rPr>
          <w:rFonts w:ascii="Arial" w:cs="Arial" w:eastAsia="Arial" w:hAnsi="Arial"/>
          <w:sz w:val="18"/>
          <w:szCs w:val="18"/>
          <w:b w:val="1"/>
          <w:bCs w:val="1"/>
          <w:color w:val="6D6E71"/>
        </w:rPr>
        <w:t>PROPOSAL 5</w:t>
      </w:r>
    </w:p>
    <w:p>
      <w:pPr>
        <w:spacing w:after="0" w:line="106" w:lineRule="exact"/>
        <w:rPr>
          <w:sz w:val="20"/>
          <w:szCs w:val="20"/>
          <w:color w:val="auto"/>
        </w:rPr>
      </w:pPr>
    </w:p>
    <w:p>
      <w:pPr>
        <w:ind w:left="220"/>
        <w:spacing w:after="0"/>
        <w:rPr>
          <w:sz w:val="20"/>
          <w:szCs w:val="20"/>
          <w:color w:val="auto"/>
        </w:rPr>
      </w:pPr>
      <w:r>
        <w:rPr>
          <w:rFonts w:ascii="Arial" w:cs="Arial" w:eastAsia="Arial" w:hAnsi="Arial"/>
          <w:sz w:val="32"/>
          <w:szCs w:val="32"/>
          <w:b w:val="1"/>
          <w:bCs w:val="1"/>
          <w:color w:val="auto"/>
        </w:rPr>
        <w:t>Shareholder Proposal</w:t>
      </w:r>
    </w:p>
    <w:p>
      <w:pPr>
        <w:spacing w:after="0" w:line="362" w:lineRule="exact"/>
        <w:rPr>
          <w:sz w:val="20"/>
          <w:szCs w:val="20"/>
          <w:color w:val="auto"/>
        </w:rPr>
      </w:pPr>
    </w:p>
    <w:p>
      <w:pPr>
        <w:ind w:left="220" w:right="2680"/>
        <w:spacing w:after="0" w:line="298" w:lineRule="auto"/>
        <w:rPr>
          <w:sz w:val="20"/>
          <w:szCs w:val="20"/>
          <w:color w:val="auto"/>
        </w:rPr>
      </w:pPr>
      <w:r>
        <w:rPr>
          <w:rFonts w:ascii="Arial" w:cs="Arial" w:eastAsia="Arial" w:hAnsi="Arial"/>
          <w:sz w:val="27"/>
          <w:szCs w:val="27"/>
          <w:b w:val="1"/>
          <w:bCs w:val="1"/>
          <w:color w:val="6D6E71"/>
        </w:rPr>
        <w:t>Our Board of Directors recommends that you vote AGAINST this shareholder proposal.</w:t>
      </w:r>
    </w:p>
    <w:p>
      <w:pPr>
        <w:spacing w:after="0" w:line="373"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color w:val="auto"/>
        </w:rPr>
        <w:t>Mr. John Chevedden has submitted the following proposal for consideration at the Annual Meeting. The address of, and the number of shares owned by, such shareholder will be provided upon written request to the Corporate Secretary. The shareholder proposal will be voted on at the Annual Meeting only if properly presented at the Annual Meeting by or on behalf of the shareholder proponent.</w:t>
      </w:r>
    </w:p>
    <w:p>
      <w:pPr>
        <w:spacing w:after="0" w:line="63" w:lineRule="exact"/>
        <w:rPr>
          <w:sz w:val="20"/>
          <w:szCs w:val="20"/>
          <w:color w:val="auto"/>
        </w:rPr>
      </w:pPr>
    </w:p>
    <w:p>
      <w:pPr>
        <w:ind w:right="680"/>
        <w:spacing w:after="0" w:line="287" w:lineRule="auto"/>
        <w:rPr>
          <w:sz w:val="20"/>
          <w:szCs w:val="20"/>
          <w:color w:val="auto"/>
        </w:rPr>
      </w:pPr>
      <w:r>
        <w:rPr>
          <w:rFonts w:ascii="Arial" w:cs="Arial" w:eastAsia="Arial" w:hAnsi="Arial"/>
          <w:sz w:val="18"/>
          <w:szCs w:val="18"/>
          <w:color w:val="auto"/>
        </w:rPr>
        <w:t>The text of the shareholder proposal set forth below appears exactly as it was received by us unless otherwise noted. All statements contained in the shareholder proposal are the sole responsibility of the proponent.</w:t>
      </w:r>
    </w:p>
    <w:p>
      <w:pPr>
        <w:spacing w:after="0" w:line="153"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Proposal 5 – Improve Shareholder Ability to Call for a Special Shareholder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2628265</wp:posOffset>
            </wp:positionH>
            <wp:positionV relativeFrom="paragraph">
              <wp:posOffset>154940</wp:posOffset>
            </wp:positionV>
            <wp:extent cx="1885950" cy="377190"/>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392">
                      <a:extLst>
                        <a:ext uri="{28A0092B-C50C-407E-A947-70E740481C1C}"/>
                      </a:extLst>
                    </a:blip>
                    <a:srcRect/>
                    <a:stretch>
                      <a:fillRect/>
                    </a:stretch>
                  </pic:blipFill>
                  <pic:spPr bwMode="auto">
                    <a:xfrm>
                      <a:off x="0" y="0"/>
                      <a:ext cx="1885950" cy="3771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right="140"/>
        <w:spacing w:after="0" w:line="252" w:lineRule="auto"/>
        <w:rPr>
          <w:sz w:val="20"/>
          <w:szCs w:val="20"/>
          <w:color w:val="auto"/>
        </w:rPr>
      </w:pPr>
      <w:r>
        <w:rPr>
          <w:rFonts w:ascii="Arial" w:cs="Arial" w:eastAsia="Arial" w:hAnsi="Arial"/>
          <w:sz w:val="18"/>
          <w:szCs w:val="18"/>
          <w:color w:val="auto"/>
        </w:rPr>
        <w:t>Shareholders ask our Board of Directors to take the steps necessary to amend the appropriate company governing documents to give the owners of a combined 10% of our outstanding common stock the power to call a special meeting or the owners of the lowest percentage of shareholders, as governed by state law, the power to call a special shareholder meeting. Such a special shareholder meeting can be an online shareholder meeting.</w:t>
      </w:r>
    </w:p>
    <w:p>
      <w:pPr>
        <w:spacing w:after="0" w:line="62" w:lineRule="exact"/>
        <w:rPr>
          <w:sz w:val="20"/>
          <w:szCs w:val="20"/>
          <w:color w:val="auto"/>
        </w:rPr>
      </w:pPr>
    </w:p>
    <w:p>
      <w:pPr>
        <w:ind w:right="200"/>
        <w:spacing w:after="0" w:line="262" w:lineRule="auto"/>
        <w:rPr>
          <w:sz w:val="20"/>
          <w:szCs w:val="20"/>
          <w:color w:val="auto"/>
        </w:rPr>
      </w:pPr>
      <w:r>
        <w:rPr>
          <w:rFonts w:ascii="Arial" w:cs="Arial" w:eastAsia="Arial" w:hAnsi="Arial"/>
          <w:sz w:val="18"/>
          <w:szCs w:val="18"/>
          <w:color w:val="auto"/>
        </w:rPr>
        <w:t>There shall be no discriminatory rule to mandate ownership of Analog Devices shares for a specific period of time in order for shares to participate in calling for a special shareholder meeting. It is important to enable shareholders who recent purchased Company stock to call for a special shareholder meeting because those shareholders can be the shareholders who are most informed about the prospects of the Company since they recently did research on the Company that triggered their decision to purchase Company stock.</w:t>
      </w:r>
    </w:p>
    <w:p>
      <w:pPr>
        <w:spacing w:after="0" w:line="68" w:lineRule="exact"/>
        <w:rPr>
          <w:sz w:val="20"/>
          <w:szCs w:val="20"/>
          <w:color w:val="auto"/>
        </w:rPr>
      </w:pPr>
    </w:p>
    <w:p>
      <w:pPr>
        <w:ind w:right="300"/>
        <w:spacing w:after="0" w:line="287" w:lineRule="auto"/>
        <w:rPr>
          <w:sz w:val="20"/>
          <w:szCs w:val="20"/>
          <w:color w:val="auto"/>
        </w:rPr>
      </w:pPr>
      <w:r>
        <w:rPr>
          <w:rFonts w:ascii="Arial" w:cs="Arial" w:eastAsia="Arial" w:hAnsi="Arial"/>
          <w:sz w:val="18"/>
          <w:szCs w:val="18"/>
          <w:color w:val="auto"/>
        </w:rPr>
        <w:t>To guard against the Analog Devices Board of Directors becoming complacent shareholders need the ability to call a special shareholder meeting to help the Board adopt new strategies when the need arises.</w:t>
      </w:r>
    </w:p>
    <w:p>
      <w:pPr>
        <w:spacing w:after="0" w:line="45" w:lineRule="exact"/>
        <w:rPr>
          <w:sz w:val="20"/>
          <w:szCs w:val="20"/>
          <w:color w:val="auto"/>
        </w:rPr>
      </w:pPr>
    </w:p>
    <w:p>
      <w:pPr>
        <w:ind w:right="100"/>
        <w:spacing w:after="0" w:line="287" w:lineRule="auto"/>
        <w:rPr>
          <w:sz w:val="20"/>
          <w:szCs w:val="20"/>
          <w:color w:val="auto"/>
        </w:rPr>
      </w:pPr>
      <w:r>
        <w:rPr>
          <w:rFonts w:ascii="Arial" w:cs="Arial" w:eastAsia="Arial" w:hAnsi="Arial"/>
          <w:sz w:val="18"/>
          <w:szCs w:val="18"/>
          <w:color w:val="auto"/>
        </w:rPr>
        <w:t>This proposal topic won between 51% and 72% support each in 2024 at Jabil, Warner Brothers Discovery, ANSYS, Vertex Pharmaceuticals and DexCom.</w:t>
      </w:r>
    </w:p>
    <w:p>
      <w:pPr>
        <w:spacing w:after="0" w:line="45" w:lineRule="exact"/>
        <w:rPr>
          <w:sz w:val="20"/>
          <w:szCs w:val="20"/>
          <w:color w:val="auto"/>
        </w:rPr>
      </w:pPr>
    </w:p>
    <w:p>
      <w:pPr>
        <w:ind w:right="160"/>
        <w:spacing w:after="0" w:line="268" w:lineRule="auto"/>
        <w:rPr>
          <w:sz w:val="20"/>
          <w:szCs w:val="20"/>
          <w:color w:val="auto"/>
        </w:rPr>
      </w:pPr>
      <w:r>
        <w:rPr>
          <w:rFonts w:ascii="Arial" w:cs="Arial" w:eastAsia="Arial" w:hAnsi="Arial"/>
          <w:sz w:val="18"/>
          <w:szCs w:val="18"/>
          <w:color w:val="auto"/>
        </w:rPr>
        <w:t>There is no concern that allowing 10% of shares to call for a special shareholder meeting, as called for in this proposal, is too easy. It is almost unheard of for any special shareholder meeting, called for by shareholders, to ever occur at any company even though a significant number of companies allow 10% of shareholders to call for a special shareholder meeting.</w:t>
      </w:r>
    </w:p>
    <w:p>
      <w:pPr>
        <w:spacing w:after="0" w:line="63" w:lineRule="exact"/>
        <w:rPr>
          <w:sz w:val="20"/>
          <w:szCs w:val="20"/>
          <w:color w:val="auto"/>
        </w:rPr>
      </w:pPr>
    </w:p>
    <w:p>
      <w:pPr>
        <w:spacing w:after="0" w:line="287" w:lineRule="auto"/>
        <w:rPr>
          <w:sz w:val="20"/>
          <w:szCs w:val="20"/>
          <w:color w:val="auto"/>
        </w:rPr>
      </w:pPr>
      <w:r>
        <w:rPr>
          <w:rFonts w:ascii="Arial" w:cs="Arial" w:eastAsia="Arial" w:hAnsi="Arial"/>
          <w:sz w:val="18"/>
          <w:szCs w:val="18"/>
          <w:color w:val="auto"/>
        </w:rPr>
        <w:t>The reason to have this right is that with this right in place companies are more likely to engage productively with their shareholders because shareholders have an alternative ability to call for a special shareholder meeting.</w:t>
      </w:r>
    </w:p>
    <w:p>
      <w:pPr>
        <w:spacing w:after="0" w:line="45" w:lineRule="exact"/>
        <w:rPr>
          <w:sz w:val="20"/>
          <w:szCs w:val="20"/>
          <w:color w:val="auto"/>
        </w:rPr>
      </w:pPr>
    </w:p>
    <w:p>
      <w:pPr>
        <w:jc w:val="both"/>
        <w:ind w:right="620"/>
        <w:spacing w:after="0" w:line="262" w:lineRule="auto"/>
        <w:rPr>
          <w:sz w:val="20"/>
          <w:szCs w:val="20"/>
          <w:color w:val="auto"/>
        </w:rPr>
      </w:pPr>
      <w:r>
        <w:rPr>
          <w:rFonts w:ascii="Arial" w:cs="Arial" w:eastAsia="Arial" w:hAnsi="Arial"/>
          <w:sz w:val="18"/>
          <w:szCs w:val="18"/>
          <w:color w:val="auto"/>
        </w:rPr>
        <w:t>A shareholder right to call for a special shareholder meeting, as called for in this proposal, can help make shareholder engagement meaningful. A shareholder right to call for an online special shareholder meeting will help ensure that the Analog Devices Board and management engages with shareholders in good faith because shareholders will have a viable Plan B by calling for an online special shareholder meeting.</w:t>
      </w:r>
    </w:p>
    <w:p>
      <w:pPr>
        <w:spacing w:after="0" w:line="68" w:lineRule="exact"/>
        <w:rPr>
          <w:sz w:val="20"/>
          <w:szCs w:val="20"/>
          <w:color w:val="auto"/>
        </w:rPr>
      </w:pPr>
    </w:p>
    <w:p>
      <w:pPr>
        <w:ind w:right="40"/>
        <w:spacing w:after="0" w:line="287" w:lineRule="auto"/>
        <w:rPr>
          <w:sz w:val="20"/>
          <w:szCs w:val="20"/>
          <w:color w:val="auto"/>
        </w:rPr>
      </w:pPr>
      <w:r>
        <w:rPr>
          <w:rFonts w:ascii="Arial" w:cs="Arial" w:eastAsia="Arial" w:hAnsi="Arial"/>
          <w:sz w:val="18"/>
          <w:szCs w:val="18"/>
          <w:color w:val="auto"/>
        </w:rPr>
        <w:t>With the widespread use of online shareholder meetings it is much easier for a company to conduct a special shareholder meeting online for important issues and the Analog Devices bylaws thus need to be updated accordingly.</w:t>
      </w:r>
    </w:p>
    <w:p>
      <w:pPr>
        <w:spacing w:after="0" w:line="4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Please vote yes:</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Improved Shareholder Ability to Call for a Special Shareholder Meeting – Proposal 5</w:t>
      </w:r>
    </w:p>
    <w:p>
      <w:pPr>
        <w:spacing w:after="0" w:line="200" w:lineRule="exact"/>
        <w:rPr>
          <w:sz w:val="20"/>
          <w:szCs w:val="20"/>
          <w:color w:val="auto"/>
        </w:rPr>
      </w:pPr>
    </w:p>
    <w:p>
      <w:pPr>
        <w:spacing w:after="0" w:line="320" w:lineRule="exact"/>
        <w:rPr>
          <w:sz w:val="20"/>
          <w:szCs w:val="20"/>
          <w:color w:val="auto"/>
        </w:rPr>
      </w:pPr>
    </w:p>
    <w:p>
      <w:pPr>
        <w:ind w:left="640" w:hanging="614"/>
        <w:spacing w:after="0"/>
        <w:tabs>
          <w:tab w:leader="none" w:pos="640" w:val="left"/>
        </w:tabs>
        <w:numPr>
          <w:ilvl w:val="0"/>
          <w:numId w:val="157"/>
        </w:numPr>
        <w:rPr>
          <w:rFonts w:ascii="Arial" w:cs="Arial" w:eastAsia="Arial" w:hAnsi="Arial"/>
          <w:sz w:val="20"/>
          <w:szCs w:val="20"/>
          <w:b w:val="1"/>
          <w:bCs w:val="1"/>
          <w:color w:val="auto"/>
        </w:rPr>
      </w:pPr>
      <w:r>
        <w:rPr>
          <w:rFonts w:ascii="Arial" w:cs="Arial" w:eastAsia="Arial" w:hAnsi="Arial"/>
          <w:sz w:val="16"/>
          <w:szCs w:val="16"/>
          <w:color w:val="6D6E71"/>
        </w:rPr>
        <w:t>Proposal 5: Shareholder Proposal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186055</wp:posOffset>
            </wp:positionV>
            <wp:extent cx="7157720" cy="42545"/>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3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440" w:right="399" w:bottom="1440" w:gutter="0" w:footer="0" w:header="0"/>
        </w:sectPr>
      </w:pPr>
    </w:p>
    <w:bookmarkStart w:id="98" w:name="page99"/>
    <w:bookmarkEnd w:id="98"/>
    <w:p>
      <w:pPr>
        <w:ind w:right="900"/>
        <w:spacing w:after="0" w:line="284" w:lineRule="auto"/>
        <w:rPr>
          <w:sz w:val="20"/>
          <w:szCs w:val="20"/>
          <w:color w:val="auto"/>
        </w:rPr>
      </w:pPr>
      <w:r>
        <w:rPr>
          <w:rFonts w:ascii="Arial" w:cs="Arial" w:eastAsia="Arial" w:hAnsi="Arial"/>
          <w:sz w:val="41"/>
          <w:szCs w:val="41"/>
          <w:b w:val="1"/>
          <w:bCs w:val="1"/>
          <w:color w:val="0067B3"/>
        </w:rPr>
        <w:t>ADI’s Board of Directors’ Statement in Opposition to Shareholder Proposal</w:t>
      </w:r>
    </w:p>
    <w:p>
      <w:pPr>
        <w:spacing w:after="0" w:line="81" w:lineRule="exact"/>
        <w:rPr>
          <w:sz w:val="20"/>
          <w:szCs w:val="20"/>
          <w:color w:val="auto"/>
        </w:rPr>
      </w:pPr>
    </w:p>
    <w:p>
      <w:pPr>
        <w:ind w:right="160"/>
        <w:spacing w:after="0" w:line="280" w:lineRule="auto"/>
        <w:rPr>
          <w:sz w:val="20"/>
          <w:szCs w:val="20"/>
          <w:color w:val="auto"/>
        </w:rPr>
      </w:pPr>
      <w:r>
        <w:rPr>
          <w:rFonts w:ascii="Arial" w:cs="Arial" w:eastAsia="Arial" w:hAnsi="Arial"/>
          <w:sz w:val="32"/>
          <w:szCs w:val="32"/>
          <w:b w:val="1"/>
          <w:bCs w:val="1"/>
          <w:color w:val="auto"/>
        </w:rPr>
        <w:t>The Board of Directors recommends that shareholders vote “AGAINST” this proposal for the following reasons:</w:t>
      </w:r>
    </w:p>
    <w:p>
      <w:pPr>
        <w:spacing w:after="0" w:line="17" w:lineRule="exact"/>
        <w:rPr>
          <w:sz w:val="20"/>
          <w:szCs w:val="20"/>
          <w:color w:val="auto"/>
        </w:rPr>
      </w:pPr>
    </w:p>
    <w:p>
      <w:pPr>
        <w:ind w:right="140"/>
        <w:spacing w:after="0" w:line="273" w:lineRule="auto"/>
        <w:rPr>
          <w:sz w:val="20"/>
          <w:szCs w:val="20"/>
          <w:color w:val="auto"/>
        </w:rPr>
      </w:pPr>
      <w:r>
        <w:rPr>
          <w:rFonts w:ascii="Arial" w:cs="Arial" w:eastAsia="Arial" w:hAnsi="Arial"/>
          <w:sz w:val="18"/>
          <w:szCs w:val="18"/>
          <w:b w:val="1"/>
          <w:bCs w:val="1"/>
          <w:color w:val="0067B3"/>
        </w:rPr>
        <w:t>We are committed to regular engagement with our shareholders to inform our corporate decisions and the Board of Directors has already taken thoughtful action to provide shareholders with a meaningful right to call a special meeting, reducing the voting threshold from 80% to 25%.</w:t>
      </w:r>
    </w:p>
    <w:p>
      <w:pPr>
        <w:spacing w:after="0" w:line="50"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In January 2025, the Board of Directors approved and adopted an amendment to our existing Bylaws (as so amended and restated, the “Second Amended and Restated Bylaws”) to lower the ownership threshold required for shareholders to call a special meeting of shareholders from 80% of our outstanding shares to 25% of our outstanding shares, with such shares having been held continuously for at least one year. During fiscal years 2024 and 2025, we conducted robust engagement with our shareholders as part of our annual outreach program, meeting with shareholders representing over 36% of our total shares outstanding and proxy advisory firms in fiscal year 2024 and with shareholders representing approximately 25% of our total shares outstanding and proxy advisory firms in fiscal year 2025. During these meetings, many of our largest institutional shareholders deferred to the Board of Directors to determine an ownership threshold that is appropriate for the Company’s specific facts and circumstances or expressed support of a 25% ownership threshold. Some of our other shareholders expressed concerns that a 10% ownership threshold to call a special meeting of shareholders would be too low.</w:t>
      </w:r>
    </w:p>
    <w:p>
      <w:pPr>
        <w:spacing w:after="0" w:line="73" w:lineRule="exact"/>
        <w:rPr>
          <w:sz w:val="20"/>
          <w:szCs w:val="20"/>
          <w:color w:val="auto"/>
        </w:rPr>
      </w:pPr>
    </w:p>
    <w:p>
      <w:pPr>
        <w:ind w:right="40"/>
        <w:spacing w:after="0" w:line="296" w:lineRule="auto"/>
        <w:rPr>
          <w:sz w:val="20"/>
          <w:szCs w:val="20"/>
          <w:color w:val="auto"/>
        </w:rPr>
      </w:pPr>
      <w:r>
        <w:rPr>
          <w:rFonts w:ascii="Arial" w:cs="Arial" w:eastAsia="Arial" w:hAnsi="Arial"/>
          <w:sz w:val="18"/>
          <w:szCs w:val="18"/>
          <w:b w:val="1"/>
          <w:bCs w:val="1"/>
          <w:color w:val="0067B3"/>
        </w:rPr>
        <w:t>The existing right to call a special meeting protects against misuse by a small number of shareholders whose interests may not be shared by the majority of shareholders.</w:t>
      </w:r>
    </w:p>
    <w:p>
      <w:pPr>
        <w:spacing w:after="0" w:line="29" w:lineRule="exact"/>
        <w:rPr>
          <w:sz w:val="20"/>
          <w:szCs w:val="20"/>
          <w:color w:val="auto"/>
        </w:rPr>
      </w:pPr>
    </w:p>
    <w:p>
      <w:pPr>
        <w:spacing w:after="0" w:line="262" w:lineRule="auto"/>
        <w:rPr>
          <w:sz w:val="20"/>
          <w:szCs w:val="20"/>
          <w:color w:val="auto"/>
        </w:rPr>
      </w:pPr>
      <w:r>
        <w:rPr>
          <w:rFonts w:ascii="Arial" w:cs="Arial" w:eastAsia="Arial" w:hAnsi="Arial"/>
          <w:sz w:val="18"/>
          <w:szCs w:val="18"/>
          <w:color w:val="auto"/>
        </w:rPr>
        <w:t>Our existing right to call a special meeting substantially addresses the essential objective of the proposal—ensuring that shareholders have a viable and reasonable mechanism to call a special meeting when urgent or strategic matters arise—and does so in a manner that balances responsiveness with appropriate safeguards, considering also that special meetings are a seldomly utilized mechanism for shareholder engagement at public companies.</w:t>
      </w:r>
    </w:p>
    <w:p>
      <w:pPr>
        <w:spacing w:after="0" w:line="68" w:lineRule="exact"/>
        <w:rPr>
          <w:sz w:val="20"/>
          <w:szCs w:val="20"/>
          <w:color w:val="auto"/>
        </w:rPr>
      </w:pPr>
    </w:p>
    <w:p>
      <w:pPr>
        <w:ind w:right="40"/>
        <w:spacing w:after="0" w:line="219" w:lineRule="exact"/>
        <w:rPr>
          <w:sz w:val="20"/>
          <w:szCs w:val="20"/>
          <w:color w:val="auto"/>
        </w:rPr>
      </w:pPr>
      <w:r>
        <w:rPr>
          <w:rFonts w:ascii="Arial" w:cs="Arial" w:eastAsia="Arial" w:hAnsi="Arial"/>
          <w:sz w:val="18"/>
          <w:szCs w:val="18"/>
          <w:color w:val="auto"/>
        </w:rPr>
        <w:t>Organizing and preparing for a special meeting results in significant costs to the Company in legal, administrative, printing, distribution, and other fees. It also requires considerable attention from our senior executives, diverting their focus from performing their primary functions of overseeing and operating our business in the best interests of all shareholders. Consequently, the Board of Directors believes that special meetings should be called only to consider matters deemed by a significant portion of our shareholders to warrant immediate attention and that cannot be deferred for consideration until the next annual meeting. A low ownership threshold could allow small groups of shareholders to misuse the special meeting right to advance narrow or short-term interests that might not be shared by our broader shareholder base. Given the Company’s ownership profile, a large number of combinations of long</w:t>
      </w:r>
      <w:r>
        <w:rPr>
          <w:rFonts w:ascii="MS PGothic" w:cs="MS PGothic" w:eastAsia="MS PGothic" w:hAnsi="MS PGothic"/>
          <w:sz w:val="18"/>
          <w:szCs w:val="18"/>
          <w:color w:val="auto"/>
        </w:rPr>
        <w:t>‑</w:t>
      </w:r>
      <w:r>
        <w:rPr>
          <w:rFonts w:ascii="Arial" w:cs="Arial" w:eastAsia="Arial" w:hAnsi="Arial"/>
          <w:sz w:val="18"/>
          <w:szCs w:val="18"/>
          <w:color w:val="auto"/>
        </w:rPr>
        <w:t>term shareholders can already meet the 25% threshold today. In any realistic scenario, smaller holders must coordinate with larger institutions whether the threshold is set at 25% or 10%, so further reducing the threshold would not materially enhance practical access to the special meeting right.</w:t>
      </w:r>
    </w:p>
    <w:p>
      <w:pPr>
        <w:spacing w:after="0" w:line="88"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Board of Directors believes that the one-year holding requirement appropriately ensures that the right is exercised by shareholders with a sustained economic interest in the Company, consistent with feedback received during our shareholder outreach. This requirement provides a procedural safeguard against shareholders with short-term goals, who could otherwise call a special meeting without having had a financial stake for any meaningful period of time, resulting in outsized attention and resources being devoted to special interests inconsistent with the long-term goals of ADI and at the expense of shareholders who seek a long-term investment in our company.</w:t>
      </w:r>
    </w:p>
    <w:p>
      <w:pPr>
        <w:spacing w:after="0" w:line="71" w:lineRule="exact"/>
        <w:rPr>
          <w:sz w:val="20"/>
          <w:szCs w:val="20"/>
          <w:color w:val="auto"/>
        </w:rPr>
      </w:pPr>
    </w:p>
    <w:p>
      <w:pPr>
        <w:spacing w:after="0"/>
        <w:rPr>
          <w:sz w:val="20"/>
          <w:szCs w:val="20"/>
          <w:color w:val="auto"/>
        </w:rPr>
      </w:pPr>
      <w:r>
        <w:rPr>
          <w:rFonts w:ascii="Arial" w:cs="Arial" w:eastAsia="Arial" w:hAnsi="Arial"/>
          <w:sz w:val="18"/>
          <w:szCs w:val="18"/>
          <w:b w:val="1"/>
          <w:bCs w:val="1"/>
          <w:color w:val="0067B3"/>
        </w:rPr>
        <w:t>Our existing shareholder special meeting right reflects public company best practices.</w:t>
      </w:r>
    </w:p>
    <w:p>
      <w:pPr>
        <w:spacing w:after="0" w:line="117" w:lineRule="exact"/>
        <w:rPr>
          <w:sz w:val="20"/>
          <w:szCs w:val="20"/>
          <w:color w:val="auto"/>
        </w:rPr>
      </w:pPr>
    </w:p>
    <w:p>
      <w:pPr>
        <w:ind w:right="160"/>
        <w:spacing w:after="0" w:line="282" w:lineRule="auto"/>
        <w:rPr>
          <w:sz w:val="20"/>
          <w:szCs w:val="20"/>
          <w:color w:val="auto"/>
        </w:rPr>
      </w:pPr>
      <w:r>
        <w:rPr>
          <w:rFonts w:ascii="Arial" w:cs="Arial" w:eastAsia="Arial" w:hAnsi="Arial"/>
          <w:sz w:val="17"/>
          <w:szCs w:val="17"/>
          <w:color w:val="auto"/>
        </w:rPr>
        <w:t>We have long believed that good corporate governance is important to ensure that ADI is managed for the long-term benefit of our shareholders. Our existing 25% ownership threshold reflects prevailing public company corporate governance practice. Among S&amp;P 500 companies, based on FactSet data as of December 10, 2025, 24.3% do not allow stockholders to call special meetings at all and 37.0% maintain a stockholder special meeting right with a threshold of 25% or higher, while only 15.7% have adopted a threshold of 10% or lower.</w:t>
      </w:r>
    </w:p>
    <w:p>
      <w:pPr>
        <w:spacing w:after="0" w:line="53" w:lineRule="exact"/>
        <w:rPr>
          <w:sz w:val="20"/>
          <w:szCs w:val="20"/>
          <w:color w:val="auto"/>
        </w:rPr>
      </w:pPr>
    </w:p>
    <w:p>
      <w:pPr>
        <w:ind w:right="120"/>
        <w:spacing w:after="0" w:line="296" w:lineRule="auto"/>
        <w:rPr>
          <w:sz w:val="20"/>
          <w:szCs w:val="20"/>
          <w:color w:val="auto"/>
        </w:rPr>
      </w:pPr>
      <w:r>
        <w:rPr>
          <w:rFonts w:ascii="Arial" w:cs="Arial" w:eastAsia="Arial" w:hAnsi="Arial"/>
          <w:sz w:val="18"/>
          <w:szCs w:val="18"/>
          <w:b w:val="1"/>
          <w:bCs w:val="1"/>
          <w:color w:val="0067B3"/>
        </w:rPr>
        <w:t>Our commitment to strong corporate governance ensures Board of Directors’ accountability and promotes long-term shareholder value.</w:t>
      </w:r>
    </w:p>
    <w:p>
      <w:pPr>
        <w:spacing w:after="0" w:line="29"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In considering the shareholder proposal, the Board of Directors encourages shareholders to consider our existing special meeting right in the context of our broader commitment to strong corporate governance. We have a longstanding and robust annual shareholder engagement program, as described in this proxy statement. In addition, we periodically review our corporate governance policies and practices and compare them to those suggested by various authorities in corporate governance and the practices of other public companies. As a result, we have adopted policies and procedures that we believe are in the best interests of ADI and our shareholders and that reflect shareholder input, appropriately balance the roles of</w:t>
      </w:r>
    </w:p>
    <w:p>
      <w:pPr>
        <w:sectPr>
          <w:pgSz w:w="11900" w:h="16838" w:orient="portrait"/>
          <w:cols w:equalWidth="0" w:num="1">
            <w:col w:w="11220"/>
          </w:cols>
          <w:pgMar w:left="320" w:top="1356" w:right="359" w:bottom="1440" w:gutter="0" w:footer="0" w:header="0"/>
        </w:sectPr>
      </w:pPr>
    </w:p>
    <w:p>
      <w:pPr>
        <w:spacing w:after="0" w:line="200" w:lineRule="exact"/>
        <w:rPr>
          <w:sz w:val="20"/>
          <w:szCs w:val="20"/>
          <w:color w:val="auto"/>
        </w:rPr>
      </w:pPr>
    </w:p>
    <w:p>
      <w:pPr>
        <w:spacing w:after="0" w:line="247" w:lineRule="exact"/>
        <w:rPr>
          <w:sz w:val="20"/>
          <w:szCs w:val="20"/>
          <w:color w:val="auto"/>
        </w:rPr>
      </w:pPr>
    </w:p>
    <w:p>
      <w:pPr>
        <w:ind w:left="8980"/>
        <w:spacing w:after="0"/>
        <w:tabs>
          <w:tab w:leader="none" w:pos="10980" w:val="left"/>
        </w:tabs>
        <w:rPr>
          <w:sz w:val="20"/>
          <w:szCs w:val="20"/>
          <w:color w:val="auto"/>
        </w:rPr>
      </w:pPr>
      <w:r>
        <w:rPr>
          <w:rFonts w:ascii="Arial" w:cs="Arial" w:eastAsia="Arial" w:hAnsi="Arial"/>
          <w:sz w:val="16"/>
          <w:szCs w:val="16"/>
          <w:color w:val="0067B3"/>
        </w:rPr>
        <w:t>2026 Proxy Statement</w:t>
      </w:r>
      <w:r>
        <w:rPr>
          <w:sz w:val="20"/>
          <w:szCs w:val="20"/>
          <w:color w:val="auto"/>
        </w:rPr>
        <w:tab/>
      </w:r>
      <w:r>
        <w:rPr>
          <w:rFonts w:ascii="Arial" w:cs="Arial" w:eastAsia="Arial" w:hAnsi="Arial"/>
          <w:sz w:val="19"/>
          <w:szCs w:val="19"/>
          <w:b w:val="1"/>
          <w:bCs w:val="1"/>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232410</wp:posOffset>
            </wp:positionV>
            <wp:extent cx="7157720" cy="42545"/>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3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56" w:right="359" w:bottom="1440" w:gutter="0" w:footer="0" w:header="0"/>
          <w:type w:val="continuous"/>
        </w:sectPr>
      </w:pPr>
    </w:p>
    <w:bookmarkStart w:id="99" w:name="page100"/>
    <w:bookmarkEnd w:id="99"/>
    <w:p>
      <w:pPr>
        <w:ind w:right="380"/>
        <w:spacing w:after="0" w:line="268" w:lineRule="auto"/>
        <w:rPr>
          <w:sz w:val="20"/>
          <w:szCs w:val="20"/>
          <w:color w:val="auto"/>
        </w:rPr>
      </w:pPr>
      <w:r>
        <w:rPr>
          <w:rFonts w:ascii="Arial" w:cs="Arial" w:eastAsia="Arial" w:hAnsi="Arial"/>
          <w:sz w:val="18"/>
          <w:szCs w:val="18"/>
          <w:color w:val="auto"/>
        </w:rPr>
        <w:t>the Board of Directors and management, and safeguard shareholders’ interests. These governance practices, in addition to our existing shareholder special meeting right and robust shareholder engagement program, promote Board accountability and responsiveness to shareholders, including:</w:t>
      </w:r>
    </w:p>
    <w:p>
      <w:pPr>
        <w:spacing w:after="0" w:line="63" w:lineRule="exact"/>
        <w:rPr>
          <w:sz w:val="20"/>
          <w:szCs w:val="20"/>
          <w:color w:val="auto"/>
        </w:rPr>
      </w:pPr>
    </w:p>
    <w:p>
      <w:pPr>
        <w:ind w:left="160" w:hanging="152"/>
        <w:spacing w:after="0"/>
        <w:tabs>
          <w:tab w:leader="none" w:pos="160" w:val="left"/>
        </w:tabs>
        <w:numPr>
          <w:ilvl w:val="0"/>
          <w:numId w:val="158"/>
        </w:numPr>
        <w:rPr>
          <w:rFonts w:ascii="Arial" w:cs="Arial" w:eastAsia="Arial" w:hAnsi="Arial"/>
          <w:sz w:val="13"/>
          <w:szCs w:val="13"/>
          <w:color w:val="0067B3"/>
        </w:rPr>
      </w:pPr>
      <w:r>
        <w:rPr>
          <w:rFonts w:ascii="Arial" w:cs="Arial" w:eastAsia="Arial" w:hAnsi="Arial"/>
          <w:sz w:val="18"/>
          <w:szCs w:val="18"/>
          <w:color w:val="auto"/>
        </w:rPr>
        <w:t>No supermajority vote requirements for amendments to our Articles of Organization or mergers</w:t>
      </w:r>
    </w:p>
    <w:p>
      <w:pPr>
        <w:spacing w:after="0" w:line="90" w:lineRule="exact"/>
        <w:rPr>
          <w:rFonts w:ascii="Arial" w:cs="Arial" w:eastAsia="Arial" w:hAnsi="Arial"/>
          <w:sz w:val="13"/>
          <w:szCs w:val="13"/>
          <w:color w:val="0067B3"/>
        </w:rPr>
      </w:pPr>
    </w:p>
    <w:p>
      <w:pPr>
        <w:ind w:left="160" w:hanging="152"/>
        <w:spacing w:after="0"/>
        <w:tabs>
          <w:tab w:leader="none" w:pos="160" w:val="left"/>
        </w:tabs>
        <w:numPr>
          <w:ilvl w:val="0"/>
          <w:numId w:val="158"/>
        </w:numPr>
        <w:rPr>
          <w:rFonts w:ascii="Arial" w:cs="Arial" w:eastAsia="Arial" w:hAnsi="Arial"/>
          <w:sz w:val="13"/>
          <w:szCs w:val="13"/>
          <w:color w:val="0067B3"/>
        </w:rPr>
      </w:pPr>
      <w:r>
        <w:rPr>
          <w:rFonts w:ascii="Arial" w:cs="Arial" w:eastAsia="Arial" w:hAnsi="Arial"/>
          <w:sz w:val="18"/>
          <w:szCs w:val="18"/>
          <w:color w:val="auto"/>
        </w:rPr>
        <w:t>Majority of directors are independent</w:t>
      </w:r>
    </w:p>
    <w:p>
      <w:pPr>
        <w:spacing w:after="0" w:line="76" w:lineRule="exact"/>
        <w:rPr>
          <w:rFonts w:ascii="Arial" w:cs="Arial" w:eastAsia="Arial" w:hAnsi="Arial"/>
          <w:sz w:val="13"/>
          <w:szCs w:val="13"/>
          <w:color w:val="0067B3"/>
        </w:rPr>
      </w:pPr>
    </w:p>
    <w:p>
      <w:pPr>
        <w:ind w:left="200" w:right="460" w:hanging="192"/>
        <w:spacing w:after="0" w:line="287" w:lineRule="auto"/>
        <w:tabs>
          <w:tab w:leader="none" w:pos="157" w:val="left"/>
        </w:tabs>
        <w:numPr>
          <w:ilvl w:val="0"/>
          <w:numId w:val="158"/>
        </w:numPr>
        <w:rPr>
          <w:rFonts w:ascii="Arial" w:cs="Arial" w:eastAsia="Arial" w:hAnsi="Arial"/>
          <w:sz w:val="13"/>
          <w:szCs w:val="13"/>
          <w:color w:val="0067B3"/>
        </w:rPr>
      </w:pPr>
      <w:r>
        <w:rPr>
          <w:rFonts w:ascii="Arial" w:cs="Arial" w:eastAsia="Arial" w:hAnsi="Arial"/>
          <w:sz w:val="18"/>
          <w:szCs w:val="18"/>
          <w:color w:val="auto"/>
        </w:rPr>
        <w:t>Audit, Compensation and Talent, and Nominating and Corporate Governance Committees are each composed solely of independent directors</w:t>
      </w:r>
    </w:p>
    <w:p>
      <w:pPr>
        <w:spacing w:after="0" w:line="4" w:lineRule="exact"/>
        <w:rPr>
          <w:rFonts w:ascii="Arial" w:cs="Arial" w:eastAsia="Arial" w:hAnsi="Arial"/>
          <w:sz w:val="13"/>
          <w:szCs w:val="13"/>
          <w:color w:val="0067B3"/>
        </w:rPr>
      </w:pPr>
    </w:p>
    <w:p>
      <w:pPr>
        <w:ind w:left="160" w:hanging="152"/>
        <w:spacing w:after="0"/>
        <w:tabs>
          <w:tab w:leader="none" w:pos="160" w:val="left"/>
        </w:tabs>
        <w:numPr>
          <w:ilvl w:val="0"/>
          <w:numId w:val="158"/>
        </w:numPr>
        <w:rPr>
          <w:rFonts w:ascii="Arial" w:cs="Arial" w:eastAsia="Arial" w:hAnsi="Arial"/>
          <w:sz w:val="13"/>
          <w:szCs w:val="13"/>
          <w:color w:val="0067B3"/>
        </w:rPr>
      </w:pPr>
      <w:r>
        <w:rPr>
          <w:rFonts w:ascii="Arial" w:cs="Arial" w:eastAsia="Arial" w:hAnsi="Arial"/>
          <w:sz w:val="18"/>
          <w:szCs w:val="18"/>
          <w:color w:val="auto"/>
        </w:rPr>
        <w:t>Annual election of directors</w:t>
      </w:r>
    </w:p>
    <w:p>
      <w:pPr>
        <w:spacing w:after="0" w:line="90" w:lineRule="exact"/>
        <w:rPr>
          <w:rFonts w:ascii="Arial" w:cs="Arial" w:eastAsia="Arial" w:hAnsi="Arial"/>
          <w:sz w:val="13"/>
          <w:szCs w:val="13"/>
          <w:color w:val="0067B3"/>
        </w:rPr>
      </w:pPr>
    </w:p>
    <w:p>
      <w:pPr>
        <w:ind w:left="200" w:right="600" w:hanging="192"/>
        <w:spacing w:after="0" w:line="287" w:lineRule="auto"/>
        <w:tabs>
          <w:tab w:leader="none" w:pos="157" w:val="left"/>
        </w:tabs>
        <w:numPr>
          <w:ilvl w:val="0"/>
          <w:numId w:val="158"/>
        </w:numPr>
        <w:rPr>
          <w:rFonts w:ascii="Arial" w:cs="Arial" w:eastAsia="Arial" w:hAnsi="Arial"/>
          <w:sz w:val="13"/>
          <w:szCs w:val="13"/>
          <w:color w:val="0067B3"/>
        </w:rPr>
      </w:pPr>
      <w:r>
        <w:rPr>
          <w:rFonts w:ascii="Arial" w:cs="Arial" w:eastAsia="Arial" w:hAnsi="Arial"/>
          <w:sz w:val="18"/>
          <w:szCs w:val="18"/>
          <w:color w:val="auto"/>
        </w:rPr>
        <w:t>Majority voting for directors in uncontested director elections, with incumbent directors who fail to receive the required majority vote required to tender their resignation for consideration by the Board of Directors</w:t>
      </w:r>
    </w:p>
    <w:p>
      <w:pPr>
        <w:spacing w:after="0" w:line="4" w:lineRule="exact"/>
        <w:rPr>
          <w:rFonts w:ascii="Arial" w:cs="Arial" w:eastAsia="Arial" w:hAnsi="Arial"/>
          <w:sz w:val="13"/>
          <w:szCs w:val="13"/>
          <w:color w:val="0067B3"/>
        </w:rPr>
      </w:pPr>
    </w:p>
    <w:p>
      <w:pPr>
        <w:ind w:left="200" w:hanging="192"/>
        <w:spacing w:after="0" w:line="287" w:lineRule="auto"/>
        <w:tabs>
          <w:tab w:leader="none" w:pos="157" w:val="left"/>
        </w:tabs>
        <w:numPr>
          <w:ilvl w:val="0"/>
          <w:numId w:val="158"/>
        </w:numPr>
        <w:rPr>
          <w:rFonts w:ascii="Arial" w:cs="Arial" w:eastAsia="Arial" w:hAnsi="Arial"/>
          <w:sz w:val="13"/>
          <w:szCs w:val="13"/>
          <w:color w:val="0067B3"/>
        </w:rPr>
      </w:pPr>
      <w:r>
        <w:rPr>
          <w:rFonts w:ascii="Arial" w:cs="Arial" w:eastAsia="Arial" w:hAnsi="Arial"/>
          <w:sz w:val="18"/>
          <w:szCs w:val="18"/>
          <w:color w:val="auto"/>
        </w:rPr>
        <w:t>Strong Board refreshment and effective director succession planning, resulting in average tenure of independent director nominees of 3.75 years</w:t>
      </w:r>
    </w:p>
    <w:p>
      <w:pPr>
        <w:spacing w:after="0" w:line="4" w:lineRule="exact"/>
        <w:rPr>
          <w:rFonts w:ascii="Arial" w:cs="Arial" w:eastAsia="Arial" w:hAnsi="Arial"/>
          <w:sz w:val="13"/>
          <w:szCs w:val="13"/>
          <w:color w:val="0067B3"/>
        </w:rPr>
      </w:pPr>
    </w:p>
    <w:p>
      <w:pPr>
        <w:ind w:left="160" w:hanging="152"/>
        <w:spacing w:after="0"/>
        <w:tabs>
          <w:tab w:leader="none" w:pos="160" w:val="left"/>
        </w:tabs>
        <w:numPr>
          <w:ilvl w:val="0"/>
          <w:numId w:val="158"/>
        </w:numPr>
        <w:rPr>
          <w:rFonts w:ascii="Arial" w:cs="Arial" w:eastAsia="Arial" w:hAnsi="Arial"/>
          <w:sz w:val="13"/>
          <w:szCs w:val="13"/>
          <w:color w:val="0067B3"/>
        </w:rPr>
      </w:pPr>
      <w:r>
        <w:rPr>
          <w:rFonts w:ascii="Arial" w:cs="Arial" w:eastAsia="Arial" w:hAnsi="Arial"/>
          <w:sz w:val="18"/>
          <w:szCs w:val="18"/>
          <w:color w:val="auto"/>
        </w:rPr>
        <w:t>Proxy access right to nominate directors</w:t>
      </w:r>
    </w:p>
    <w:p>
      <w:pPr>
        <w:spacing w:after="0" w:line="90" w:lineRule="exact"/>
        <w:rPr>
          <w:rFonts w:ascii="Arial" w:cs="Arial" w:eastAsia="Arial" w:hAnsi="Arial"/>
          <w:sz w:val="13"/>
          <w:szCs w:val="13"/>
          <w:color w:val="0067B3"/>
        </w:rPr>
      </w:pPr>
    </w:p>
    <w:p>
      <w:pPr>
        <w:ind w:left="160" w:hanging="152"/>
        <w:spacing w:after="0"/>
        <w:tabs>
          <w:tab w:leader="none" w:pos="160" w:val="left"/>
        </w:tabs>
        <w:numPr>
          <w:ilvl w:val="0"/>
          <w:numId w:val="158"/>
        </w:numPr>
        <w:rPr>
          <w:rFonts w:ascii="Arial" w:cs="Arial" w:eastAsia="Arial" w:hAnsi="Arial"/>
          <w:sz w:val="13"/>
          <w:szCs w:val="13"/>
          <w:color w:val="0067B3"/>
        </w:rPr>
      </w:pPr>
      <w:r>
        <w:rPr>
          <w:rFonts w:ascii="Arial" w:cs="Arial" w:eastAsia="Arial" w:hAnsi="Arial"/>
          <w:sz w:val="18"/>
          <w:szCs w:val="18"/>
          <w:color w:val="auto"/>
        </w:rPr>
        <w:t>Regular executive sessions of independent directors</w:t>
      </w:r>
    </w:p>
    <w:p>
      <w:pPr>
        <w:spacing w:after="0" w:line="76" w:lineRule="exact"/>
        <w:rPr>
          <w:rFonts w:ascii="Arial" w:cs="Arial" w:eastAsia="Arial" w:hAnsi="Arial"/>
          <w:sz w:val="13"/>
          <w:szCs w:val="13"/>
          <w:color w:val="0067B3"/>
        </w:rPr>
      </w:pPr>
    </w:p>
    <w:p>
      <w:pPr>
        <w:ind w:left="160" w:hanging="152"/>
        <w:spacing w:after="0"/>
        <w:tabs>
          <w:tab w:leader="none" w:pos="160" w:val="left"/>
        </w:tabs>
        <w:numPr>
          <w:ilvl w:val="0"/>
          <w:numId w:val="158"/>
        </w:numPr>
        <w:rPr>
          <w:rFonts w:ascii="Arial" w:cs="Arial" w:eastAsia="Arial" w:hAnsi="Arial"/>
          <w:sz w:val="13"/>
          <w:szCs w:val="13"/>
          <w:color w:val="0067B3"/>
        </w:rPr>
      </w:pPr>
      <w:r>
        <w:rPr>
          <w:rFonts w:ascii="Arial" w:cs="Arial" w:eastAsia="Arial" w:hAnsi="Arial"/>
          <w:sz w:val="18"/>
          <w:szCs w:val="18"/>
          <w:color w:val="auto"/>
        </w:rPr>
        <w:t>Rigorous stock ownership requirements for directors and executives</w:t>
      </w:r>
    </w:p>
    <w:p>
      <w:pPr>
        <w:spacing w:after="0" w:line="76" w:lineRule="exact"/>
        <w:rPr>
          <w:rFonts w:ascii="Arial" w:cs="Arial" w:eastAsia="Arial" w:hAnsi="Arial"/>
          <w:sz w:val="13"/>
          <w:szCs w:val="13"/>
          <w:color w:val="0067B3"/>
        </w:rPr>
      </w:pPr>
    </w:p>
    <w:p>
      <w:pPr>
        <w:ind w:left="160" w:hanging="152"/>
        <w:spacing w:after="0"/>
        <w:tabs>
          <w:tab w:leader="none" w:pos="160" w:val="left"/>
        </w:tabs>
        <w:numPr>
          <w:ilvl w:val="0"/>
          <w:numId w:val="158"/>
        </w:numPr>
        <w:rPr>
          <w:rFonts w:ascii="Arial" w:cs="Arial" w:eastAsia="Arial" w:hAnsi="Arial"/>
          <w:sz w:val="13"/>
          <w:szCs w:val="13"/>
          <w:color w:val="0067B3"/>
        </w:rPr>
      </w:pPr>
      <w:r>
        <w:rPr>
          <w:rFonts w:ascii="Arial" w:cs="Arial" w:eastAsia="Arial" w:hAnsi="Arial"/>
          <w:sz w:val="18"/>
          <w:szCs w:val="18"/>
          <w:color w:val="auto"/>
        </w:rPr>
        <w:t>Clawback policy for CEO and other officers</w:t>
      </w:r>
    </w:p>
    <w:p>
      <w:pPr>
        <w:spacing w:after="0" w:line="90" w:lineRule="exact"/>
        <w:rPr>
          <w:rFonts w:ascii="Arial" w:cs="Arial" w:eastAsia="Arial" w:hAnsi="Arial"/>
          <w:sz w:val="13"/>
          <w:szCs w:val="13"/>
          <w:color w:val="0067B3"/>
        </w:rPr>
      </w:pPr>
    </w:p>
    <w:p>
      <w:pPr>
        <w:ind w:left="160" w:hanging="152"/>
        <w:spacing w:after="0"/>
        <w:tabs>
          <w:tab w:leader="none" w:pos="160" w:val="left"/>
        </w:tabs>
        <w:numPr>
          <w:ilvl w:val="0"/>
          <w:numId w:val="158"/>
        </w:numPr>
        <w:rPr>
          <w:rFonts w:ascii="Arial" w:cs="Arial" w:eastAsia="Arial" w:hAnsi="Arial"/>
          <w:sz w:val="13"/>
          <w:szCs w:val="13"/>
          <w:color w:val="0067B3"/>
        </w:rPr>
      </w:pPr>
      <w:r>
        <w:rPr>
          <w:rFonts w:ascii="Arial" w:cs="Arial" w:eastAsia="Arial" w:hAnsi="Arial"/>
          <w:sz w:val="18"/>
          <w:szCs w:val="18"/>
          <w:color w:val="auto"/>
        </w:rPr>
        <w:t>Active engagement by our Board of Directors in overseeing talent and long-term succession planning for executives</w:t>
      </w:r>
    </w:p>
    <w:p>
      <w:pPr>
        <w:spacing w:after="0" w:line="76" w:lineRule="exact"/>
        <w:rPr>
          <w:rFonts w:ascii="Arial" w:cs="Arial" w:eastAsia="Arial" w:hAnsi="Arial"/>
          <w:sz w:val="13"/>
          <w:szCs w:val="13"/>
          <w:color w:val="0067B3"/>
        </w:rPr>
      </w:pPr>
    </w:p>
    <w:p>
      <w:pPr>
        <w:ind w:left="160" w:hanging="152"/>
        <w:spacing w:after="0"/>
        <w:tabs>
          <w:tab w:leader="none" w:pos="160" w:val="left"/>
        </w:tabs>
        <w:numPr>
          <w:ilvl w:val="0"/>
          <w:numId w:val="158"/>
        </w:numPr>
        <w:rPr>
          <w:rFonts w:ascii="Arial" w:cs="Arial" w:eastAsia="Arial" w:hAnsi="Arial"/>
          <w:sz w:val="13"/>
          <w:szCs w:val="13"/>
          <w:color w:val="0067B3"/>
        </w:rPr>
      </w:pPr>
      <w:r>
        <w:rPr>
          <w:rFonts w:ascii="Arial" w:cs="Arial" w:eastAsia="Arial" w:hAnsi="Arial"/>
          <w:sz w:val="18"/>
          <w:szCs w:val="18"/>
          <w:color w:val="auto"/>
        </w:rPr>
        <w:t>Annual Board of Directors and committee self-evaluations</w:t>
      </w:r>
    </w:p>
    <w:p>
      <w:pPr>
        <w:spacing w:after="0" w:line="76" w:lineRule="exact"/>
        <w:rPr>
          <w:rFonts w:ascii="Arial" w:cs="Arial" w:eastAsia="Arial" w:hAnsi="Arial"/>
          <w:sz w:val="13"/>
          <w:szCs w:val="13"/>
          <w:color w:val="0067B3"/>
        </w:rPr>
      </w:pPr>
    </w:p>
    <w:p>
      <w:pPr>
        <w:ind w:left="160" w:hanging="152"/>
        <w:spacing w:after="0"/>
        <w:tabs>
          <w:tab w:leader="none" w:pos="160" w:val="left"/>
        </w:tabs>
        <w:numPr>
          <w:ilvl w:val="0"/>
          <w:numId w:val="158"/>
        </w:numPr>
        <w:rPr>
          <w:rFonts w:ascii="Arial" w:cs="Arial" w:eastAsia="Arial" w:hAnsi="Arial"/>
          <w:sz w:val="13"/>
          <w:szCs w:val="13"/>
          <w:color w:val="0067B3"/>
        </w:rPr>
      </w:pPr>
      <w:r>
        <w:rPr>
          <w:rFonts w:ascii="Arial" w:cs="Arial" w:eastAsia="Arial" w:hAnsi="Arial"/>
          <w:sz w:val="18"/>
          <w:szCs w:val="18"/>
          <w:color w:val="auto"/>
        </w:rPr>
        <w:t>No dual class of stock or controlling shareholder</w:t>
      </w:r>
    </w:p>
    <w:p>
      <w:pPr>
        <w:spacing w:after="0" w:line="117" w:lineRule="exact"/>
        <w:rPr>
          <w:sz w:val="20"/>
          <w:szCs w:val="20"/>
          <w:color w:val="auto"/>
        </w:rPr>
      </w:pPr>
    </w:p>
    <w:p>
      <w:pPr>
        <w:ind w:right="180"/>
        <w:spacing w:after="0" w:line="287" w:lineRule="auto"/>
        <w:rPr>
          <w:sz w:val="20"/>
          <w:szCs w:val="20"/>
          <w:color w:val="auto"/>
        </w:rPr>
      </w:pPr>
      <w:r>
        <w:rPr>
          <w:rFonts w:ascii="Arial" w:cs="Arial" w:eastAsia="Arial" w:hAnsi="Arial"/>
          <w:sz w:val="18"/>
          <w:szCs w:val="18"/>
          <w:color w:val="auto"/>
        </w:rPr>
        <w:t>For these reasons, the Board of Directors believes that the adoption of this proposal is not in the best interests of ADI and its shareholders and recommends a vote AGAINST this proposal.</w:t>
      </w:r>
    </w:p>
    <w:p>
      <w:pPr>
        <w:spacing w:after="0" w:line="200" w:lineRule="exact"/>
        <w:rPr>
          <w:sz w:val="20"/>
          <w:szCs w:val="20"/>
          <w:color w:val="auto"/>
        </w:rPr>
      </w:pPr>
    </w:p>
    <w:p>
      <w:pPr>
        <w:spacing w:after="0" w:line="266" w:lineRule="exact"/>
        <w:rPr>
          <w:sz w:val="20"/>
          <w:szCs w:val="20"/>
          <w:color w:val="auto"/>
        </w:rPr>
      </w:pPr>
    </w:p>
    <w:p>
      <w:pPr>
        <w:ind w:left="640" w:hanging="614"/>
        <w:spacing w:after="0"/>
        <w:tabs>
          <w:tab w:leader="none" w:pos="640" w:val="left"/>
        </w:tabs>
        <w:numPr>
          <w:ilvl w:val="0"/>
          <w:numId w:val="159"/>
        </w:numPr>
        <w:rPr>
          <w:rFonts w:ascii="Arial" w:cs="Arial" w:eastAsia="Arial" w:hAnsi="Arial"/>
          <w:sz w:val="20"/>
          <w:szCs w:val="20"/>
          <w:b w:val="1"/>
          <w:bCs w:val="1"/>
          <w:color w:val="auto"/>
        </w:rPr>
      </w:pPr>
      <w:r>
        <w:rPr>
          <w:rFonts w:ascii="Arial" w:cs="Arial" w:eastAsia="Arial" w:hAnsi="Arial"/>
          <w:sz w:val="16"/>
          <w:szCs w:val="16"/>
          <w:color w:val="6D6E71"/>
        </w:rPr>
        <w:t>Proposal 5: Shareholder Proposal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194310</wp:posOffset>
            </wp:positionV>
            <wp:extent cx="7157720" cy="42545"/>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3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174" w:right="419" w:bottom="1440" w:gutter="0" w:footer="0" w:header="0"/>
        </w:sectPr>
      </w:pPr>
    </w:p>
    <w:bookmarkStart w:id="100" w:name="page101"/>
    <w:bookmarkEnd w:id="100"/>
    <w:p>
      <w:pPr>
        <w:spacing w:after="0"/>
        <w:rPr>
          <w:sz w:val="20"/>
          <w:szCs w:val="20"/>
          <w:color w:val="auto"/>
        </w:rPr>
      </w:pPr>
      <w:r>
        <w:rPr>
          <w:rFonts w:ascii="Arial" w:cs="Arial" w:eastAsia="Arial" w:hAnsi="Arial"/>
          <w:sz w:val="58"/>
          <w:szCs w:val="58"/>
          <w:color w:val="auto"/>
        </w:rPr>
        <w:t>Q&amp;A About Annual Meeting and Voting</w:t>
      </w:r>
    </w:p>
    <w:p>
      <w:pPr>
        <w:spacing w:after="0" w:line="200" w:lineRule="exact"/>
        <w:rPr>
          <w:sz w:val="20"/>
          <w:szCs w:val="20"/>
          <w:color w:val="auto"/>
        </w:rPr>
      </w:pP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color w:val="0067B3"/>
        </w:rPr>
        <w:t>Q: What is the purpose of the Annual Meeting?</w:t>
      </w:r>
    </w:p>
    <w:p>
      <w:pPr>
        <w:spacing w:after="0" w:line="117" w:lineRule="exact"/>
        <w:rPr>
          <w:sz w:val="20"/>
          <w:szCs w:val="20"/>
          <w:color w:val="auto"/>
        </w:rPr>
      </w:pPr>
    </w:p>
    <w:p>
      <w:pPr>
        <w:ind w:left="300" w:hanging="292"/>
        <w:spacing w:after="0"/>
        <w:tabs>
          <w:tab w:leader="none" w:pos="300" w:val="left"/>
        </w:tabs>
        <w:numPr>
          <w:ilvl w:val="0"/>
          <w:numId w:val="160"/>
        </w:numPr>
        <w:rPr>
          <w:rFonts w:ascii="Arial" w:cs="Arial" w:eastAsia="Arial" w:hAnsi="Arial"/>
          <w:sz w:val="18"/>
          <w:szCs w:val="18"/>
          <w:b w:val="1"/>
          <w:bCs w:val="1"/>
          <w:color w:val="0067B3"/>
        </w:rPr>
      </w:pPr>
      <w:r>
        <w:rPr>
          <w:rFonts w:ascii="Arial" w:cs="Arial" w:eastAsia="Arial" w:hAnsi="Arial"/>
          <w:sz w:val="18"/>
          <w:szCs w:val="18"/>
          <w:color w:val="auto"/>
        </w:rPr>
        <w:t>At the Annual Meeting, shareholders will consider and vote on the following matters:</w:t>
      </w:r>
    </w:p>
    <w:p>
      <w:pPr>
        <w:spacing w:after="0" w:line="117" w:lineRule="exact"/>
        <w:rPr>
          <w:rFonts w:ascii="Arial" w:cs="Arial" w:eastAsia="Arial" w:hAnsi="Arial"/>
          <w:sz w:val="18"/>
          <w:szCs w:val="18"/>
          <w:b w:val="1"/>
          <w:bCs w:val="1"/>
          <w:color w:val="0067B3"/>
        </w:rPr>
      </w:pPr>
    </w:p>
    <w:p>
      <w:pPr>
        <w:ind w:left="520" w:right="140" w:hanging="253"/>
        <w:spacing w:after="0" w:line="287" w:lineRule="auto"/>
        <w:tabs>
          <w:tab w:leader="none" w:pos="546" w:val="left"/>
        </w:tabs>
        <w:numPr>
          <w:ilvl w:val="1"/>
          <w:numId w:val="160"/>
        </w:numPr>
        <w:rPr>
          <w:rFonts w:ascii="Arial" w:cs="Arial" w:eastAsia="Arial" w:hAnsi="Arial"/>
          <w:sz w:val="18"/>
          <w:szCs w:val="18"/>
          <w:b w:val="1"/>
          <w:bCs w:val="1"/>
          <w:color w:val="0067B3"/>
        </w:rPr>
      </w:pPr>
      <w:r>
        <w:rPr>
          <w:rFonts w:ascii="Arial" w:cs="Arial" w:eastAsia="Arial" w:hAnsi="Arial"/>
          <w:sz w:val="18"/>
          <w:szCs w:val="18"/>
          <w:color w:val="auto"/>
        </w:rPr>
        <w:t>The election of the 10 nominees named in this Proxy Statement to our Board of Directors, each for a term expiring at the next annual meeting of shareholders.</w:t>
      </w:r>
    </w:p>
    <w:p>
      <w:pPr>
        <w:spacing w:after="0" w:line="17" w:lineRule="exact"/>
        <w:rPr>
          <w:rFonts w:ascii="Arial" w:cs="Arial" w:eastAsia="Arial" w:hAnsi="Arial"/>
          <w:sz w:val="18"/>
          <w:szCs w:val="18"/>
          <w:b w:val="1"/>
          <w:bCs w:val="1"/>
          <w:color w:val="0067B3"/>
        </w:rPr>
      </w:pPr>
    </w:p>
    <w:p>
      <w:pPr>
        <w:ind w:left="520" w:right="60" w:hanging="253"/>
        <w:spacing w:after="0" w:line="287" w:lineRule="auto"/>
        <w:tabs>
          <w:tab w:leader="none" w:pos="546" w:val="left"/>
        </w:tabs>
        <w:numPr>
          <w:ilvl w:val="1"/>
          <w:numId w:val="160"/>
        </w:numPr>
        <w:rPr>
          <w:rFonts w:ascii="Arial" w:cs="Arial" w:eastAsia="Arial" w:hAnsi="Arial"/>
          <w:sz w:val="18"/>
          <w:szCs w:val="18"/>
          <w:b w:val="1"/>
          <w:bCs w:val="1"/>
          <w:color w:val="0067B3"/>
        </w:rPr>
      </w:pPr>
      <w:r>
        <w:rPr>
          <w:rFonts w:ascii="Arial" w:cs="Arial" w:eastAsia="Arial" w:hAnsi="Arial"/>
          <w:sz w:val="18"/>
          <w:szCs w:val="18"/>
          <w:color w:val="auto"/>
        </w:rPr>
        <w:t xml:space="preserve">The approval, by non-binding “say-on-pay” vote, of the compensation of our NEOs, as described in the </w:t>
      </w:r>
      <w:r>
        <w:rPr>
          <w:rFonts w:ascii="Arial" w:cs="Arial" w:eastAsia="Arial" w:hAnsi="Arial"/>
          <w:sz w:val="18"/>
          <w:szCs w:val="18"/>
          <w:i w:val="1"/>
          <w:iCs w:val="1"/>
          <w:color w:val="auto"/>
        </w:rPr>
        <w:t>Compensation Discussion and</w:t>
      </w:r>
      <w:r>
        <w:rPr>
          <w:rFonts w:ascii="Arial" w:cs="Arial" w:eastAsia="Arial" w:hAnsi="Arial"/>
          <w:sz w:val="18"/>
          <w:szCs w:val="18"/>
          <w:color w:val="auto"/>
        </w:rPr>
        <w:t xml:space="preserve"> </w:t>
      </w:r>
      <w:r>
        <w:rPr>
          <w:rFonts w:ascii="Arial" w:cs="Arial" w:eastAsia="Arial" w:hAnsi="Arial"/>
          <w:sz w:val="18"/>
          <w:szCs w:val="18"/>
          <w:i w:val="1"/>
          <w:iCs w:val="1"/>
          <w:color w:val="auto"/>
        </w:rPr>
        <w:t>Analysis</w:t>
      </w:r>
      <w:r>
        <w:rPr>
          <w:rFonts w:ascii="Arial" w:cs="Arial" w:eastAsia="Arial" w:hAnsi="Arial"/>
          <w:sz w:val="18"/>
          <w:szCs w:val="18"/>
          <w:color w:val="auto"/>
        </w:rPr>
        <w:t>, executive compensation tables, and accompanying narrative disclosures in this Proxy Statement.</w:t>
      </w:r>
    </w:p>
    <w:p>
      <w:pPr>
        <w:spacing w:after="0" w:line="4" w:lineRule="exact"/>
        <w:rPr>
          <w:rFonts w:ascii="Arial" w:cs="Arial" w:eastAsia="Arial" w:hAnsi="Arial"/>
          <w:sz w:val="18"/>
          <w:szCs w:val="18"/>
          <w:b w:val="1"/>
          <w:bCs w:val="1"/>
          <w:color w:val="0067B3"/>
        </w:rPr>
      </w:pPr>
    </w:p>
    <w:p>
      <w:pPr>
        <w:ind w:left="520" w:right="240" w:hanging="253"/>
        <w:spacing w:after="0" w:line="287" w:lineRule="auto"/>
        <w:tabs>
          <w:tab w:leader="none" w:pos="546" w:val="left"/>
        </w:tabs>
        <w:numPr>
          <w:ilvl w:val="1"/>
          <w:numId w:val="160"/>
        </w:numPr>
        <w:rPr>
          <w:rFonts w:ascii="Arial" w:cs="Arial" w:eastAsia="Arial" w:hAnsi="Arial"/>
          <w:sz w:val="18"/>
          <w:szCs w:val="18"/>
          <w:b w:val="1"/>
          <w:bCs w:val="1"/>
          <w:color w:val="0067B3"/>
        </w:rPr>
      </w:pPr>
      <w:r>
        <w:rPr>
          <w:rFonts w:ascii="Arial" w:cs="Arial" w:eastAsia="Arial" w:hAnsi="Arial"/>
          <w:sz w:val="18"/>
          <w:szCs w:val="18"/>
          <w:color w:val="auto"/>
        </w:rPr>
        <w:t>The ratification of the selection of Ernst &amp; Young LLP as our independent registered public accounting firm for the fiscal year ending October 31, 2026.</w:t>
      </w:r>
    </w:p>
    <w:p>
      <w:pPr>
        <w:spacing w:after="0" w:line="44" w:lineRule="exact"/>
        <w:rPr>
          <w:rFonts w:ascii="Arial" w:cs="Arial" w:eastAsia="Arial" w:hAnsi="Arial"/>
          <w:sz w:val="18"/>
          <w:szCs w:val="18"/>
          <w:b w:val="1"/>
          <w:bCs w:val="1"/>
          <w:color w:val="0067B3"/>
        </w:rPr>
      </w:pPr>
    </w:p>
    <w:p>
      <w:pPr>
        <w:ind w:left="560" w:hanging="293"/>
        <w:spacing w:after="0"/>
        <w:tabs>
          <w:tab w:leader="none" w:pos="560" w:val="left"/>
        </w:tabs>
        <w:numPr>
          <w:ilvl w:val="1"/>
          <w:numId w:val="160"/>
        </w:numPr>
        <w:rPr>
          <w:rFonts w:ascii="Arial" w:cs="Arial" w:eastAsia="Arial" w:hAnsi="Arial"/>
          <w:sz w:val="18"/>
          <w:szCs w:val="18"/>
          <w:b w:val="1"/>
          <w:bCs w:val="1"/>
          <w:color w:val="0067B3"/>
        </w:rPr>
      </w:pPr>
      <w:r>
        <w:rPr>
          <w:rFonts w:ascii="Arial" w:cs="Arial" w:eastAsia="Arial" w:hAnsi="Arial"/>
          <w:sz w:val="18"/>
          <w:szCs w:val="18"/>
          <w:color w:val="auto"/>
        </w:rPr>
        <w:t>The approval of the Amended and Restated Analog Devices, Inc. 2020 Equity Incentive Plan.</w:t>
      </w:r>
    </w:p>
    <w:p>
      <w:pPr>
        <w:spacing w:after="0" w:line="117" w:lineRule="exact"/>
        <w:rPr>
          <w:rFonts w:ascii="Arial" w:cs="Arial" w:eastAsia="Arial" w:hAnsi="Arial"/>
          <w:sz w:val="18"/>
          <w:szCs w:val="18"/>
          <w:b w:val="1"/>
          <w:bCs w:val="1"/>
          <w:color w:val="0067B3"/>
        </w:rPr>
      </w:pPr>
    </w:p>
    <w:p>
      <w:pPr>
        <w:ind w:left="560" w:hanging="293"/>
        <w:spacing w:after="0"/>
        <w:tabs>
          <w:tab w:leader="none" w:pos="560" w:val="left"/>
        </w:tabs>
        <w:numPr>
          <w:ilvl w:val="1"/>
          <w:numId w:val="160"/>
        </w:numPr>
        <w:rPr>
          <w:rFonts w:ascii="Arial" w:cs="Arial" w:eastAsia="Arial" w:hAnsi="Arial"/>
          <w:sz w:val="18"/>
          <w:szCs w:val="18"/>
          <w:b w:val="1"/>
          <w:bCs w:val="1"/>
          <w:color w:val="0067B3"/>
        </w:rPr>
      </w:pPr>
      <w:r>
        <w:rPr>
          <w:rFonts w:ascii="Arial" w:cs="Arial" w:eastAsia="Arial" w:hAnsi="Arial"/>
          <w:sz w:val="18"/>
          <w:szCs w:val="18"/>
          <w:color w:val="auto"/>
        </w:rPr>
        <w:t>A shareholder proposal, if properly presented at the Annual Meeting.</w:t>
      </w:r>
    </w:p>
    <w:p>
      <w:pPr>
        <w:spacing w:after="0" w:line="117" w:lineRule="exact"/>
        <w:rPr>
          <w:sz w:val="20"/>
          <w:szCs w:val="20"/>
          <w:color w:val="auto"/>
        </w:rPr>
      </w:pPr>
    </w:p>
    <w:p>
      <w:pPr>
        <w:ind w:left="260" w:right="440"/>
        <w:spacing w:after="0" w:line="287" w:lineRule="auto"/>
        <w:rPr>
          <w:sz w:val="20"/>
          <w:szCs w:val="20"/>
          <w:color w:val="auto"/>
        </w:rPr>
      </w:pPr>
      <w:r>
        <w:rPr>
          <w:rFonts w:ascii="Arial" w:cs="Arial" w:eastAsia="Arial" w:hAnsi="Arial"/>
          <w:sz w:val="18"/>
          <w:szCs w:val="18"/>
          <w:color w:val="auto"/>
        </w:rPr>
        <w:t>The shareholders will also act on any other business that may properly come before the meeting or any postponement, adjournment, rescheduling, or continuation of the Annual Meeting.</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0067B3"/>
        </w:rPr>
        <w:t>Q: Who can vote?</w:t>
      </w:r>
    </w:p>
    <w:p>
      <w:pPr>
        <w:spacing w:after="0" w:line="117" w:lineRule="exact"/>
        <w:rPr>
          <w:sz w:val="20"/>
          <w:szCs w:val="20"/>
          <w:color w:val="auto"/>
        </w:rPr>
      </w:pPr>
    </w:p>
    <w:p>
      <w:pPr>
        <w:ind w:left="260" w:right="40" w:hanging="252"/>
        <w:spacing w:after="0" w:line="268" w:lineRule="auto"/>
        <w:tabs>
          <w:tab w:leader="none" w:pos="285" w:val="left"/>
        </w:tabs>
        <w:numPr>
          <w:ilvl w:val="0"/>
          <w:numId w:val="161"/>
        </w:numPr>
        <w:rPr>
          <w:rFonts w:ascii="Arial" w:cs="Arial" w:eastAsia="Arial" w:hAnsi="Arial"/>
          <w:sz w:val="18"/>
          <w:szCs w:val="18"/>
          <w:b w:val="1"/>
          <w:bCs w:val="1"/>
          <w:color w:val="0067B3"/>
        </w:rPr>
      </w:pPr>
      <w:r>
        <w:rPr>
          <w:rFonts w:ascii="Arial" w:cs="Arial" w:eastAsia="Arial" w:hAnsi="Arial"/>
          <w:sz w:val="18"/>
          <w:szCs w:val="18"/>
          <w:color w:val="auto"/>
        </w:rPr>
        <w:t>To be able to vote, you must have been an ADI shareholder of record at the close of business on January 8, 2026. This date is the record date for the Annual Meeting. The number of shares entitled to vote on each proposal at the Annual Meeting is 488,628,595 shares of our common stock.</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0067B3"/>
        </w:rPr>
        <w:t>Q: How many votes do I have?</w:t>
      </w:r>
    </w:p>
    <w:p>
      <w:pPr>
        <w:spacing w:after="0" w:line="117" w:lineRule="exact"/>
        <w:rPr>
          <w:sz w:val="20"/>
          <w:szCs w:val="20"/>
          <w:color w:val="auto"/>
        </w:rPr>
      </w:pPr>
    </w:p>
    <w:p>
      <w:pPr>
        <w:ind w:left="300" w:hanging="292"/>
        <w:spacing w:after="0"/>
        <w:tabs>
          <w:tab w:leader="none" w:pos="300" w:val="left"/>
        </w:tabs>
        <w:numPr>
          <w:ilvl w:val="0"/>
          <w:numId w:val="162"/>
        </w:numPr>
        <w:rPr>
          <w:rFonts w:ascii="Arial" w:cs="Arial" w:eastAsia="Arial" w:hAnsi="Arial"/>
          <w:sz w:val="18"/>
          <w:szCs w:val="18"/>
          <w:b w:val="1"/>
          <w:bCs w:val="1"/>
          <w:color w:val="0067B3"/>
        </w:rPr>
      </w:pPr>
      <w:r>
        <w:rPr>
          <w:rFonts w:ascii="Arial" w:cs="Arial" w:eastAsia="Arial" w:hAnsi="Arial"/>
          <w:sz w:val="18"/>
          <w:szCs w:val="18"/>
          <w:color w:val="auto"/>
        </w:rPr>
        <w:t>Each share of our common stock that you own on the record date entitles you to one vote on each matter that is voted 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0067B3"/>
        </w:rPr>
        <w:t>Q: Is my vote important?</w:t>
      </w:r>
    </w:p>
    <w:p>
      <w:pPr>
        <w:spacing w:after="0" w:line="117" w:lineRule="exact"/>
        <w:rPr>
          <w:sz w:val="20"/>
          <w:szCs w:val="20"/>
          <w:color w:val="auto"/>
        </w:rPr>
      </w:pPr>
    </w:p>
    <w:p>
      <w:pPr>
        <w:ind w:left="260" w:right="300" w:hanging="252"/>
        <w:spacing w:after="0" w:line="287" w:lineRule="auto"/>
        <w:tabs>
          <w:tab w:leader="none" w:pos="285" w:val="left"/>
        </w:tabs>
        <w:numPr>
          <w:ilvl w:val="0"/>
          <w:numId w:val="163"/>
        </w:numPr>
        <w:rPr>
          <w:rFonts w:ascii="Arial" w:cs="Arial" w:eastAsia="Arial" w:hAnsi="Arial"/>
          <w:sz w:val="18"/>
          <w:szCs w:val="18"/>
          <w:b w:val="1"/>
          <w:bCs w:val="1"/>
          <w:color w:val="0067B3"/>
        </w:rPr>
      </w:pPr>
      <w:r>
        <w:rPr>
          <w:rFonts w:ascii="Arial" w:cs="Arial" w:eastAsia="Arial" w:hAnsi="Arial"/>
          <w:sz w:val="18"/>
          <w:szCs w:val="18"/>
          <w:color w:val="auto"/>
        </w:rPr>
        <w:t>Yes. Your vote is important no matter how many shares you own. Please take the time to vote. Take a moment to read the instructions below. Choose the way to vote that is easiest and most convenient for you and cast your vote as soon as possible.</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0067B3"/>
        </w:rPr>
        <w:t>Q: How do I vote?</w:t>
      </w:r>
    </w:p>
    <w:p>
      <w:pPr>
        <w:spacing w:after="0" w:line="117" w:lineRule="exact"/>
        <w:rPr>
          <w:sz w:val="20"/>
          <w:szCs w:val="20"/>
          <w:color w:val="auto"/>
        </w:rPr>
      </w:pPr>
    </w:p>
    <w:p>
      <w:pPr>
        <w:ind w:left="260" w:right="400" w:hanging="252"/>
        <w:spacing w:after="0" w:line="287" w:lineRule="auto"/>
        <w:tabs>
          <w:tab w:leader="none" w:pos="285" w:val="left"/>
        </w:tabs>
        <w:numPr>
          <w:ilvl w:val="0"/>
          <w:numId w:val="164"/>
        </w:numPr>
        <w:rPr>
          <w:rFonts w:ascii="Arial" w:cs="Arial" w:eastAsia="Arial" w:hAnsi="Arial"/>
          <w:sz w:val="18"/>
          <w:szCs w:val="18"/>
          <w:b w:val="1"/>
          <w:bCs w:val="1"/>
          <w:color w:val="0067B3"/>
        </w:rPr>
      </w:pPr>
      <w:r>
        <w:rPr>
          <w:rFonts w:ascii="Arial" w:cs="Arial" w:eastAsia="Arial" w:hAnsi="Arial"/>
          <w:sz w:val="18"/>
          <w:szCs w:val="18"/>
          <w:color w:val="auto"/>
        </w:rPr>
        <w:t>If you are the “record holder” of your shares, meaning that you own your shares in your own name and not through a bank, broker, or other nominee, you may vote in one of four ways.</w:t>
      </w:r>
    </w:p>
    <w:p>
      <w:pPr>
        <w:spacing w:after="0" w:line="44" w:lineRule="exact"/>
        <w:rPr>
          <w:rFonts w:ascii="Arial" w:cs="Arial" w:eastAsia="Arial" w:hAnsi="Arial"/>
          <w:sz w:val="18"/>
          <w:szCs w:val="18"/>
          <w:b w:val="1"/>
          <w:bCs w:val="1"/>
          <w:color w:val="0067B3"/>
        </w:rPr>
      </w:pPr>
    </w:p>
    <w:p>
      <w:pPr>
        <w:ind w:left="520" w:right="20" w:hanging="253"/>
        <w:spacing w:after="0" w:line="268" w:lineRule="auto"/>
        <w:tabs>
          <w:tab w:leader="none" w:pos="546" w:val="left"/>
        </w:tabs>
        <w:numPr>
          <w:ilvl w:val="1"/>
          <w:numId w:val="164"/>
        </w:numPr>
        <w:rPr>
          <w:rFonts w:ascii="Arial" w:cs="Arial" w:eastAsia="Arial" w:hAnsi="Arial"/>
          <w:sz w:val="18"/>
          <w:szCs w:val="18"/>
          <w:b w:val="1"/>
          <w:bCs w:val="1"/>
          <w:color w:val="0067B3"/>
        </w:rPr>
      </w:pPr>
      <w:r>
        <w:rPr>
          <w:rFonts w:ascii="Arial" w:cs="Arial" w:eastAsia="Arial" w:hAnsi="Arial"/>
          <w:sz w:val="18"/>
          <w:szCs w:val="18"/>
          <w:color w:val="auto"/>
        </w:rPr>
        <w:t xml:space="preserve">By Internet. If you have Internet access, you may vote by proxy from any location in the world by going to </w:t>
      </w:r>
      <w:r>
        <w:rPr>
          <w:rFonts w:ascii="Arial" w:cs="Arial" w:eastAsia="Arial" w:hAnsi="Arial"/>
          <w:sz w:val="18"/>
          <w:szCs w:val="18"/>
          <w:color w:val="0067B3"/>
        </w:rPr>
        <w:t>proxyvote.com</w:t>
      </w:r>
      <w:r>
        <w:rPr>
          <w:rFonts w:ascii="Arial" w:cs="Arial" w:eastAsia="Arial" w:hAnsi="Arial"/>
          <w:sz w:val="18"/>
          <w:szCs w:val="18"/>
          <w:color w:val="auto"/>
        </w:rPr>
        <w:t xml:space="preserve"> and following the Internet voting instructions on the Notice of Internet Availability of Proxy Materials or the proxy card. Proxies submitted via the Internet must be received by 11:59 p.m. Eastern Time on March 10, 2026.</w:t>
      </w:r>
    </w:p>
    <w:p>
      <w:pPr>
        <w:spacing w:after="0" w:line="22" w:lineRule="exact"/>
        <w:rPr>
          <w:rFonts w:ascii="Arial" w:cs="Arial" w:eastAsia="Arial" w:hAnsi="Arial"/>
          <w:sz w:val="18"/>
          <w:szCs w:val="18"/>
          <w:b w:val="1"/>
          <w:bCs w:val="1"/>
          <w:color w:val="0067B3"/>
        </w:rPr>
      </w:pPr>
    </w:p>
    <w:p>
      <w:pPr>
        <w:ind w:left="520" w:right="60" w:hanging="253"/>
        <w:spacing w:after="0" w:line="268" w:lineRule="auto"/>
        <w:tabs>
          <w:tab w:leader="none" w:pos="546" w:val="left"/>
        </w:tabs>
        <w:numPr>
          <w:ilvl w:val="1"/>
          <w:numId w:val="164"/>
        </w:numPr>
        <w:rPr>
          <w:rFonts w:ascii="Arial" w:cs="Arial" w:eastAsia="Arial" w:hAnsi="Arial"/>
          <w:sz w:val="18"/>
          <w:szCs w:val="18"/>
          <w:b w:val="1"/>
          <w:bCs w:val="1"/>
          <w:color w:val="0067B3"/>
        </w:rPr>
      </w:pPr>
      <w:r>
        <w:rPr>
          <w:rFonts w:ascii="Arial" w:cs="Arial" w:eastAsia="Arial" w:hAnsi="Arial"/>
          <w:sz w:val="18"/>
          <w:szCs w:val="18"/>
          <w:color w:val="auto"/>
        </w:rPr>
        <w:t>By telephone. You may vote by proxy by calling 1-800-690-6903 toll-free within the United States, U.S. territories and Canada and following the instructions provided by the recorded message. Proxies submitted via telephone must be received by 11:59 p.m. Eastern Time, on March 10, 2026.</w:t>
      </w:r>
    </w:p>
    <w:p>
      <w:pPr>
        <w:spacing w:after="0" w:line="35" w:lineRule="exact"/>
        <w:rPr>
          <w:rFonts w:ascii="Arial" w:cs="Arial" w:eastAsia="Arial" w:hAnsi="Arial"/>
          <w:sz w:val="18"/>
          <w:szCs w:val="18"/>
          <w:b w:val="1"/>
          <w:bCs w:val="1"/>
          <w:color w:val="0067B3"/>
        </w:rPr>
      </w:pPr>
    </w:p>
    <w:p>
      <w:pPr>
        <w:ind w:left="520" w:hanging="253"/>
        <w:spacing w:after="0" w:line="257" w:lineRule="auto"/>
        <w:tabs>
          <w:tab w:leader="none" w:pos="546" w:val="left"/>
        </w:tabs>
        <w:numPr>
          <w:ilvl w:val="1"/>
          <w:numId w:val="164"/>
        </w:numPr>
        <w:rPr>
          <w:rFonts w:ascii="Arial" w:cs="Arial" w:eastAsia="Arial" w:hAnsi="Arial"/>
          <w:sz w:val="18"/>
          <w:szCs w:val="18"/>
          <w:b w:val="1"/>
          <w:bCs w:val="1"/>
          <w:color w:val="0067B3"/>
        </w:rPr>
      </w:pPr>
      <w:r>
        <w:rPr>
          <w:rFonts w:ascii="Arial" w:cs="Arial" w:eastAsia="Arial" w:hAnsi="Arial"/>
          <w:sz w:val="18"/>
          <w:szCs w:val="18"/>
          <w:color w:val="auto"/>
        </w:rPr>
        <w:t xml:space="preserve">By mail. If you received a printed proxy card, you may vote by proxy by completing and signing the proxy card and promptly mailing it in the enclosed postage-prepaid envelope. You do not need to put a stamp on the enclosed envelope if you mail it in the United States. The shares you own will be voted according to your instructions on the proxy card that you mail. </w:t>
      </w:r>
      <w:r>
        <w:rPr>
          <w:rFonts w:ascii="Arial" w:cs="Arial" w:eastAsia="Arial" w:hAnsi="Arial"/>
          <w:sz w:val="18"/>
          <w:szCs w:val="18"/>
          <w:b w:val="1"/>
          <w:bCs w:val="1"/>
          <w:color w:val="auto"/>
        </w:rPr>
        <w:t>If you return the proxy card, but do</w:t>
      </w:r>
      <w:r>
        <w:rPr>
          <w:rFonts w:ascii="Arial" w:cs="Arial" w:eastAsia="Arial" w:hAnsi="Arial"/>
          <w:sz w:val="18"/>
          <w:szCs w:val="18"/>
          <w:color w:val="auto"/>
        </w:rPr>
        <w:t xml:space="preserve"> </w:t>
      </w:r>
      <w:r>
        <w:rPr>
          <w:rFonts w:ascii="Arial" w:cs="Arial" w:eastAsia="Arial" w:hAnsi="Arial"/>
          <w:sz w:val="18"/>
          <w:szCs w:val="18"/>
          <w:b w:val="1"/>
          <w:bCs w:val="1"/>
          <w:color w:val="auto"/>
        </w:rPr>
        <w:t xml:space="preserve">not give any instructions on a particular matter described in this Proxy Statement, the shares you own will be voted in accordance with the recommendations of our Board of Directors. </w:t>
      </w:r>
      <w:r>
        <w:rPr>
          <w:rFonts w:ascii="Arial" w:cs="Arial" w:eastAsia="Arial" w:hAnsi="Arial"/>
          <w:sz w:val="18"/>
          <w:szCs w:val="18"/>
          <w:color w:val="auto"/>
        </w:rPr>
        <w:t>The Board of Directors recommends that you vote FOR each</w:t>
      </w:r>
      <w:r>
        <w:rPr>
          <w:rFonts w:ascii="Arial" w:cs="Arial" w:eastAsia="Arial" w:hAnsi="Arial"/>
          <w:sz w:val="18"/>
          <w:szCs w:val="18"/>
          <w:b w:val="1"/>
          <w:bCs w:val="1"/>
          <w:color w:val="auto"/>
        </w:rPr>
        <w:t xml:space="preserve"> </w:t>
      </w:r>
      <w:r>
        <w:rPr>
          <w:rFonts w:ascii="Arial" w:cs="Arial" w:eastAsia="Arial" w:hAnsi="Arial"/>
          <w:sz w:val="18"/>
          <w:szCs w:val="18"/>
          <w:color w:val="auto"/>
        </w:rPr>
        <w:t>director nominee, FOR each of Proposals 2, 3, and 4, and AGAINST Proposal 5.</w:t>
      </w:r>
    </w:p>
    <w:p>
      <w:pPr>
        <w:spacing w:after="0" w:line="33" w:lineRule="exact"/>
        <w:rPr>
          <w:rFonts w:ascii="Arial" w:cs="Arial" w:eastAsia="Arial" w:hAnsi="Arial"/>
          <w:sz w:val="18"/>
          <w:szCs w:val="18"/>
          <w:b w:val="1"/>
          <w:bCs w:val="1"/>
          <w:color w:val="0067B3"/>
        </w:rPr>
      </w:pPr>
    </w:p>
    <w:p>
      <w:pPr>
        <w:ind w:left="520" w:hanging="253"/>
        <w:spacing w:after="0" w:line="287" w:lineRule="auto"/>
        <w:tabs>
          <w:tab w:leader="none" w:pos="546" w:val="left"/>
        </w:tabs>
        <w:numPr>
          <w:ilvl w:val="1"/>
          <w:numId w:val="164"/>
        </w:numPr>
        <w:rPr>
          <w:rFonts w:ascii="Arial" w:cs="Arial" w:eastAsia="Arial" w:hAnsi="Arial"/>
          <w:sz w:val="18"/>
          <w:szCs w:val="18"/>
          <w:b w:val="1"/>
          <w:bCs w:val="1"/>
          <w:color w:val="0067B3"/>
        </w:rPr>
      </w:pPr>
      <w:r>
        <w:rPr>
          <w:rFonts w:ascii="Arial" w:cs="Arial" w:eastAsia="Arial" w:hAnsi="Arial"/>
          <w:sz w:val="18"/>
          <w:szCs w:val="18"/>
          <w:color w:val="auto"/>
        </w:rPr>
        <w:t>In person. If you attend the Annual Meeting, you may vote by delivering your completed proxy card in person or by completing a ballot. Ballots will be available at the Annual Meeting.</w:t>
      </w:r>
    </w:p>
    <w:p>
      <w:pPr>
        <w:spacing w:after="0" w:line="200" w:lineRule="exact"/>
        <w:rPr>
          <w:sz w:val="20"/>
          <w:szCs w:val="20"/>
          <w:color w:val="auto"/>
        </w:rPr>
      </w:pPr>
    </w:p>
    <w:p>
      <w:pPr>
        <w:spacing w:after="0" w:line="272" w:lineRule="exact"/>
        <w:rPr>
          <w:sz w:val="20"/>
          <w:szCs w:val="20"/>
          <w:color w:val="auto"/>
        </w:rPr>
      </w:pPr>
    </w:p>
    <w:tbl>
      <w:tblPr>
        <w:tblLayout w:type="fixed"/>
        <w:tblInd w:w="0" w:type="dxa"/>
        <w:tblCellMar>
          <w:top w:w="0" w:type="dxa"/>
          <w:left w:w="0" w:type="dxa"/>
          <w:bottom w:w="0" w:type="dxa"/>
          <w:right w:w="0" w:type="dxa"/>
        </w:tblCellMar>
      </w:tblPr>
      <w:tr>
        <w:trPr>
          <w:trHeight w:val="278"/>
        </w:trPr>
        <w:tc>
          <w:tcPr>
            <w:tcW w:w="10800" w:type="dxa"/>
            <w:vAlign w:val="bottom"/>
          </w:tcPr>
          <w:p>
            <w:pPr>
              <w:ind w:left="8980"/>
              <w:spacing w:after="0"/>
              <w:rPr>
                <w:sz w:val="20"/>
                <w:szCs w:val="20"/>
                <w:color w:val="auto"/>
              </w:rPr>
            </w:pPr>
            <w:r>
              <w:rPr>
                <w:rFonts w:ascii="Arial" w:cs="Arial" w:eastAsia="Arial" w:hAnsi="Arial"/>
                <w:sz w:val="16"/>
                <w:szCs w:val="16"/>
                <w:color w:val="0067B3"/>
              </w:rPr>
              <w:t>2026 Proxy Statement</w:t>
            </w:r>
          </w:p>
        </w:tc>
        <w:tc>
          <w:tcPr>
            <w:tcW w:w="440" w:type="dxa"/>
            <w:vAlign w:val="bottom"/>
          </w:tcPr>
          <w:p>
            <w:pPr>
              <w:jc w:val="right"/>
              <w:spacing w:after="0"/>
              <w:rPr>
                <w:sz w:val="20"/>
                <w:szCs w:val="20"/>
                <w:color w:val="auto"/>
              </w:rPr>
            </w:pPr>
            <w:r>
              <w:rPr>
                <w:rFonts w:ascii="Arial" w:cs="Arial" w:eastAsia="Arial" w:hAnsi="Arial"/>
                <w:sz w:val="20"/>
                <w:szCs w:val="20"/>
                <w:b w:val="1"/>
                <w:bCs w:val="1"/>
                <w:color w:val="auto"/>
              </w:rPr>
              <w:t>93</w:t>
            </w:r>
          </w:p>
        </w:tc>
      </w:tr>
      <w:tr>
        <w:trPr>
          <w:trHeight w:val="319"/>
        </w:trPr>
        <w:tc>
          <w:tcPr>
            <w:tcW w:w="1080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39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39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26" w:right="339" w:bottom="1440" w:gutter="0" w:footer="0" w:header="0"/>
        </w:sectPr>
      </w:pPr>
    </w:p>
    <w:bookmarkStart w:id="101" w:name="page102"/>
    <w:bookmarkEnd w:id="101"/>
    <w:p>
      <w:pPr>
        <w:spacing w:after="0"/>
        <w:rPr>
          <w:sz w:val="20"/>
          <w:szCs w:val="20"/>
          <w:color w:val="auto"/>
        </w:rPr>
      </w:pPr>
      <w:r>
        <w:rPr>
          <w:rFonts w:ascii="Arial" w:cs="Arial" w:eastAsia="Arial" w:hAnsi="Arial"/>
          <w:sz w:val="18"/>
          <w:szCs w:val="18"/>
          <w:b w:val="1"/>
          <w:bCs w:val="1"/>
          <w:color w:val="0067B3"/>
        </w:rPr>
        <w:t>Q: Can I vote if my shares are held in “street name”?</w:t>
      </w:r>
    </w:p>
    <w:p>
      <w:pPr>
        <w:spacing w:after="0" w:line="117" w:lineRule="exact"/>
        <w:rPr>
          <w:sz w:val="20"/>
          <w:szCs w:val="20"/>
          <w:color w:val="auto"/>
        </w:rPr>
      </w:pPr>
    </w:p>
    <w:p>
      <w:pPr>
        <w:ind w:left="260" w:right="260" w:hanging="252"/>
        <w:spacing w:after="0" w:line="259" w:lineRule="auto"/>
        <w:tabs>
          <w:tab w:leader="none" w:pos="285" w:val="left"/>
        </w:tabs>
        <w:numPr>
          <w:ilvl w:val="0"/>
          <w:numId w:val="165"/>
        </w:numPr>
        <w:rPr>
          <w:rFonts w:ascii="Arial" w:cs="Arial" w:eastAsia="Arial" w:hAnsi="Arial"/>
          <w:sz w:val="18"/>
          <w:szCs w:val="18"/>
          <w:b w:val="1"/>
          <w:bCs w:val="1"/>
          <w:color w:val="0067B3"/>
        </w:rPr>
      </w:pPr>
      <w:r>
        <w:rPr>
          <w:rFonts w:ascii="Arial" w:cs="Arial" w:eastAsia="Arial" w:hAnsi="Arial"/>
          <w:sz w:val="18"/>
          <w:szCs w:val="18"/>
          <w:color w:val="auto"/>
        </w:rPr>
        <w:t>If the ADI shares that you own are held in “street name” by a bank, broker, or other nominee, your bank, broker, or other nominee is considered, with respect to those shares, the record holder of your shares, and is required to vote your shares according to your instructions. In order to vote your shares, you will need to follow the instructions that your bank, broker, or other nominee provides you. Many banks, brokers, or other nominees also offer the option of submitting voting instructions over the Internet or by telephone, instructions for which would be provided by your bank, broker, or other nominee on your voting instruction form.</w:t>
      </w:r>
    </w:p>
    <w:p>
      <w:pPr>
        <w:spacing w:after="0" w:line="71" w:lineRule="exact"/>
        <w:rPr>
          <w:sz w:val="20"/>
          <w:szCs w:val="20"/>
          <w:color w:val="auto"/>
        </w:rPr>
      </w:pPr>
    </w:p>
    <w:p>
      <w:pPr>
        <w:ind w:left="260"/>
        <w:spacing w:after="0" w:line="254" w:lineRule="auto"/>
        <w:rPr>
          <w:sz w:val="20"/>
          <w:szCs w:val="20"/>
          <w:color w:val="auto"/>
        </w:rPr>
      </w:pPr>
      <w:r>
        <w:rPr>
          <w:rFonts w:ascii="Arial" w:cs="Arial" w:eastAsia="Arial" w:hAnsi="Arial"/>
          <w:sz w:val="18"/>
          <w:szCs w:val="18"/>
          <w:color w:val="auto"/>
        </w:rPr>
        <w:t>If you hold shares through an account with a broker, the voting of shares by such broker when you do not provide voting instructions is governed by applicable stock exchange rules. These rules allow brokers to vote shares at their discretion on certain matters for which their customers do not provide voting instructions. The ratification of the selection of Ernst &amp; Young LLP as our independent registered public accounting firm for fiscal year 2026 (Proposal 3) is a proposal on which your broker is expected to be able to vote even if it does not receive instructions from you, so long as it holds your shares in its name. The election of directors (Proposal 1), the “say-on-pay” advisory vote (Proposal 2), the approval of the Amended and Restated Analog Devices, Inc. 2020 Equity Incentive Plan (Proposal 4), and the shareholder proposal (Proposal 5) are proposals on which your bank, broker, or other nominee may not vote if you do not instruct your bank, broker, or other nominee how to vote with respect to these proposals. “Broker non-votes” are shares that are held in “street name” by a bank, broker, or other nominee that indicates on its proxy that it does not have or did not exercise discretionary authority to vote on a particular proposal.</w:t>
      </w:r>
    </w:p>
    <w:p>
      <w:pPr>
        <w:spacing w:after="0" w:line="77" w:lineRule="exact"/>
        <w:rPr>
          <w:sz w:val="20"/>
          <w:szCs w:val="20"/>
          <w:color w:val="auto"/>
        </w:rPr>
      </w:pPr>
    </w:p>
    <w:p>
      <w:pPr>
        <w:ind w:left="260"/>
        <w:spacing w:after="0" w:line="262" w:lineRule="auto"/>
        <w:rPr>
          <w:sz w:val="20"/>
          <w:szCs w:val="20"/>
          <w:color w:val="auto"/>
        </w:rPr>
      </w:pPr>
      <w:r>
        <w:rPr>
          <w:rFonts w:ascii="Arial" w:cs="Arial" w:eastAsia="Arial" w:hAnsi="Arial"/>
          <w:sz w:val="18"/>
          <w:szCs w:val="18"/>
          <w:color w:val="auto"/>
        </w:rPr>
        <w:t>If your shares are held in “street name” as of the record date January 8, 2026, you must bring an account statement or letter from your broker or other nominee, showing that you are the beneficial owner of the shares as of the record date in order to be admitted to the Annual Meeting on March 11, 2026. To be able to vote your shares held in “street name” at the Annual Meeting, you need to obtain a legal proxy from your bank, broker, or other nominee, issued in your name giving the right to vote your shares.</w:t>
      </w:r>
    </w:p>
    <w:p>
      <w:pPr>
        <w:spacing w:after="0" w:line="122" w:lineRule="exact"/>
        <w:rPr>
          <w:sz w:val="20"/>
          <w:szCs w:val="20"/>
          <w:color w:val="auto"/>
        </w:rPr>
      </w:pPr>
    </w:p>
    <w:p>
      <w:pPr>
        <w:ind w:left="260" w:right="60" w:hanging="252"/>
        <w:spacing w:after="0" w:line="296" w:lineRule="auto"/>
        <w:tabs>
          <w:tab w:leader="none" w:pos="295" w:val="left"/>
        </w:tabs>
        <w:numPr>
          <w:ilvl w:val="0"/>
          <w:numId w:val="166"/>
        </w:numPr>
        <w:rPr>
          <w:rFonts w:ascii="Arial" w:cs="Arial" w:eastAsia="Arial" w:hAnsi="Arial"/>
          <w:sz w:val="18"/>
          <w:szCs w:val="18"/>
          <w:b w:val="1"/>
          <w:bCs w:val="1"/>
          <w:color w:val="0067B3"/>
        </w:rPr>
      </w:pPr>
      <w:r>
        <w:rPr>
          <w:rFonts w:ascii="Arial" w:cs="Arial" w:eastAsia="Arial" w:hAnsi="Arial"/>
          <w:sz w:val="18"/>
          <w:szCs w:val="18"/>
          <w:b w:val="1"/>
          <w:bCs w:val="1"/>
          <w:color w:val="0067B3"/>
        </w:rPr>
        <w:t>Can I change my vote or revoke my proxy after I have mailed my proxy card or after I have voted my shares over the Internet or by telephone?</w:t>
      </w:r>
    </w:p>
    <w:p>
      <w:pPr>
        <w:spacing w:after="0" w:line="29" w:lineRule="exact"/>
        <w:rPr>
          <w:sz w:val="20"/>
          <w:szCs w:val="20"/>
          <w:color w:val="auto"/>
        </w:rPr>
      </w:pPr>
    </w:p>
    <w:p>
      <w:pPr>
        <w:ind w:left="260" w:right="40" w:hanging="252"/>
        <w:spacing w:after="0" w:line="287" w:lineRule="auto"/>
        <w:tabs>
          <w:tab w:leader="none" w:pos="285" w:val="left"/>
        </w:tabs>
        <w:numPr>
          <w:ilvl w:val="0"/>
          <w:numId w:val="167"/>
        </w:numPr>
        <w:rPr>
          <w:rFonts w:ascii="Arial" w:cs="Arial" w:eastAsia="Arial" w:hAnsi="Arial"/>
          <w:sz w:val="18"/>
          <w:szCs w:val="18"/>
          <w:b w:val="1"/>
          <w:bCs w:val="1"/>
          <w:color w:val="0067B3"/>
        </w:rPr>
      </w:pPr>
      <w:r>
        <w:rPr>
          <w:rFonts w:ascii="Arial" w:cs="Arial" w:eastAsia="Arial" w:hAnsi="Arial"/>
          <w:sz w:val="18"/>
          <w:szCs w:val="18"/>
          <w:color w:val="auto"/>
        </w:rPr>
        <w:t>Yes. If you are the “record holder” of your shares, you can revoke your proxy or change your vote at any time before the polls close at the Annual Meeting by doing any one of the following things:</w:t>
      </w:r>
    </w:p>
    <w:p>
      <w:pPr>
        <w:spacing w:after="0" w:line="45" w:lineRule="exact"/>
        <w:rPr>
          <w:sz w:val="20"/>
          <w:szCs w:val="20"/>
          <w:color w:val="auto"/>
        </w:rPr>
      </w:pPr>
    </w:p>
    <w:p>
      <w:pPr>
        <w:ind w:left="420" w:hanging="153"/>
        <w:spacing w:after="0"/>
        <w:tabs>
          <w:tab w:leader="none" w:pos="420" w:val="left"/>
        </w:tabs>
        <w:numPr>
          <w:ilvl w:val="0"/>
          <w:numId w:val="168"/>
        </w:numPr>
        <w:rPr>
          <w:rFonts w:ascii="Arial" w:cs="Arial" w:eastAsia="Arial" w:hAnsi="Arial"/>
          <w:sz w:val="13"/>
          <w:szCs w:val="13"/>
          <w:color w:val="0067B3"/>
        </w:rPr>
      </w:pPr>
      <w:r>
        <w:rPr>
          <w:rFonts w:ascii="Arial" w:cs="Arial" w:eastAsia="Arial" w:hAnsi="Arial"/>
          <w:sz w:val="18"/>
          <w:szCs w:val="18"/>
          <w:color w:val="auto"/>
        </w:rPr>
        <w:t>voting by proxy over the Internet or by telephone as instructed above (only your latest Internet or telephone vote is counted);</w:t>
      </w:r>
    </w:p>
    <w:p>
      <w:pPr>
        <w:spacing w:after="0" w:line="90" w:lineRule="exact"/>
        <w:rPr>
          <w:rFonts w:ascii="Arial" w:cs="Arial" w:eastAsia="Arial" w:hAnsi="Arial"/>
          <w:sz w:val="13"/>
          <w:szCs w:val="13"/>
          <w:color w:val="0067B3"/>
        </w:rPr>
      </w:pPr>
    </w:p>
    <w:p>
      <w:pPr>
        <w:ind w:left="420" w:hanging="153"/>
        <w:spacing w:after="0"/>
        <w:tabs>
          <w:tab w:leader="none" w:pos="420" w:val="left"/>
        </w:tabs>
        <w:numPr>
          <w:ilvl w:val="0"/>
          <w:numId w:val="168"/>
        </w:numPr>
        <w:rPr>
          <w:rFonts w:ascii="Arial" w:cs="Arial" w:eastAsia="Arial" w:hAnsi="Arial"/>
          <w:sz w:val="13"/>
          <w:szCs w:val="13"/>
          <w:color w:val="0067B3"/>
        </w:rPr>
      </w:pPr>
      <w:r>
        <w:rPr>
          <w:rFonts w:ascii="Arial" w:cs="Arial" w:eastAsia="Arial" w:hAnsi="Arial"/>
          <w:sz w:val="18"/>
          <w:szCs w:val="18"/>
          <w:color w:val="auto"/>
        </w:rPr>
        <w:t>signing and returning another proxy card with a later date;</w:t>
      </w:r>
    </w:p>
    <w:p>
      <w:pPr>
        <w:spacing w:after="0" w:line="76" w:lineRule="exact"/>
        <w:rPr>
          <w:rFonts w:ascii="Arial" w:cs="Arial" w:eastAsia="Arial" w:hAnsi="Arial"/>
          <w:sz w:val="13"/>
          <w:szCs w:val="13"/>
          <w:color w:val="0067B3"/>
        </w:rPr>
      </w:pPr>
    </w:p>
    <w:p>
      <w:pPr>
        <w:ind w:left="420" w:hanging="153"/>
        <w:spacing w:after="0"/>
        <w:tabs>
          <w:tab w:leader="none" w:pos="420" w:val="left"/>
        </w:tabs>
        <w:numPr>
          <w:ilvl w:val="0"/>
          <w:numId w:val="168"/>
        </w:numPr>
        <w:rPr>
          <w:rFonts w:ascii="Arial" w:cs="Arial" w:eastAsia="Arial" w:hAnsi="Arial"/>
          <w:sz w:val="13"/>
          <w:szCs w:val="13"/>
          <w:color w:val="0067B3"/>
        </w:rPr>
      </w:pPr>
      <w:r>
        <w:rPr>
          <w:rFonts w:ascii="Arial" w:cs="Arial" w:eastAsia="Arial" w:hAnsi="Arial"/>
          <w:sz w:val="18"/>
          <w:szCs w:val="18"/>
          <w:color w:val="auto"/>
        </w:rPr>
        <w:t>giving our Corporate Secretary a written notice before the meeting that you want to revoke your proxy; or</w:t>
      </w:r>
    </w:p>
    <w:p>
      <w:pPr>
        <w:spacing w:after="0" w:line="76" w:lineRule="exact"/>
        <w:rPr>
          <w:rFonts w:ascii="Arial" w:cs="Arial" w:eastAsia="Arial" w:hAnsi="Arial"/>
          <w:sz w:val="13"/>
          <w:szCs w:val="13"/>
          <w:color w:val="0067B3"/>
        </w:rPr>
      </w:pPr>
    </w:p>
    <w:p>
      <w:pPr>
        <w:ind w:left="420" w:hanging="153"/>
        <w:spacing w:after="0"/>
        <w:tabs>
          <w:tab w:leader="none" w:pos="420" w:val="left"/>
        </w:tabs>
        <w:numPr>
          <w:ilvl w:val="0"/>
          <w:numId w:val="168"/>
        </w:numPr>
        <w:rPr>
          <w:rFonts w:ascii="Arial" w:cs="Arial" w:eastAsia="Arial" w:hAnsi="Arial"/>
          <w:sz w:val="13"/>
          <w:szCs w:val="13"/>
          <w:color w:val="0067B3"/>
        </w:rPr>
      </w:pPr>
      <w:r>
        <w:rPr>
          <w:rFonts w:ascii="Arial" w:cs="Arial" w:eastAsia="Arial" w:hAnsi="Arial"/>
          <w:sz w:val="18"/>
          <w:szCs w:val="18"/>
          <w:color w:val="auto"/>
        </w:rPr>
        <w:t>attending the Annual Meeting, requesting that your proxy be revoked and voting in person as instructed above.</w:t>
      </w:r>
    </w:p>
    <w:p>
      <w:pPr>
        <w:spacing w:after="0" w:line="117" w:lineRule="exact"/>
        <w:rPr>
          <w:sz w:val="20"/>
          <w:szCs w:val="20"/>
          <w:color w:val="auto"/>
        </w:rPr>
      </w:pPr>
    </w:p>
    <w:p>
      <w:pPr>
        <w:ind w:left="260"/>
        <w:spacing w:after="0"/>
        <w:rPr>
          <w:sz w:val="20"/>
          <w:szCs w:val="20"/>
          <w:color w:val="auto"/>
        </w:rPr>
      </w:pPr>
      <w:r>
        <w:rPr>
          <w:rFonts w:ascii="Arial" w:cs="Arial" w:eastAsia="Arial" w:hAnsi="Arial"/>
          <w:sz w:val="18"/>
          <w:szCs w:val="18"/>
          <w:color w:val="auto"/>
        </w:rPr>
        <w:t>Your attendance at the Annual Meeting alone will not revoke your proxy.</w:t>
      </w:r>
    </w:p>
    <w:p>
      <w:pPr>
        <w:spacing w:after="0" w:line="117" w:lineRule="exact"/>
        <w:rPr>
          <w:sz w:val="20"/>
          <w:szCs w:val="20"/>
          <w:color w:val="auto"/>
        </w:rPr>
      </w:pPr>
    </w:p>
    <w:p>
      <w:pPr>
        <w:ind w:left="260" w:right="200"/>
        <w:spacing w:after="0" w:line="268" w:lineRule="auto"/>
        <w:rPr>
          <w:sz w:val="20"/>
          <w:szCs w:val="20"/>
          <w:color w:val="auto"/>
        </w:rPr>
      </w:pPr>
      <w:r>
        <w:rPr>
          <w:rFonts w:ascii="Arial" w:cs="Arial" w:eastAsia="Arial" w:hAnsi="Arial"/>
          <w:sz w:val="18"/>
          <w:szCs w:val="18"/>
          <w:color w:val="auto"/>
        </w:rPr>
        <w:t>If your shares are held in “street name,” you may submit a new, later-dated voting instruction form or contact your bank, broker, or other nominee. You may also vote in person at the Annual Meeting if you obtain a legal proxy as described in the answer to the question entitled “Can I vote if my shares are held in ‘street name’”?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0067B3"/>
        </w:rPr>
        <w:t>Q: What constitutes a quorum?</w:t>
      </w:r>
    </w:p>
    <w:p>
      <w:pPr>
        <w:spacing w:after="0" w:line="117" w:lineRule="exact"/>
        <w:rPr>
          <w:sz w:val="20"/>
          <w:szCs w:val="20"/>
          <w:color w:val="auto"/>
        </w:rPr>
      </w:pPr>
    </w:p>
    <w:p>
      <w:pPr>
        <w:ind w:left="260" w:right="280" w:hanging="252"/>
        <w:spacing w:after="0" w:line="268" w:lineRule="auto"/>
        <w:tabs>
          <w:tab w:leader="none" w:pos="285" w:val="left"/>
        </w:tabs>
        <w:numPr>
          <w:ilvl w:val="0"/>
          <w:numId w:val="169"/>
        </w:numPr>
        <w:rPr>
          <w:rFonts w:ascii="Arial" w:cs="Arial" w:eastAsia="Arial" w:hAnsi="Arial"/>
          <w:sz w:val="18"/>
          <w:szCs w:val="18"/>
          <w:b w:val="1"/>
          <w:bCs w:val="1"/>
          <w:color w:val="0067B3"/>
        </w:rPr>
      </w:pPr>
      <w:r>
        <w:rPr>
          <w:rFonts w:ascii="Arial" w:cs="Arial" w:eastAsia="Arial" w:hAnsi="Arial"/>
          <w:sz w:val="18"/>
          <w:szCs w:val="18"/>
          <w:color w:val="auto"/>
        </w:rPr>
        <w:t>In order for business to be conducted at the Annual Meeting, a quorum must be present in person or represented by valid proxies. For each of the proposals to be presented at the Annual Meeting, a quorum consists of the holders of a majority of the shares of common stock issued and outstanding on January 8, 2026, the record date, or at least 244,314,298 shares.</w:t>
      </w:r>
    </w:p>
    <w:p>
      <w:pPr>
        <w:spacing w:after="0" w:line="63" w:lineRule="exact"/>
        <w:rPr>
          <w:sz w:val="20"/>
          <w:szCs w:val="20"/>
          <w:color w:val="auto"/>
        </w:rPr>
      </w:pPr>
    </w:p>
    <w:p>
      <w:pPr>
        <w:ind w:left="260" w:right="320"/>
        <w:spacing w:after="0" w:line="268" w:lineRule="auto"/>
        <w:rPr>
          <w:sz w:val="20"/>
          <w:szCs w:val="20"/>
          <w:color w:val="auto"/>
        </w:rPr>
      </w:pPr>
      <w:r>
        <w:rPr>
          <w:rFonts w:ascii="Arial" w:cs="Arial" w:eastAsia="Arial" w:hAnsi="Arial"/>
          <w:sz w:val="18"/>
          <w:szCs w:val="18"/>
          <w:color w:val="auto"/>
        </w:rPr>
        <w:t>Shares of common stock represented in person or by proxy (including “broker non-votes” and shares that abstain or do not vote with respect to a particular proposal) will be counted for the purpose of determining whether a quorum exists at the Annual Meeting for that proposal. If a quorum is not present, the Annual Meeting will be adjourned until a quorum is obtained.</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0067B3"/>
        </w:rPr>
        <w:t>Q: What vote is required for each proposal?</w:t>
      </w:r>
    </w:p>
    <w:p>
      <w:pPr>
        <w:spacing w:after="0" w:line="117" w:lineRule="exact"/>
        <w:rPr>
          <w:sz w:val="20"/>
          <w:szCs w:val="20"/>
          <w:color w:val="auto"/>
        </w:rPr>
      </w:pPr>
    </w:p>
    <w:p>
      <w:pPr>
        <w:ind w:left="260" w:right="40" w:hanging="252"/>
        <w:spacing w:after="0" w:line="254" w:lineRule="auto"/>
        <w:tabs>
          <w:tab w:leader="none" w:pos="285" w:val="left"/>
        </w:tabs>
        <w:numPr>
          <w:ilvl w:val="0"/>
          <w:numId w:val="170"/>
        </w:numPr>
        <w:rPr>
          <w:rFonts w:ascii="Arial" w:cs="Arial" w:eastAsia="Arial" w:hAnsi="Arial"/>
          <w:sz w:val="18"/>
          <w:szCs w:val="18"/>
          <w:b w:val="1"/>
          <w:bCs w:val="1"/>
          <w:color w:val="0067B3"/>
        </w:rPr>
      </w:pPr>
      <w:r>
        <w:rPr>
          <w:rFonts w:ascii="Arial" w:cs="Arial" w:eastAsia="Arial" w:hAnsi="Arial"/>
          <w:sz w:val="18"/>
          <w:szCs w:val="18"/>
          <w:b w:val="1"/>
          <w:bCs w:val="1"/>
          <w:color w:val="auto"/>
        </w:rPr>
        <w:t xml:space="preserve">Election of directors (Proposal 1). </w:t>
      </w:r>
      <w:r>
        <w:rPr>
          <w:rFonts w:ascii="Arial" w:cs="Arial" w:eastAsia="Arial" w:hAnsi="Arial"/>
          <w:sz w:val="18"/>
          <w:szCs w:val="18"/>
          <w:color w:val="auto"/>
        </w:rPr>
        <w:t>Under our Bylaws, a nominee will be elected to the Board of Directors if the votes cast “for” the</w:t>
      </w:r>
      <w:r>
        <w:rPr>
          <w:rFonts w:ascii="Arial" w:cs="Arial" w:eastAsia="Arial" w:hAnsi="Arial"/>
          <w:sz w:val="18"/>
          <w:szCs w:val="18"/>
          <w:b w:val="1"/>
          <w:bCs w:val="1"/>
          <w:color w:val="auto"/>
        </w:rPr>
        <w:t xml:space="preserve"> </w:t>
      </w:r>
      <w:r>
        <w:rPr>
          <w:rFonts w:ascii="Arial" w:cs="Arial" w:eastAsia="Arial" w:hAnsi="Arial"/>
          <w:sz w:val="18"/>
          <w:szCs w:val="18"/>
          <w:color w:val="auto"/>
        </w:rPr>
        <w:t>nominee’s election exceed the votes cast “against” the nominee’s election, with abstentions and “broker non-votes” not counting as votes “for” or “against.” If the shares you own are held in “street name” by a bank, broker, or other nominee, your bank, broker, or other nominee, as the record holder of your shares, is required to vote your shares according to your instructions. If you do not instruct your bank, broker, or other nominee how to vote with respect to this proposal, your bank, broker, or other nominee may not vote your shares with respect to the election of directors. If an incumbent director nominee in an uncontested election of directors receives a majority of votes “against” his or her election, the director must tender a resignation from the Board of Directors. The Board of Directors will then decide whether to accept the resignation within 90 days following certification of the shareholder vote (based on the recommendation of a committee of independent directors). We will publicly disclose the Board of Directors’ decision and its reasoning with regard to the offered resignation.</w:t>
      </w:r>
    </w:p>
    <w:p>
      <w:pPr>
        <w:sectPr>
          <w:pgSz w:w="11900" w:h="16838" w:orient="portrait"/>
          <w:cols w:equalWidth="0" w:num="1">
            <w:col w:w="11220"/>
          </w:cols>
          <w:pgMar w:left="320" w:top="1174" w:right="359" w:bottom="1440" w:gutter="0" w:footer="0" w:header="0"/>
        </w:sectPr>
      </w:pPr>
    </w:p>
    <w:p>
      <w:pPr>
        <w:spacing w:after="0" w:line="200" w:lineRule="exact"/>
        <w:rPr>
          <w:sz w:val="20"/>
          <w:szCs w:val="20"/>
          <w:color w:val="auto"/>
        </w:rPr>
      </w:pPr>
    </w:p>
    <w:p>
      <w:pPr>
        <w:spacing w:after="0" w:line="299" w:lineRule="exact"/>
        <w:rPr>
          <w:sz w:val="20"/>
          <w:szCs w:val="20"/>
          <w:color w:val="auto"/>
        </w:rPr>
      </w:pPr>
    </w:p>
    <w:p>
      <w:pPr>
        <w:ind w:left="640" w:hanging="614"/>
        <w:spacing w:after="0"/>
        <w:tabs>
          <w:tab w:leader="none" w:pos="640" w:val="left"/>
        </w:tabs>
        <w:numPr>
          <w:ilvl w:val="0"/>
          <w:numId w:val="171"/>
        </w:numPr>
        <w:rPr>
          <w:rFonts w:ascii="Arial" w:cs="Arial" w:eastAsia="Arial" w:hAnsi="Arial"/>
          <w:sz w:val="20"/>
          <w:szCs w:val="20"/>
          <w:b w:val="1"/>
          <w:bCs w:val="1"/>
          <w:color w:val="auto"/>
        </w:rPr>
      </w:pPr>
      <w:r>
        <w:rPr>
          <w:rFonts w:ascii="Arial" w:cs="Arial" w:eastAsia="Arial" w:hAnsi="Arial"/>
          <w:sz w:val="16"/>
          <w:szCs w:val="16"/>
          <w:color w:val="6D6E71"/>
        </w:rPr>
        <w:t>Q&amp;A About Annual Meeting and Voting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194310</wp:posOffset>
            </wp:positionV>
            <wp:extent cx="7157720" cy="42545"/>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3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4" w:right="359" w:bottom="1440" w:gutter="0" w:footer="0" w:header="0"/>
          <w:type w:val="continuous"/>
        </w:sectPr>
      </w:pPr>
    </w:p>
    <w:bookmarkStart w:id="102" w:name="page103"/>
    <w:bookmarkEnd w:id="102"/>
    <w:p>
      <w:pPr>
        <w:ind w:left="260" w:right="100"/>
        <w:spacing w:after="0" w:line="256" w:lineRule="auto"/>
        <w:rPr>
          <w:sz w:val="20"/>
          <w:szCs w:val="20"/>
          <w:color w:val="auto"/>
        </w:rPr>
      </w:pPr>
      <w:r>
        <w:rPr>
          <w:rFonts w:ascii="Arial" w:cs="Arial" w:eastAsia="Arial" w:hAnsi="Arial"/>
          <w:sz w:val="18"/>
          <w:szCs w:val="18"/>
          <w:b w:val="1"/>
          <w:bCs w:val="1"/>
          <w:color w:val="auto"/>
        </w:rPr>
        <w:t xml:space="preserve">“Say-on-Pay” (Proposal 2). </w:t>
      </w:r>
      <w:r>
        <w:rPr>
          <w:rFonts w:ascii="Arial" w:cs="Arial" w:eastAsia="Arial" w:hAnsi="Arial"/>
          <w:sz w:val="18"/>
          <w:szCs w:val="18"/>
          <w:color w:val="auto"/>
        </w:rPr>
        <w:t>Our Board of Directors is seeking a non-binding advisory vote regarding the compensation of our NEOs, as</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described in the </w:t>
      </w:r>
      <w:r>
        <w:rPr>
          <w:rFonts w:ascii="Arial" w:cs="Arial" w:eastAsia="Arial" w:hAnsi="Arial"/>
          <w:sz w:val="18"/>
          <w:szCs w:val="18"/>
          <w:i w:val="1"/>
          <w:iCs w:val="1"/>
          <w:color w:val="auto"/>
        </w:rPr>
        <w:t>Compensation Discussion and Analysis</w:t>
      </w:r>
      <w:r>
        <w:rPr>
          <w:rFonts w:ascii="Arial" w:cs="Arial" w:eastAsia="Arial" w:hAnsi="Arial"/>
          <w:sz w:val="18"/>
          <w:szCs w:val="18"/>
          <w:color w:val="auto"/>
        </w:rPr>
        <w:t>, executive compensation tables and accompanying narrative disclosures contained in this proxy statement. Under our Bylaws, the affirmative vote of a majority of the total number of votes cast on the proposal is needed to approve this resolution. The vote is advisory and non-binding in nature but our Compensation and Talent Committee will take into account the outcome of the vote when considering future executive compensation arrangements. If you do not instruct your bank, broker, or other nominee how to vote with respect to this proposal, your bank, broker, or other nominee may not vote your shares with respect to this proposal.</w:t>
      </w:r>
    </w:p>
    <w:p>
      <w:pPr>
        <w:spacing w:after="0" w:line="75" w:lineRule="exact"/>
        <w:rPr>
          <w:sz w:val="20"/>
          <w:szCs w:val="20"/>
          <w:color w:val="auto"/>
        </w:rPr>
      </w:pPr>
    </w:p>
    <w:p>
      <w:pPr>
        <w:ind w:left="260" w:right="120"/>
        <w:spacing w:after="0" w:line="262" w:lineRule="auto"/>
        <w:rPr>
          <w:sz w:val="20"/>
          <w:szCs w:val="20"/>
          <w:color w:val="auto"/>
        </w:rPr>
      </w:pPr>
      <w:r>
        <w:rPr>
          <w:rFonts w:ascii="Arial" w:cs="Arial" w:eastAsia="Arial" w:hAnsi="Arial"/>
          <w:sz w:val="18"/>
          <w:szCs w:val="18"/>
          <w:b w:val="1"/>
          <w:bCs w:val="1"/>
          <w:color w:val="auto"/>
        </w:rPr>
        <w:t xml:space="preserve">Ratification of selection of independent registered public accounting firm (Proposal 3). </w:t>
      </w:r>
      <w:r>
        <w:rPr>
          <w:rFonts w:ascii="Arial" w:cs="Arial" w:eastAsia="Arial" w:hAnsi="Arial"/>
          <w:sz w:val="18"/>
          <w:szCs w:val="18"/>
          <w:color w:val="auto"/>
        </w:rPr>
        <w:t>Under our Bylaws, the affirmative vote of a</w:t>
      </w:r>
      <w:r>
        <w:rPr>
          <w:rFonts w:ascii="Arial" w:cs="Arial" w:eastAsia="Arial" w:hAnsi="Arial"/>
          <w:sz w:val="18"/>
          <w:szCs w:val="18"/>
          <w:b w:val="1"/>
          <w:bCs w:val="1"/>
          <w:color w:val="auto"/>
        </w:rPr>
        <w:t xml:space="preserve"> </w:t>
      </w:r>
      <w:r>
        <w:rPr>
          <w:rFonts w:ascii="Arial" w:cs="Arial" w:eastAsia="Arial" w:hAnsi="Arial"/>
          <w:sz w:val="18"/>
          <w:szCs w:val="18"/>
          <w:color w:val="auto"/>
        </w:rPr>
        <w:t>majority of the total number of votes cast on the proposal is needed to ratify the selection of Ernst &amp; Young LLP as our independent registered public accounting firm for fiscal year 2026. Even if you do not instruct your bank, broker, or other nominee how to vote with respect to this proposal, your bank, broker, or other nominee may vote your shares with respect to this proposal.</w:t>
      </w:r>
    </w:p>
    <w:p>
      <w:pPr>
        <w:spacing w:after="0" w:line="68" w:lineRule="exact"/>
        <w:rPr>
          <w:sz w:val="20"/>
          <w:szCs w:val="20"/>
          <w:color w:val="auto"/>
        </w:rPr>
      </w:pPr>
    </w:p>
    <w:p>
      <w:pPr>
        <w:ind w:left="260"/>
        <w:spacing w:after="0" w:line="262" w:lineRule="auto"/>
        <w:rPr>
          <w:sz w:val="20"/>
          <w:szCs w:val="20"/>
          <w:color w:val="auto"/>
        </w:rPr>
      </w:pPr>
      <w:r>
        <w:rPr>
          <w:rFonts w:ascii="Arial" w:cs="Arial" w:eastAsia="Arial" w:hAnsi="Arial"/>
          <w:sz w:val="18"/>
          <w:szCs w:val="18"/>
          <w:b w:val="1"/>
          <w:bCs w:val="1"/>
          <w:color w:val="auto"/>
        </w:rPr>
        <w:t xml:space="preserve">Approval of the Amended and Restated Analog Devices, Inc. 2020 Equity Incentive Plan (Proposal 4). </w:t>
      </w:r>
      <w:r>
        <w:rPr>
          <w:rFonts w:ascii="Arial" w:cs="Arial" w:eastAsia="Arial" w:hAnsi="Arial"/>
          <w:sz w:val="18"/>
          <w:szCs w:val="18"/>
          <w:color w:val="auto"/>
        </w:rPr>
        <w:t>Under our Bylaws, the</w:t>
      </w:r>
      <w:r>
        <w:rPr>
          <w:rFonts w:ascii="Arial" w:cs="Arial" w:eastAsia="Arial" w:hAnsi="Arial"/>
          <w:sz w:val="18"/>
          <w:szCs w:val="18"/>
          <w:b w:val="1"/>
          <w:bCs w:val="1"/>
          <w:color w:val="auto"/>
        </w:rPr>
        <w:t xml:space="preserve"> </w:t>
      </w:r>
      <w:r>
        <w:rPr>
          <w:rFonts w:ascii="Arial" w:cs="Arial" w:eastAsia="Arial" w:hAnsi="Arial"/>
          <w:sz w:val="18"/>
          <w:szCs w:val="18"/>
          <w:color w:val="auto"/>
        </w:rPr>
        <w:t>affirmative vote of a majority of the total number of votes cast on the proposal is needed to approve the Amended and Restated Analog Devices, Inc. 2020 Equity Incentive Plan. If you do not instruct your bank, broker, or other nominee how to vote with respect to Proposal 4, your bank, broker, or other nominee may not vote your shares with respect to the proposal.</w:t>
      </w:r>
    </w:p>
    <w:p>
      <w:pPr>
        <w:spacing w:after="0" w:line="122" w:lineRule="exact"/>
        <w:rPr>
          <w:sz w:val="20"/>
          <w:szCs w:val="20"/>
          <w:color w:val="auto"/>
        </w:rPr>
      </w:pPr>
    </w:p>
    <w:p>
      <w:pPr>
        <w:ind w:left="260" w:right="560"/>
        <w:spacing w:after="0" w:line="268" w:lineRule="auto"/>
        <w:rPr>
          <w:sz w:val="20"/>
          <w:szCs w:val="20"/>
          <w:color w:val="auto"/>
        </w:rPr>
      </w:pPr>
      <w:r>
        <w:rPr>
          <w:rFonts w:ascii="Arial" w:cs="Arial" w:eastAsia="Arial" w:hAnsi="Arial"/>
          <w:sz w:val="18"/>
          <w:szCs w:val="18"/>
          <w:b w:val="1"/>
          <w:bCs w:val="1"/>
          <w:color w:val="auto"/>
        </w:rPr>
        <w:t xml:space="preserve">Shareholder proposal (Proposal 5). </w:t>
      </w:r>
      <w:r>
        <w:rPr>
          <w:rFonts w:ascii="Arial" w:cs="Arial" w:eastAsia="Arial" w:hAnsi="Arial"/>
          <w:sz w:val="18"/>
          <w:szCs w:val="18"/>
          <w:color w:val="auto"/>
        </w:rPr>
        <w:t>Under our Bylaws, the affirmative vote of a majority of the total number of votes cast on the</w:t>
      </w:r>
      <w:r>
        <w:rPr>
          <w:rFonts w:ascii="Arial" w:cs="Arial" w:eastAsia="Arial" w:hAnsi="Arial"/>
          <w:sz w:val="18"/>
          <w:szCs w:val="18"/>
          <w:b w:val="1"/>
          <w:bCs w:val="1"/>
          <w:color w:val="auto"/>
        </w:rPr>
        <w:t xml:space="preserve"> </w:t>
      </w:r>
      <w:r>
        <w:rPr>
          <w:rFonts w:ascii="Arial" w:cs="Arial" w:eastAsia="Arial" w:hAnsi="Arial"/>
          <w:sz w:val="18"/>
          <w:szCs w:val="18"/>
          <w:color w:val="auto"/>
        </w:rPr>
        <w:t>proposal is needed to approve the shareholder proposal. If you do not instruct your bank, broker, or other nominee how to vote with respect to Proposal 5, your bank, broker, or other nominee may not vote your shares with respect to the proposal.</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0067B3"/>
        </w:rPr>
        <w:t>Q: How will votes be counted?</w:t>
      </w:r>
    </w:p>
    <w:p>
      <w:pPr>
        <w:spacing w:after="0" w:line="117" w:lineRule="exact"/>
        <w:rPr>
          <w:sz w:val="20"/>
          <w:szCs w:val="20"/>
          <w:color w:val="auto"/>
        </w:rPr>
      </w:pPr>
    </w:p>
    <w:p>
      <w:pPr>
        <w:ind w:left="260" w:right="20" w:hanging="252"/>
        <w:spacing w:after="0" w:line="256" w:lineRule="auto"/>
        <w:tabs>
          <w:tab w:leader="none" w:pos="285" w:val="left"/>
        </w:tabs>
        <w:numPr>
          <w:ilvl w:val="0"/>
          <w:numId w:val="172"/>
        </w:numPr>
        <w:rPr>
          <w:rFonts w:ascii="Arial" w:cs="Arial" w:eastAsia="Arial" w:hAnsi="Arial"/>
          <w:sz w:val="18"/>
          <w:szCs w:val="18"/>
          <w:b w:val="1"/>
          <w:bCs w:val="1"/>
          <w:color w:val="0067B3"/>
        </w:rPr>
      </w:pPr>
      <w:r>
        <w:rPr>
          <w:rFonts w:ascii="Arial" w:cs="Arial" w:eastAsia="Arial" w:hAnsi="Arial"/>
          <w:sz w:val="18"/>
          <w:szCs w:val="18"/>
          <w:color w:val="auto"/>
        </w:rPr>
        <w:t>Each share of common stock will be counted as one vote according to the instructions contained on a properly completed proxy card, whether submitted by mail, over the Internet or by telephone, or on a ballot voted in person at the Annual Meeting. With respect to all proposals, shares will not be voted in favor of the matter, and will not be counted as voting on the matter, if they either (1) abstain from voting on a particular matter, or (2) are “broker non-votes.” Banks, brokers, and other nominees who do not receive instructions with respect to Proposals 1, 2, 4, or 5 will not be allowed to vote these shares, and all such shares will be “broker non-votes” rather than votes “for” or ”against”. Accordingly, assuming the presence of a quorum, abstentions and “broker non-votes” for a particular proposal will not be counted as votes cast to determine the outcome of a particular proposal.</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0067B3"/>
        </w:rPr>
        <w:t>Q: Who will count the votes?</w:t>
      </w:r>
    </w:p>
    <w:p>
      <w:pPr>
        <w:spacing w:after="0" w:line="117" w:lineRule="exact"/>
        <w:rPr>
          <w:sz w:val="20"/>
          <w:szCs w:val="20"/>
          <w:color w:val="auto"/>
        </w:rPr>
      </w:pPr>
    </w:p>
    <w:p>
      <w:pPr>
        <w:ind w:left="300" w:hanging="292"/>
        <w:spacing w:after="0"/>
        <w:tabs>
          <w:tab w:leader="none" w:pos="300" w:val="left"/>
        </w:tabs>
        <w:numPr>
          <w:ilvl w:val="0"/>
          <w:numId w:val="173"/>
        </w:numPr>
        <w:rPr>
          <w:rFonts w:ascii="Arial" w:cs="Arial" w:eastAsia="Arial" w:hAnsi="Arial"/>
          <w:sz w:val="18"/>
          <w:szCs w:val="18"/>
          <w:b w:val="1"/>
          <w:bCs w:val="1"/>
          <w:color w:val="0067B3"/>
        </w:rPr>
      </w:pPr>
      <w:r>
        <w:rPr>
          <w:rFonts w:ascii="Arial" w:cs="Arial" w:eastAsia="Arial" w:hAnsi="Arial"/>
          <w:sz w:val="18"/>
          <w:szCs w:val="18"/>
          <w:color w:val="auto"/>
        </w:rPr>
        <w:t>The votes will be counted, tabulated, and certified by Broadridge Financial Solutions, Inc.</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0067B3"/>
        </w:rPr>
        <w:t>Q: Will my vote be kept confidential?</w:t>
      </w:r>
    </w:p>
    <w:p>
      <w:pPr>
        <w:spacing w:after="0" w:line="117" w:lineRule="exact"/>
        <w:rPr>
          <w:sz w:val="20"/>
          <w:szCs w:val="20"/>
          <w:color w:val="auto"/>
        </w:rPr>
      </w:pPr>
    </w:p>
    <w:p>
      <w:pPr>
        <w:ind w:left="260" w:right="140" w:hanging="252"/>
        <w:spacing w:after="0" w:line="262" w:lineRule="auto"/>
        <w:tabs>
          <w:tab w:leader="none" w:pos="285" w:val="left"/>
        </w:tabs>
        <w:numPr>
          <w:ilvl w:val="0"/>
          <w:numId w:val="174"/>
        </w:numPr>
        <w:rPr>
          <w:rFonts w:ascii="Arial" w:cs="Arial" w:eastAsia="Arial" w:hAnsi="Arial"/>
          <w:sz w:val="18"/>
          <w:szCs w:val="18"/>
          <w:b w:val="1"/>
          <w:bCs w:val="1"/>
          <w:color w:val="0067B3"/>
        </w:rPr>
      </w:pPr>
      <w:r>
        <w:rPr>
          <w:rFonts w:ascii="Arial" w:cs="Arial" w:eastAsia="Arial" w:hAnsi="Arial"/>
          <w:sz w:val="18"/>
          <w:szCs w:val="18"/>
          <w:color w:val="auto"/>
        </w:rPr>
        <w:t>Yes, your vote will be kept confidential and we will not disclose your vote, unless (1) we are required to do so by law (including in connection with the pursuit or defense of a legal or administrative action or proceeding), or (2) there is a contested election for the Board of Directors. The tabulation agent will forward any written comments that you make on the proxy card to management without providing your name unless you expressly request disclosure on your proxy card.</w:t>
      </w:r>
    </w:p>
    <w:p>
      <w:pPr>
        <w:spacing w:after="0" w:line="122" w:lineRule="exact"/>
        <w:rPr>
          <w:sz w:val="20"/>
          <w:szCs w:val="20"/>
          <w:color w:val="auto"/>
        </w:rPr>
      </w:pPr>
    </w:p>
    <w:p>
      <w:pPr>
        <w:ind w:left="300" w:hanging="292"/>
        <w:spacing w:after="0"/>
        <w:tabs>
          <w:tab w:leader="none" w:pos="300" w:val="left"/>
        </w:tabs>
        <w:numPr>
          <w:ilvl w:val="0"/>
          <w:numId w:val="175"/>
        </w:numPr>
        <w:rPr>
          <w:rFonts w:ascii="Arial" w:cs="Arial" w:eastAsia="Arial" w:hAnsi="Arial"/>
          <w:sz w:val="18"/>
          <w:szCs w:val="18"/>
          <w:b w:val="1"/>
          <w:bCs w:val="1"/>
          <w:color w:val="0067B3"/>
        </w:rPr>
      </w:pPr>
      <w:r>
        <w:rPr>
          <w:rFonts w:ascii="Arial" w:cs="Arial" w:eastAsia="Arial" w:hAnsi="Arial"/>
          <w:sz w:val="18"/>
          <w:szCs w:val="18"/>
          <w:b w:val="1"/>
          <w:bCs w:val="1"/>
          <w:color w:val="0067B3"/>
        </w:rPr>
        <w:t>How does the Board of Directors recommend that I vote on the proposals?</w:t>
      </w:r>
    </w:p>
    <w:p>
      <w:pPr>
        <w:spacing w:after="0" w:line="117" w:lineRule="exact"/>
        <w:rPr>
          <w:rFonts w:ascii="Arial" w:cs="Arial" w:eastAsia="Arial" w:hAnsi="Arial"/>
          <w:sz w:val="18"/>
          <w:szCs w:val="18"/>
          <w:b w:val="1"/>
          <w:bCs w:val="1"/>
          <w:color w:val="0067B3"/>
        </w:rPr>
      </w:pPr>
    </w:p>
    <w:p>
      <w:pPr>
        <w:ind w:left="300" w:hanging="292"/>
        <w:spacing w:after="0"/>
        <w:tabs>
          <w:tab w:leader="none" w:pos="300" w:val="left"/>
        </w:tabs>
        <w:numPr>
          <w:ilvl w:val="0"/>
          <w:numId w:val="176"/>
        </w:numPr>
        <w:rPr>
          <w:rFonts w:ascii="Arial" w:cs="Arial" w:eastAsia="Arial" w:hAnsi="Arial"/>
          <w:sz w:val="18"/>
          <w:szCs w:val="18"/>
          <w:b w:val="1"/>
          <w:bCs w:val="1"/>
          <w:color w:val="0067B3"/>
        </w:rPr>
      </w:pPr>
      <w:r>
        <w:rPr>
          <w:rFonts w:ascii="Arial" w:cs="Arial" w:eastAsia="Arial" w:hAnsi="Arial"/>
          <w:sz w:val="18"/>
          <w:szCs w:val="18"/>
          <w:color w:val="auto"/>
        </w:rPr>
        <w:t>The Board of Directors recommends that you vote:</w:t>
      </w:r>
    </w:p>
    <w:p>
      <w:pPr>
        <w:spacing w:after="0" w:line="117" w:lineRule="exact"/>
        <w:rPr>
          <w:sz w:val="20"/>
          <w:szCs w:val="20"/>
          <w:color w:val="auto"/>
        </w:rPr>
      </w:pPr>
    </w:p>
    <w:p>
      <w:pPr>
        <w:ind w:left="260" w:right="220"/>
        <w:spacing w:after="0" w:line="287" w:lineRule="auto"/>
        <w:rPr>
          <w:sz w:val="20"/>
          <w:szCs w:val="20"/>
          <w:color w:val="auto"/>
        </w:rPr>
      </w:pPr>
      <w:r>
        <w:rPr>
          <w:rFonts w:ascii="Arial" w:cs="Arial" w:eastAsia="Arial" w:hAnsi="Arial"/>
          <w:sz w:val="18"/>
          <w:szCs w:val="18"/>
          <w:b w:val="1"/>
          <w:bCs w:val="1"/>
          <w:color w:val="auto"/>
        </w:rPr>
        <w:t xml:space="preserve">FOR </w:t>
      </w:r>
      <w:r>
        <w:rPr>
          <w:rFonts w:ascii="Arial" w:cs="Arial" w:eastAsia="Arial" w:hAnsi="Arial"/>
          <w:sz w:val="18"/>
          <w:szCs w:val="18"/>
          <w:color w:val="auto"/>
        </w:rPr>
        <w:t>the election of each of the 10 nominees to serve as directors on the Board of Directors, each for a term expiring at the next annual</w:t>
      </w:r>
      <w:r>
        <w:rPr>
          <w:rFonts w:ascii="Arial" w:cs="Arial" w:eastAsia="Arial" w:hAnsi="Arial"/>
          <w:sz w:val="18"/>
          <w:szCs w:val="18"/>
          <w:b w:val="1"/>
          <w:bCs w:val="1"/>
          <w:color w:val="auto"/>
        </w:rPr>
        <w:t xml:space="preserve"> </w:t>
      </w:r>
      <w:r>
        <w:rPr>
          <w:rFonts w:ascii="Arial" w:cs="Arial" w:eastAsia="Arial" w:hAnsi="Arial"/>
          <w:sz w:val="18"/>
          <w:szCs w:val="18"/>
          <w:color w:val="auto"/>
        </w:rPr>
        <w:t>meeting of shareholders (Proposal 1);</w:t>
      </w:r>
    </w:p>
    <w:p>
      <w:pPr>
        <w:spacing w:after="0" w:line="45" w:lineRule="exact"/>
        <w:rPr>
          <w:sz w:val="20"/>
          <w:szCs w:val="20"/>
          <w:color w:val="auto"/>
        </w:rPr>
      </w:pPr>
    </w:p>
    <w:p>
      <w:pPr>
        <w:jc w:val="both"/>
        <w:ind w:left="260" w:right="320"/>
        <w:spacing w:after="0" w:line="287" w:lineRule="auto"/>
        <w:rPr>
          <w:sz w:val="20"/>
          <w:szCs w:val="20"/>
          <w:color w:val="auto"/>
        </w:rPr>
      </w:pPr>
      <w:r>
        <w:rPr>
          <w:rFonts w:ascii="Arial" w:cs="Arial" w:eastAsia="Arial" w:hAnsi="Arial"/>
          <w:sz w:val="18"/>
          <w:szCs w:val="18"/>
          <w:b w:val="1"/>
          <w:bCs w:val="1"/>
          <w:color w:val="auto"/>
        </w:rPr>
        <w:t xml:space="preserve">FOR </w:t>
      </w:r>
      <w:r>
        <w:rPr>
          <w:rFonts w:ascii="Arial" w:cs="Arial" w:eastAsia="Arial" w:hAnsi="Arial"/>
          <w:sz w:val="18"/>
          <w:szCs w:val="18"/>
          <w:color w:val="auto"/>
        </w:rPr>
        <w:t>the approval, by non-binding “say-on-pay” vote, of the compensation of our NEOs, as described in the</w:t>
      </w:r>
      <w:r>
        <w:rPr>
          <w:rFonts w:ascii="Arial" w:cs="Arial" w:eastAsia="Arial" w:hAnsi="Arial"/>
          <w:sz w:val="18"/>
          <w:szCs w:val="18"/>
          <w:b w:val="1"/>
          <w:bCs w:val="1"/>
          <w:color w:val="auto"/>
        </w:rPr>
        <w:t xml:space="preserve"> </w:t>
      </w:r>
      <w:r>
        <w:rPr>
          <w:rFonts w:ascii="Arial" w:cs="Arial" w:eastAsia="Arial" w:hAnsi="Arial"/>
          <w:sz w:val="18"/>
          <w:szCs w:val="18"/>
          <w:i w:val="1"/>
          <w:iCs w:val="1"/>
          <w:color w:val="auto"/>
        </w:rPr>
        <w:t>Compensation Discussion</w:t>
      </w:r>
      <w:r>
        <w:rPr>
          <w:rFonts w:ascii="Arial" w:cs="Arial" w:eastAsia="Arial" w:hAnsi="Arial"/>
          <w:sz w:val="18"/>
          <w:szCs w:val="18"/>
          <w:b w:val="1"/>
          <w:bCs w:val="1"/>
          <w:color w:val="auto"/>
        </w:rPr>
        <w:t xml:space="preserve"> </w:t>
      </w:r>
      <w:r>
        <w:rPr>
          <w:rFonts w:ascii="Arial" w:cs="Arial" w:eastAsia="Arial" w:hAnsi="Arial"/>
          <w:sz w:val="18"/>
          <w:szCs w:val="18"/>
          <w:i w:val="1"/>
          <w:iCs w:val="1"/>
          <w:color w:val="auto"/>
        </w:rPr>
        <w:t>and Analysis</w:t>
      </w:r>
      <w:r>
        <w:rPr>
          <w:rFonts w:ascii="Arial" w:cs="Arial" w:eastAsia="Arial" w:hAnsi="Arial"/>
          <w:sz w:val="18"/>
          <w:szCs w:val="18"/>
          <w:color w:val="auto"/>
        </w:rPr>
        <w:t>, executive compensation tables and accompanying narrative disclosures contained in this Proxy Statement (Proposal 2);</w:t>
      </w:r>
    </w:p>
    <w:p>
      <w:pPr>
        <w:spacing w:after="0" w:line="45" w:lineRule="exact"/>
        <w:rPr>
          <w:sz w:val="20"/>
          <w:szCs w:val="20"/>
          <w:color w:val="auto"/>
        </w:rPr>
      </w:pPr>
    </w:p>
    <w:p>
      <w:pPr>
        <w:ind w:left="260" w:right="600"/>
        <w:spacing w:after="0" w:line="287" w:lineRule="auto"/>
        <w:rPr>
          <w:sz w:val="20"/>
          <w:szCs w:val="20"/>
          <w:color w:val="auto"/>
        </w:rPr>
      </w:pPr>
      <w:r>
        <w:rPr>
          <w:rFonts w:ascii="Arial" w:cs="Arial" w:eastAsia="Arial" w:hAnsi="Arial"/>
          <w:sz w:val="18"/>
          <w:szCs w:val="18"/>
          <w:b w:val="1"/>
          <w:bCs w:val="1"/>
          <w:color w:val="auto"/>
        </w:rPr>
        <w:t xml:space="preserve">FOR </w:t>
      </w:r>
      <w:r>
        <w:rPr>
          <w:rFonts w:ascii="Arial" w:cs="Arial" w:eastAsia="Arial" w:hAnsi="Arial"/>
          <w:sz w:val="18"/>
          <w:szCs w:val="18"/>
          <w:color w:val="auto"/>
        </w:rPr>
        <w:t>the ratification of the selection of Ernst &amp; Young LLP as our independent registered public accounting firm for fiscal year 2026</w:t>
      </w:r>
      <w:r>
        <w:rPr>
          <w:rFonts w:ascii="Arial" w:cs="Arial" w:eastAsia="Arial" w:hAnsi="Arial"/>
          <w:sz w:val="18"/>
          <w:szCs w:val="18"/>
          <w:b w:val="1"/>
          <w:bCs w:val="1"/>
          <w:color w:val="auto"/>
        </w:rPr>
        <w:t xml:space="preserve"> </w:t>
      </w:r>
      <w:r>
        <w:rPr>
          <w:rFonts w:ascii="Arial" w:cs="Arial" w:eastAsia="Arial" w:hAnsi="Arial"/>
          <w:sz w:val="18"/>
          <w:szCs w:val="18"/>
          <w:color w:val="auto"/>
        </w:rPr>
        <w:t>(Proposal 3);</w:t>
      </w:r>
    </w:p>
    <w:p>
      <w:pPr>
        <w:spacing w:after="0" w:line="45" w:lineRule="exact"/>
        <w:rPr>
          <w:sz w:val="20"/>
          <w:szCs w:val="20"/>
          <w:color w:val="auto"/>
        </w:rPr>
      </w:pPr>
    </w:p>
    <w:p>
      <w:pPr>
        <w:ind w:left="260" w:right="2120"/>
        <w:spacing w:after="0" w:line="438" w:lineRule="auto"/>
        <w:rPr>
          <w:sz w:val="20"/>
          <w:szCs w:val="20"/>
          <w:color w:val="auto"/>
        </w:rPr>
      </w:pPr>
      <w:r>
        <w:rPr>
          <w:rFonts w:ascii="Arial" w:cs="Arial" w:eastAsia="Arial" w:hAnsi="Arial"/>
          <w:sz w:val="18"/>
          <w:szCs w:val="18"/>
          <w:b w:val="1"/>
          <w:bCs w:val="1"/>
          <w:color w:val="auto"/>
        </w:rPr>
        <w:t xml:space="preserve">FOR </w:t>
      </w:r>
      <w:r>
        <w:rPr>
          <w:rFonts w:ascii="Arial" w:cs="Arial" w:eastAsia="Arial" w:hAnsi="Arial"/>
          <w:sz w:val="18"/>
          <w:szCs w:val="18"/>
          <w:color w:val="auto"/>
        </w:rPr>
        <w:t>the approval of Amended and Restated Analog Devices, Inc. 2020 Equity Incentive Plan (Proposal 4); and</w:t>
      </w:r>
      <w:r>
        <w:rPr>
          <w:rFonts w:ascii="Arial" w:cs="Arial" w:eastAsia="Arial" w:hAnsi="Arial"/>
          <w:sz w:val="18"/>
          <w:szCs w:val="18"/>
          <w:b w:val="1"/>
          <w:bCs w:val="1"/>
          <w:color w:val="auto"/>
        </w:rPr>
        <w:t xml:space="preserve"> AGAINST </w:t>
      </w:r>
      <w:r>
        <w:rPr>
          <w:rFonts w:ascii="Arial" w:cs="Arial" w:eastAsia="Arial" w:hAnsi="Arial"/>
          <w:sz w:val="18"/>
          <w:szCs w:val="18"/>
          <w:color w:val="auto"/>
        </w:rPr>
        <w:t>the shareholder proposal (Proposal 5).</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b w:val="1"/>
          <w:bCs w:val="1"/>
          <w:color w:val="0067B3"/>
        </w:rPr>
        <w:t>Q: Will any other matters be voted on at this meeting?</w:t>
      </w:r>
    </w:p>
    <w:p>
      <w:pPr>
        <w:spacing w:after="0" w:line="117" w:lineRule="exact"/>
        <w:rPr>
          <w:sz w:val="20"/>
          <w:szCs w:val="20"/>
          <w:color w:val="auto"/>
        </w:rPr>
      </w:pPr>
    </w:p>
    <w:p>
      <w:pPr>
        <w:ind w:left="260" w:right="60" w:hanging="252"/>
        <w:spacing w:after="0" w:line="273" w:lineRule="auto"/>
        <w:tabs>
          <w:tab w:leader="none" w:pos="285" w:val="left"/>
        </w:tabs>
        <w:numPr>
          <w:ilvl w:val="0"/>
          <w:numId w:val="177"/>
        </w:numPr>
        <w:rPr>
          <w:rFonts w:ascii="Arial" w:cs="Arial" w:eastAsia="Arial" w:hAnsi="Arial"/>
          <w:sz w:val="18"/>
          <w:szCs w:val="18"/>
          <w:b w:val="1"/>
          <w:bCs w:val="1"/>
          <w:color w:val="0067B3"/>
        </w:rPr>
      </w:pPr>
      <w:r>
        <w:rPr>
          <w:rFonts w:ascii="Arial" w:cs="Arial" w:eastAsia="Arial" w:hAnsi="Arial"/>
          <w:sz w:val="18"/>
          <w:szCs w:val="18"/>
          <w:color w:val="auto"/>
        </w:rPr>
        <w:t>No. Under the laws of Massachusetts, where we are incorporated, an item may not be brought before our shareholders at a meeting unless it appears in the notice of the meeting. Our Bylaws establish the process for a shareholder to bring a matter before a meeting. See “</w:t>
      </w:r>
      <w:r>
        <w:rPr>
          <w:rFonts w:ascii="Arial" w:cs="Arial" w:eastAsia="Arial" w:hAnsi="Arial"/>
          <w:sz w:val="18"/>
          <w:szCs w:val="18"/>
          <w:b w:val="1"/>
          <w:bCs w:val="1"/>
          <w:color w:val="auto"/>
        </w:rPr>
        <w:t>Additional Information</w:t>
      </w:r>
      <w:r>
        <w:rPr>
          <w:rFonts w:ascii="Arial" w:cs="Arial" w:eastAsia="Arial" w:hAnsi="Arial"/>
          <w:sz w:val="18"/>
          <w:szCs w:val="18"/>
          <w:color w:val="auto"/>
        </w:rPr>
        <w:t>” below.</w:t>
      </w:r>
    </w:p>
    <w:p>
      <w:pPr>
        <w:sectPr>
          <w:pgSz w:w="11900" w:h="16838" w:orient="portrait"/>
          <w:cols w:equalWidth="0" w:num="1">
            <w:col w:w="11240"/>
          </w:cols>
          <w:pgMar w:left="320" w:top="1174" w:right="339" w:bottom="1440" w:gutter="0" w:footer="0" w:header="0"/>
        </w:sectPr>
      </w:pPr>
    </w:p>
    <w:p>
      <w:pPr>
        <w:spacing w:after="0" w:line="200" w:lineRule="exact"/>
        <w:rPr>
          <w:sz w:val="20"/>
          <w:szCs w:val="20"/>
          <w:color w:val="auto"/>
        </w:rPr>
      </w:pPr>
    </w:p>
    <w:p>
      <w:pPr>
        <w:spacing w:after="0" w:line="277" w:lineRule="exact"/>
        <w:rPr>
          <w:sz w:val="20"/>
          <w:szCs w:val="20"/>
          <w:color w:val="auto"/>
        </w:rPr>
      </w:pPr>
    </w:p>
    <w:p>
      <w:pPr>
        <w:ind w:left="8980"/>
        <w:spacing w:after="0"/>
        <w:tabs>
          <w:tab w:leader="none" w:pos="10980" w:val="left"/>
        </w:tabs>
        <w:rPr>
          <w:sz w:val="20"/>
          <w:szCs w:val="20"/>
          <w:color w:val="auto"/>
        </w:rPr>
      </w:pPr>
      <w:r>
        <w:rPr>
          <w:rFonts w:ascii="Arial" w:cs="Arial" w:eastAsia="Arial" w:hAnsi="Arial"/>
          <w:sz w:val="16"/>
          <w:szCs w:val="16"/>
          <w:color w:val="0067B3"/>
        </w:rPr>
        <w:t>2026 Proxy Statement</w:t>
      </w:r>
      <w:r>
        <w:rPr>
          <w:sz w:val="20"/>
          <w:szCs w:val="20"/>
          <w:color w:val="auto"/>
        </w:rPr>
        <w:tab/>
      </w:r>
      <w:r>
        <w:rPr>
          <w:rFonts w:ascii="Arial" w:cs="Arial" w:eastAsia="Arial" w:hAnsi="Arial"/>
          <w:sz w:val="19"/>
          <w:szCs w:val="19"/>
          <w:b w:val="1"/>
          <w:bCs w:val="1"/>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232410</wp:posOffset>
            </wp:positionV>
            <wp:extent cx="7157720" cy="42545"/>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3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4" w:right="339" w:bottom="1440" w:gutter="0" w:footer="0" w:header="0"/>
          <w:type w:val="continuous"/>
        </w:sectPr>
      </w:pPr>
    </w:p>
    <w:bookmarkStart w:id="103" w:name="page104"/>
    <w:bookmarkEnd w:id="103"/>
    <w:p>
      <w:pPr>
        <w:spacing w:after="0"/>
        <w:rPr>
          <w:sz w:val="20"/>
          <w:szCs w:val="20"/>
          <w:color w:val="auto"/>
        </w:rPr>
      </w:pPr>
      <w:r>
        <w:rPr>
          <w:rFonts w:ascii="Arial" w:cs="Arial" w:eastAsia="Arial" w:hAnsi="Arial"/>
          <w:sz w:val="18"/>
          <w:szCs w:val="18"/>
          <w:b w:val="1"/>
          <w:bCs w:val="1"/>
          <w:color w:val="0067B3"/>
        </w:rPr>
        <w:t>Q: Where can I find the voting results?</w:t>
      </w:r>
    </w:p>
    <w:p>
      <w:pPr>
        <w:spacing w:after="0" w:line="117" w:lineRule="exact"/>
        <w:rPr>
          <w:sz w:val="20"/>
          <w:szCs w:val="20"/>
          <w:color w:val="auto"/>
        </w:rPr>
      </w:pPr>
    </w:p>
    <w:p>
      <w:pPr>
        <w:ind w:left="300" w:hanging="292"/>
        <w:spacing w:after="0"/>
        <w:tabs>
          <w:tab w:leader="none" w:pos="300" w:val="left"/>
        </w:tabs>
        <w:numPr>
          <w:ilvl w:val="0"/>
          <w:numId w:val="178"/>
        </w:numPr>
        <w:rPr>
          <w:rFonts w:ascii="Arial" w:cs="Arial" w:eastAsia="Arial" w:hAnsi="Arial"/>
          <w:sz w:val="18"/>
          <w:szCs w:val="18"/>
          <w:b w:val="1"/>
          <w:bCs w:val="1"/>
          <w:color w:val="0067B3"/>
        </w:rPr>
      </w:pPr>
      <w:r>
        <w:rPr>
          <w:rFonts w:ascii="Arial" w:cs="Arial" w:eastAsia="Arial" w:hAnsi="Arial"/>
          <w:sz w:val="18"/>
          <w:szCs w:val="18"/>
          <w:color w:val="auto"/>
        </w:rPr>
        <w:t>We will report the voting results in a Form 8-K filed with the SEC within four business days after the conclusion of the Annual Meeting.</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0067B3"/>
        </w:rPr>
        <w:t>Q: What are the costs of soliciting these proxies and who will pay?</w:t>
      </w:r>
    </w:p>
    <w:p>
      <w:pPr>
        <w:spacing w:after="0" w:line="117" w:lineRule="exact"/>
        <w:rPr>
          <w:sz w:val="20"/>
          <w:szCs w:val="20"/>
          <w:color w:val="auto"/>
        </w:rPr>
      </w:pPr>
    </w:p>
    <w:p>
      <w:pPr>
        <w:ind w:left="260" w:hanging="252"/>
        <w:spacing w:after="0" w:line="257" w:lineRule="auto"/>
        <w:tabs>
          <w:tab w:leader="none" w:pos="285" w:val="left"/>
        </w:tabs>
        <w:numPr>
          <w:ilvl w:val="0"/>
          <w:numId w:val="179"/>
        </w:numPr>
        <w:rPr>
          <w:rFonts w:ascii="Arial" w:cs="Arial" w:eastAsia="Arial" w:hAnsi="Arial"/>
          <w:sz w:val="18"/>
          <w:szCs w:val="18"/>
          <w:b w:val="1"/>
          <w:bCs w:val="1"/>
          <w:color w:val="0067B3"/>
        </w:rPr>
      </w:pPr>
      <w:r>
        <w:rPr>
          <w:rFonts w:ascii="Arial" w:cs="Arial" w:eastAsia="Arial" w:hAnsi="Arial"/>
          <w:sz w:val="18"/>
          <w:szCs w:val="18"/>
          <w:color w:val="auto"/>
        </w:rPr>
        <w:t>Our Board of Directors is soliciting proxies for the matters to be voted on, and we will bear the costs of the solicitation. We have engaged Alliance Advisors LLC to assist us with the solicitation of proxies and expect to pay Alliance Advisors approximately $19,000 for their services. In addition to solicitations by mail, Alliance Advisors and our directors, officers and regular employees may solicit proxies by telephone, email, and personal interviews without additional remuneration. We will request brokers, custodians, and fiduciaries to forward proxy soliciting material to the owners of shares of our common stock that they hold in their names. We will reimburse banks and brokers for their reasonable out-of-pocket expenses incurred in connection with the distribution of our proxy materials.</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color w:val="0067B3"/>
        </w:rPr>
        <w:t>Q: Why did I receive a “Notice of Internet Availability of Proxy Materials” but no proxy materials?</w:t>
      </w:r>
    </w:p>
    <w:p>
      <w:pPr>
        <w:spacing w:after="0" w:line="117" w:lineRule="exact"/>
        <w:rPr>
          <w:sz w:val="20"/>
          <w:szCs w:val="20"/>
          <w:color w:val="auto"/>
        </w:rPr>
      </w:pPr>
    </w:p>
    <w:p>
      <w:pPr>
        <w:ind w:left="260" w:hanging="252"/>
        <w:spacing w:after="0" w:line="259" w:lineRule="auto"/>
        <w:tabs>
          <w:tab w:leader="none" w:pos="285" w:val="left"/>
        </w:tabs>
        <w:numPr>
          <w:ilvl w:val="0"/>
          <w:numId w:val="180"/>
        </w:numPr>
        <w:rPr>
          <w:rFonts w:ascii="Arial" w:cs="Arial" w:eastAsia="Arial" w:hAnsi="Arial"/>
          <w:sz w:val="18"/>
          <w:szCs w:val="18"/>
          <w:b w:val="1"/>
          <w:bCs w:val="1"/>
          <w:color w:val="0067B3"/>
        </w:rPr>
      </w:pPr>
      <w:r>
        <w:rPr>
          <w:rFonts w:ascii="Arial" w:cs="Arial" w:eastAsia="Arial" w:hAnsi="Arial"/>
          <w:sz w:val="18"/>
          <w:szCs w:val="18"/>
          <w:color w:val="auto"/>
        </w:rPr>
        <w:t>We are distributing our proxy materials to shareholders via the Internet under the “Notice and Access” approach permitted by the rules of the SEC. This approach expedites shareholders’ receipt of proxy materials while conserving natural resources and reducing our distribution costs. On or about January 23, 2026, we mailed a Notice of Internet Availability of Proxy Materials to participating shareholders containing instructions on how to access the proxy materials on the Internet, and if desired, to request to receive a paper copy of our proxy materials by mail.</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b w:val="1"/>
          <w:bCs w:val="1"/>
          <w:color w:val="0067B3"/>
        </w:rPr>
        <w:t>Q: How can I obtain an Annual Report on Form 10-K?</w:t>
      </w:r>
    </w:p>
    <w:p>
      <w:pPr>
        <w:spacing w:after="0" w:line="117" w:lineRule="exact"/>
        <w:rPr>
          <w:sz w:val="20"/>
          <w:szCs w:val="20"/>
          <w:color w:val="auto"/>
        </w:rPr>
      </w:pPr>
    </w:p>
    <w:p>
      <w:pPr>
        <w:ind w:left="260" w:right="100" w:hanging="252"/>
        <w:spacing w:after="0" w:line="268" w:lineRule="auto"/>
        <w:tabs>
          <w:tab w:leader="none" w:pos="285" w:val="left"/>
        </w:tabs>
        <w:numPr>
          <w:ilvl w:val="0"/>
          <w:numId w:val="181"/>
        </w:numPr>
        <w:rPr>
          <w:rFonts w:ascii="Arial" w:cs="Arial" w:eastAsia="Arial" w:hAnsi="Arial"/>
          <w:sz w:val="18"/>
          <w:szCs w:val="18"/>
          <w:b w:val="1"/>
          <w:bCs w:val="1"/>
          <w:color w:val="0067B3"/>
        </w:rPr>
      </w:pPr>
      <w:r>
        <w:rPr>
          <w:rFonts w:ascii="Arial" w:cs="Arial" w:eastAsia="Arial" w:hAnsi="Arial"/>
          <w:sz w:val="18"/>
          <w:szCs w:val="18"/>
          <w:color w:val="auto"/>
        </w:rPr>
        <w:t xml:space="preserve">Our Annual Report on Form 10-K for the fiscal year ended November 1, 2025 is available on our website at </w:t>
      </w:r>
      <w:r>
        <w:rPr>
          <w:rFonts w:ascii="Arial" w:cs="Arial" w:eastAsia="Arial" w:hAnsi="Arial"/>
          <w:sz w:val="18"/>
          <w:szCs w:val="18"/>
          <w:color w:val="0067B3"/>
        </w:rPr>
        <w:t>https://investor.analog.com/financial-info/annual-reports</w:t>
      </w:r>
      <w:r>
        <w:rPr>
          <w:rFonts w:ascii="Arial" w:cs="Arial" w:eastAsia="Arial" w:hAnsi="Arial"/>
          <w:sz w:val="18"/>
          <w:szCs w:val="18"/>
          <w:color w:val="000000"/>
        </w:rPr>
        <w:t>. If you would like a copy of our Annual Report on Form 10-K for fiscal year 2025</w:t>
      </w:r>
      <w:r>
        <w:rPr>
          <w:rFonts w:ascii="Arial" w:cs="Arial" w:eastAsia="Arial" w:hAnsi="Arial"/>
          <w:sz w:val="18"/>
          <w:szCs w:val="18"/>
          <w:color w:val="0067B3"/>
        </w:rPr>
        <w:t xml:space="preserve"> </w:t>
      </w:r>
      <w:r>
        <w:rPr>
          <w:rFonts w:ascii="Arial" w:cs="Arial" w:eastAsia="Arial" w:hAnsi="Arial"/>
          <w:sz w:val="18"/>
          <w:szCs w:val="18"/>
          <w:color w:val="000000"/>
        </w:rPr>
        <w:t>and/or any of its exhibits, we will send you such materials without charge. Please contact:</w:t>
      </w:r>
    </w:p>
    <w:p>
      <w:pPr>
        <w:spacing w:after="0" w:line="63" w:lineRule="exact"/>
        <w:rPr>
          <w:sz w:val="20"/>
          <w:szCs w:val="20"/>
          <w:color w:val="auto"/>
        </w:rPr>
      </w:pPr>
    </w:p>
    <w:p>
      <w:pPr>
        <w:ind w:left="260"/>
        <w:spacing w:after="0"/>
        <w:rPr>
          <w:sz w:val="20"/>
          <w:szCs w:val="20"/>
          <w:color w:val="auto"/>
        </w:rPr>
      </w:pPr>
      <w:r>
        <w:rPr>
          <w:rFonts w:ascii="Arial" w:cs="Arial" w:eastAsia="Arial" w:hAnsi="Arial"/>
          <w:sz w:val="18"/>
          <w:szCs w:val="18"/>
          <w:color w:val="auto"/>
        </w:rPr>
        <w:t>Investor Relations Department</w:t>
      </w:r>
    </w:p>
    <w:p>
      <w:pPr>
        <w:spacing w:after="0" w:line="27" w:lineRule="exact"/>
        <w:rPr>
          <w:sz w:val="20"/>
          <w:szCs w:val="20"/>
          <w:color w:val="auto"/>
        </w:rPr>
      </w:pPr>
    </w:p>
    <w:p>
      <w:pPr>
        <w:ind w:left="260"/>
        <w:spacing w:after="0"/>
        <w:rPr>
          <w:sz w:val="20"/>
          <w:szCs w:val="20"/>
          <w:color w:val="auto"/>
        </w:rPr>
      </w:pPr>
      <w:r>
        <w:rPr>
          <w:rFonts w:ascii="Arial" w:cs="Arial" w:eastAsia="Arial" w:hAnsi="Arial"/>
          <w:sz w:val="18"/>
          <w:szCs w:val="18"/>
          <w:color w:val="auto"/>
        </w:rPr>
        <w:t>Analog Devices, Inc.</w:t>
      </w:r>
    </w:p>
    <w:p>
      <w:pPr>
        <w:spacing w:after="0" w:line="9" w:lineRule="exact"/>
        <w:rPr>
          <w:sz w:val="20"/>
          <w:szCs w:val="20"/>
          <w:color w:val="auto"/>
        </w:rPr>
      </w:pPr>
    </w:p>
    <w:p>
      <w:pPr>
        <w:ind w:left="260"/>
        <w:spacing w:after="0"/>
        <w:rPr>
          <w:sz w:val="20"/>
          <w:szCs w:val="20"/>
          <w:color w:val="auto"/>
        </w:rPr>
      </w:pPr>
      <w:r>
        <w:rPr>
          <w:rFonts w:ascii="Arial" w:cs="Arial" w:eastAsia="Arial" w:hAnsi="Arial"/>
          <w:sz w:val="18"/>
          <w:szCs w:val="18"/>
          <w:color w:val="auto"/>
        </w:rPr>
        <w:t>One Analog Way</w:t>
      </w:r>
    </w:p>
    <w:p>
      <w:pPr>
        <w:spacing w:after="0" w:line="9" w:lineRule="exact"/>
        <w:rPr>
          <w:sz w:val="20"/>
          <w:szCs w:val="20"/>
          <w:color w:val="auto"/>
        </w:rPr>
      </w:pPr>
    </w:p>
    <w:p>
      <w:pPr>
        <w:ind w:left="260"/>
        <w:spacing w:after="0"/>
        <w:rPr>
          <w:sz w:val="20"/>
          <w:szCs w:val="20"/>
          <w:color w:val="auto"/>
        </w:rPr>
      </w:pPr>
      <w:r>
        <w:rPr>
          <w:rFonts w:ascii="Arial" w:cs="Arial" w:eastAsia="Arial" w:hAnsi="Arial"/>
          <w:sz w:val="18"/>
          <w:szCs w:val="18"/>
          <w:color w:val="auto"/>
        </w:rPr>
        <w:t>Wilmington, Massachusetts 01887</w:t>
      </w:r>
    </w:p>
    <w:p>
      <w:pPr>
        <w:spacing w:after="0" w:line="9" w:lineRule="exact"/>
        <w:rPr>
          <w:sz w:val="20"/>
          <w:szCs w:val="20"/>
          <w:color w:val="auto"/>
        </w:rPr>
      </w:pPr>
    </w:p>
    <w:p>
      <w:pPr>
        <w:ind w:left="260"/>
        <w:spacing w:after="0"/>
        <w:rPr>
          <w:sz w:val="20"/>
          <w:szCs w:val="20"/>
          <w:color w:val="auto"/>
        </w:rPr>
      </w:pPr>
      <w:r>
        <w:rPr>
          <w:rFonts w:ascii="Arial" w:cs="Arial" w:eastAsia="Arial" w:hAnsi="Arial"/>
          <w:sz w:val="18"/>
          <w:szCs w:val="18"/>
          <w:color w:val="auto"/>
        </w:rPr>
        <w:t>Phone: 781-461-3282</w:t>
      </w:r>
    </w:p>
    <w:p>
      <w:pPr>
        <w:spacing w:after="0" w:line="9" w:lineRule="exact"/>
        <w:rPr>
          <w:sz w:val="20"/>
          <w:szCs w:val="20"/>
          <w:color w:val="auto"/>
        </w:rPr>
      </w:pPr>
    </w:p>
    <w:p>
      <w:pPr>
        <w:ind w:left="260"/>
        <w:spacing w:after="0"/>
        <w:rPr>
          <w:sz w:val="20"/>
          <w:szCs w:val="20"/>
          <w:color w:val="auto"/>
        </w:rPr>
      </w:pPr>
      <w:r>
        <w:rPr>
          <w:rFonts w:ascii="Arial" w:cs="Arial" w:eastAsia="Arial" w:hAnsi="Arial"/>
          <w:sz w:val="18"/>
          <w:szCs w:val="18"/>
          <w:color w:val="auto"/>
        </w:rPr>
        <w:t xml:space="preserve">Email: </w:t>
      </w:r>
      <w:r>
        <w:rPr>
          <w:rFonts w:ascii="Arial" w:cs="Arial" w:eastAsia="Arial" w:hAnsi="Arial"/>
          <w:sz w:val="18"/>
          <w:szCs w:val="18"/>
          <w:color w:val="0067B3"/>
        </w:rPr>
        <w:t>investor.relations@analog.com</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0067B3"/>
        </w:rPr>
        <w:t>Q: Whom should I contact if I have any questions?</w:t>
      </w:r>
    </w:p>
    <w:p>
      <w:pPr>
        <w:spacing w:after="0" w:line="117" w:lineRule="exact"/>
        <w:rPr>
          <w:sz w:val="20"/>
          <w:szCs w:val="20"/>
          <w:color w:val="auto"/>
        </w:rPr>
      </w:pPr>
    </w:p>
    <w:p>
      <w:pPr>
        <w:ind w:left="260" w:right="460" w:hanging="252"/>
        <w:spacing w:after="0" w:line="287" w:lineRule="auto"/>
        <w:tabs>
          <w:tab w:leader="none" w:pos="285" w:val="left"/>
        </w:tabs>
        <w:numPr>
          <w:ilvl w:val="0"/>
          <w:numId w:val="182"/>
        </w:numPr>
        <w:rPr>
          <w:rFonts w:ascii="Arial" w:cs="Arial" w:eastAsia="Arial" w:hAnsi="Arial"/>
          <w:sz w:val="18"/>
          <w:szCs w:val="18"/>
          <w:b w:val="1"/>
          <w:bCs w:val="1"/>
          <w:color w:val="0067B3"/>
        </w:rPr>
      </w:pPr>
      <w:r>
        <w:rPr>
          <w:rFonts w:ascii="Arial" w:cs="Arial" w:eastAsia="Arial" w:hAnsi="Arial"/>
          <w:sz w:val="18"/>
          <w:szCs w:val="18"/>
          <w:color w:val="auto"/>
        </w:rPr>
        <w:t>If you have any questions about the Annual Meeting or your ownership of our common stock, please contact our Investor Relations Department, at the address, telephone number or email address listed above.</w:t>
      </w:r>
    </w:p>
    <w:p>
      <w:pPr>
        <w:spacing w:after="0" w:line="200" w:lineRule="exact"/>
        <w:rPr>
          <w:sz w:val="20"/>
          <w:szCs w:val="20"/>
          <w:color w:val="auto"/>
        </w:rPr>
      </w:pPr>
    </w:p>
    <w:p>
      <w:pPr>
        <w:spacing w:after="0" w:line="320" w:lineRule="exact"/>
        <w:rPr>
          <w:sz w:val="20"/>
          <w:szCs w:val="20"/>
          <w:color w:val="auto"/>
        </w:rPr>
      </w:pPr>
    </w:p>
    <w:p>
      <w:pPr>
        <w:ind w:left="640" w:hanging="614"/>
        <w:spacing w:after="0"/>
        <w:tabs>
          <w:tab w:leader="none" w:pos="640" w:val="left"/>
        </w:tabs>
        <w:numPr>
          <w:ilvl w:val="0"/>
          <w:numId w:val="183"/>
        </w:numPr>
        <w:rPr>
          <w:rFonts w:ascii="Arial" w:cs="Arial" w:eastAsia="Arial" w:hAnsi="Arial"/>
          <w:sz w:val="20"/>
          <w:szCs w:val="20"/>
          <w:b w:val="1"/>
          <w:bCs w:val="1"/>
          <w:color w:val="auto"/>
        </w:rPr>
      </w:pPr>
      <w:r>
        <w:rPr>
          <w:rFonts w:ascii="Arial" w:cs="Arial" w:eastAsia="Arial" w:hAnsi="Arial"/>
          <w:sz w:val="16"/>
          <w:szCs w:val="16"/>
          <w:color w:val="6D6E71"/>
        </w:rPr>
        <w:t>Q&amp;A About Annual Meeting and Voting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194310</wp:posOffset>
            </wp:positionV>
            <wp:extent cx="7157720" cy="42545"/>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174" w:right="419" w:bottom="1440" w:gutter="0" w:footer="0" w:header="0"/>
        </w:sectPr>
      </w:pPr>
    </w:p>
    <w:bookmarkStart w:id="104" w:name="page105"/>
    <w:bookmarkEnd w:id="104"/>
    <w:p>
      <w:pPr>
        <w:spacing w:after="0"/>
        <w:rPr>
          <w:sz w:val="20"/>
          <w:szCs w:val="20"/>
          <w:color w:val="auto"/>
        </w:rPr>
      </w:pPr>
      <w:r>
        <w:rPr>
          <w:rFonts w:ascii="Arial" w:cs="Arial" w:eastAsia="Arial" w:hAnsi="Arial"/>
          <w:sz w:val="58"/>
          <w:szCs w:val="58"/>
          <w:color w:val="auto"/>
        </w:rPr>
        <w:t>Additional Information</w:t>
      </w: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41"/>
          <w:szCs w:val="41"/>
          <w:b w:val="1"/>
          <w:bCs w:val="1"/>
          <w:color w:val="0067B3"/>
        </w:rPr>
        <w:t>Other Matters</w:t>
      </w:r>
    </w:p>
    <w:p>
      <w:pPr>
        <w:spacing w:after="0" w:line="156" w:lineRule="exact"/>
        <w:rPr>
          <w:sz w:val="20"/>
          <w:szCs w:val="20"/>
          <w:color w:val="auto"/>
        </w:rPr>
      </w:pPr>
    </w:p>
    <w:p>
      <w:pPr>
        <w:ind w:right="320"/>
        <w:spacing w:after="0" w:line="237" w:lineRule="auto"/>
        <w:rPr>
          <w:sz w:val="20"/>
          <w:szCs w:val="20"/>
          <w:color w:val="auto"/>
        </w:rPr>
      </w:pPr>
      <w:r>
        <w:rPr>
          <w:rFonts w:ascii="Arial" w:cs="Arial" w:eastAsia="Arial" w:hAnsi="Arial"/>
          <w:sz w:val="18"/>
          <w:szCs w:val="18"/>
          <w:color w:val="auto"/>
        </w:rPr>
        <w:t>Our Board of Directors does not know of any other matters that may come before the Annual Meeting. However, if any other matters are properly presented at the Annual Meeting, it is the intention of the persons named as proxies to vote, or otherwise act, in accordance with</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their judgment on such matters.</w:t>
      </w:r>
    </w:p>
    <w:p>
      <w:pPr>
        <w:spacing w:after="0" w:line="282" w:lineRule="exact"/>
        <w:rPr>
          <w:sz w:val="20"/>
          <w:szCs w:val="20"/>
          <w:color w:val="auto"/>
        </w:rPr>
      </w:pPr>
    </w:p>
    <w:p>
      <w:pPr>
        <w:spacing w:after="0"/>
        <w:rPr>
          <w:sz w:val="20"/>
          <w:szCs w:val="20"/>
          <w:color w:val="auto"/>
        </w:rPr>
      </w:pPr>
      <w:r>
        <w:rPr>
          <w:rFonts w:ascii="Arial" w:cs="Arial" w:eastAsia="Arial" w:hAnsi="Arial"/>
          <w:sz w:val="41"/>
          <w:szCs w:val="41"/>
          <w:b w:val="1"/>
          <w:bCs w:val="1"/>
          <w:color w:val="0067B3"/>
        </w:rPr>
        <w:t>Shareholder Proposals for Inclusion in Proxy Statement</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color w:val="auto"/>
        </w:rPr>
        <w:t>If you are interested in submitting a proposal for inclusion in our proxy statement for the 2027 annual meeting of shareholders, you need to</w:t>
      </w:r>
    </w:p>
    <w:p>
      <w:pPr>
        <w:spacing w:after="0" w:line="14" w:lineRule="exact"/>
        <w:rPr>
          <w:sz w:val="20"/>
          <w:szCs w:val="20"/>
          <w:color w:val="auto"/>
        </w:rPr>
      </w:pPr>
    </w:p>
    <w:p>
      <w:pPr>
        <w:ind w:right="100"/>
        <w:spacing w:after="0" w:line="226" w:lineRule="auto"/>
        <w:rPr>
          <w:sz w:val="20"/>
          <w:szCs w:val="20"/>
          <w:color w:val="auto"/>
        </w:rPr>
      </w:pPr>
      <w:r>
        <w:rPr>
          <w:rFonts w:ascii="Arial" w:cs="Arial" w:eastAsia="Arial" w:hAnsi="Arial"/>
          <w:sz w:val="18"/>
          <w:szCs w:val="18"/>
          <w:color w:val="auto"/>
        </w:rPr>
        <w:t>follow the procedures outlined in Rule 14a-8 of the Exchange Act. To be eligible for inclusion, we must receive your shareholder proposal for our proxy statement for the 2027 annual meeting of shareholders at our principal corporate offices in Wilmington, Massachusetts at the</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address below no later than September 25, 2026.</w:t>
      </w:r>
    </w:p>
    <w:p>
      <w:pPr>
        <w:spacing w:after="0" w:line="282" w:lineRule="exact"/>
        <w:rPr>
          <w:sz w:val="20"/>
          <w:szCs w:val="20"/>
          <w:color w:val="auto"/>
        </w:rPr>
      </w:pPr>
    </w:p>
    <w:p>
      <w:pPr>
        <w:ind w:right="140"/>
        <w:spacing w:after="0" w:line="273" w:lineRule="auto"/>
        <w:rPr>
          <w:sz w:val="20"/>
          <w:szCs w:val="20"/>
          <w:color w:val="auto"/>
        </w:rPr>
      </w:pPr>
      <w:r>
        <w:rPr>
          <w:rFonts w:ascii="Arial" w:cs="Arial" w:eastAsia="Arial" w:hAnsi="Arial"/>
          <w:sz w:val="41"/>
          <w:szCs w:val="41"/>
          <w:b w:val="1"/>
          <w:bCs w:val="1"/>
          <w:color w:val="0067B3"/>
        </w:rPr>
        <w:t>Shareholder Director Nominations for Inclusion in Proxy Statement</w:t>
      </w:r>
    </w:p>
    <w:p>
      <w:pPr>
        <w:ind w:right="180"/>
        <w:spacing w:after="0" w:line="251" w:lineRule="auto"/>
        <w:rPr>
          <w:sz w:val="20"/>
          <w:szCs w:val="20"/>
          <w:color w:val="auto"/>
        </w:rPr>
      </w:pPr>
      <w:r>
        <w:rPr>
          <w:rFonts w:ascii="Arial" w:cs="Arial" w:eastAsia="Arial" w:hAnsi="Arial"/>
          <w:sz w:val="17"/>
          <w:szCs w:val="17"/>
          <w:color w:val="auto"/>
        </w:rPr>
        <w:t>Our Board of Directors has implemented a proxy access provision in our Bylaws, which allows a shareholder or group of up to 20 shareholders owning in aggregate 3% or more of our outstanding shares of common stock continuously for at least three years to nominate</w:t>
      </w:r>
    </w:p>
    <w:p>
      <w:pPr>
        <w:spacing w:after="0" w:line="235" w:lineRule="auto"/>
        <w:rPr>
          <w:sz w:val="20"/>
          <w:szCs w:val="20"/>
          <w:color w:val="auto"/>
        </w:rPr>
      </w:pPr>
      <w:r>
        <w:rPr>
          <w:rFonts w:ascii="Arial" w:cs="Arial" w:eastAsia="Arial" w:hAnsi="Arial"/>
          <w:sz w:val="18"/>
          <w:szCs w:val="18"/>
          <w:color w:val="auto"/>
        </w:rPr>
        <w:t>and include in our proxy materials director nominees constituting up to 20% of the number of directors in office or two nominees, whichever is</w:t>
      </w:r>
    </w:p>
    <w:p>
      <w:pPr>
        <w:ind w:right="40"/>
        <w:spacing w:after="0"/>
        <w:rPr>
          <w:sz w:val="20"/>
          <w:szCs w:val="20"/>
          <w:color w:val="auto"/>
        </w:rPr>
      </w:pPr>
      <w:r>
        <w:rPr>
          <w:rFonts w:ascii="Arial" w:cs="Arial" w:eastAsia="Arial" w:hAnsi="Arial"/>
          <w:sz w:val="17"/>
          <w:szCs w:val="17"/>
          <w:color w:val="auto"/>
        </w:rPr>
        <w:t>greater, provided the shareholder(s) and nominee(s) satisfy the requirements in the Bylaws. If a shareholder or group of shareholders wishes to nominate one or more director candidates to be included in our proxy statement pursuant to these proxy access provisions in Article I,</w:t>
      </w:r>
    </w:p>
    <w:p>
      <w:pPr>
        <w:spacing w:after="0" w:line="235" w:lineRule="auto"/>
        <w:rPr>
          <w:sz w:val="20"/>
          <w:szCs w:val="20"/>
          <w:color w:val="auto"/>
        </w:rPr>
      </w:pPr>
      <w:r>
        <w:rPr>
          <w:rFonts w:ascii="Arial" w:cs="Arial" w:eastAsia="Arial" w:hAnsi="Arial"/>
          <w:sz w:val="18"/>
          <w:szCs w:val="18"/>
          <w:color w:val="auto"/>
        </w:rPr>
        <w:t>Section 1.9(c) of our Bylaws, the Corporate Secretary must receive advance written notice at the address noted below not less than 120 days</w:t>
      </w:r>
    </w:p>
    <w:p>
      <w:pPr>
        <w:ind w:right="240"/>
        <w:spacing w:after="0" w:line="226" w:lineRule="auto"/>
        <w:rPr>
          <w:sz w:val="20"/>
          <w:szCs w:val="20"/>
          <w:color w:val="auto"/>
        </w:rPr>
      </w:pPr>
      <w:r>
        <w:rPr>
          <w:rFonts w:ascii="Arial" w:cs="Arial" w:eastAsia="Arial" w:hAnsi="Arial"/>
          <w:sz w:val="18"/>
          <w:szCs w:val="18"/>
          <w:color w:val="auto"/>
        </w:rPr>
        <w:t>nor more than 150 days before the first anniversary of the preceding year’s annual meeting. However, if the date of our annual meeting of shareholders is advanced by more than 20 days, or delayed by more than 60 days, from the anniversary date, or if no annual meeting was</w:t>
      </w:r>
    </w:p>
    <w:p>
      <w:pPr>
        <w:spacing w:after="0" w:line="236" w:lineRule="auto"/>
        <w:rPr>
          <w:sz w:val="20"/>
          <w:szCs w:val="20"/>
          <w:color w:val="auto"/>
        </w:rPr>
      </w:pPr>
      <w:r>
        <w:rPr>
          <w:rFonts w:ascii="Arial" w:cs="Arial" w:eastAsia="Arial" w:hAnsi="Arial"/>
          <w:sz w:val="18"/>
          <w:szCs w:val="18"/>
          <w:color w:val="auto"/>
        </w:rPr>
        <w:t>held in the preceding year, then we must receive such notice at the address noted below not earlier than the 150th day before such annual</w:t>
      </w:r>
    </w:p>
    <w:p>
      <w:pPr>
        <w:spacing w:after="0" w:line="1" w:lineRule="exact"/>
        <w:rPr>
          <w:sz w:val="20"/>
          <w:szCs w:val="20"/>
          <w:color w:val="auto"/>
        </w:rPr>
      </w:pPr>
    </w:p>
    <w:p>
      <w:pPr>
        <w:ind w:right="180"/>
        <w:spacing w:after="0" w:line="226" w:lineRule="auto"/>
        <w:rPr>
          <w:sz w:val="20"/>
          <w:szCs w:val="20"/>
          <w:color w:val="auto"/>
        </w:rPr>
      </w:pPr>
      <w:r>
        <w:rPr>
          <w:rFonts w:ascii="Arial" w:cs="Arial" w:eastAsia="Arial" w:hAnsi="Arial"/>
          <w:sz w:val="18"/>
          <w:szCs w:val="18"/>
          <w:color w:val="auto"/>
        </w:rPr>
        <w:t>meeting and not later than the close of business on the later of (1) the 120th day prior to such annual meeting and (2) the seventh day after the day on which notice of the meeting date was mailed or public disclosure was made, whichever occurs first. Assuming that the 2027</w:t>
      </w:r>
    </w:p>
    <w:p>
      <w:pPr>
        <w:spacing w:after="0" w:line="236" w:lineRule="auto"/>
        <w:rPr>
          <w:sz w:val="20"/>
          <w:szCs w:val="20"/>
          <w:color w:val="auto"/>
        </w:rPr>
      </w:pPr>
      <w:r>
        <w:rPr>
          <w:rFonts w:ascii="Arial" w:cs="Arial" w:eastAsia="Arial" w:hAnsi="Arial"/>
          <w:sz w:val="18"/>
          <w:szCs w:val="18"/>
          <w:color w:val="auto"/>
        </w:rPr>
        <w:t>annual meeting of shareholders is not advanced by more than 20 days nor delayed by more than 60 days from the anniversary date of the</w:t>
      </w:r>
    </w:p>
    <w:p>
      <w:pPr>
        <w:spacing w:after="0" w:line="1" w:lineRule="exact"/>
        <w:rPr>
          <w:sz w:val="20"/>
          <w:szCs w:val="20"/>
          <w:color w:val="auto"/>
        </w:rPr>
      </w:pPr>
    </w:p>
    <w:p>
      <w:pPr>
        <w:spacing w:after="0" w:line="237" w:lineRule="auto"/>
        <w:rPr>
          <w:sz w:val="20"/>
          <w:szCs w:val="20"/>
          <w:color w:val="auto"/>
        </w:rPr>
      </w:pPr>
      <w:r>
        <w:rPr>
          <w:rFonts w:ascii="Arial" w:cs="Arial" w:eastAsia="Arial" w:hAnsi="Arial"/>
          <w:sz w:val="18"/>
          <w:szCs w:val="18"/>
          <w:color w:val="auto"/>
        </w:rPr>
        <w:t>Annual Meeting, you would need to give us appropriate notice at the address noted below no earlier than October 12, 2026, and no later than November 11, 2026.</w:t>
      </w:r>
    </w:p>
    <w:p>
      <w:pPr>
        <w:spacing w:after="0" w:line="269" w:lineRule="exact"/>
        <w:rPr>
          <w:sz w:val="20"/>
          <w:szCs w:val="20"/>
          <w:color w:val="auto"/>
        </w:rPr>
      </w:pPr>
    </w:p>
    <w:p>
      <w:pPr>
        <w:ind w:right="720"/>
        <w:spacing w:after="0" w:line="273" w:lineRule="auto"/>
        <w:rPr>
          <w:sz w:val="20"/>
          <w:szCs w:val="20"/>
          <w:color w:val="auto"/>
        </w:rPr>
      </w:pPr>
      <w:r>
        <w:rPr>
          <w:rFonts w:ascii="Arial" w:cs="Arial" w:eastAsia="Arial" w:hAnsi="Arial"/>
          <w:sz w:val="41"/>
          <w:szCs w:val="41"/>
          <w:b w:val="1"/>
          <w:bCs w:val="1"/>
          <w:color w:val="0067B3"/>
        </w:rPr>
        <w:t>Shareholder Proposals and Director Nominations Not Included in Proxy Statement</w:t>
      </w:r>
    </w:p>
    <w:p>
      <w:pPr>
        <w:spacing w:after="0"/>
        <w:rPr>
          <w:sz w:val="20"/>
          <w:szCs w:val="20"/>
          <w:color w:val="auto"/>
        </w:rPr>
      </w:pPr>
      <w:r>
        <w:rPr>
          <w:rFonts w:ascii="Arial" w:cs="Arial" w:eastAsia="Arial" w:hAnsi="Arial"/>
          <w:sz w:val="18"/>
          <w:szCs w:val="18"/>
          <w:color w:val="auto"/>
        </w:rPr>
        <w:t>In addition, our Bylaws require that we be given advance written notice for nominations for election to our Board of Directors and other</w:t>
      </w:r>
    </w:p>
    <w:p>
      <w:pPr>
        <w:spacing w:after="0" w:line="14" w:lineRule="exact"/>
        <w:rPr>
          <w:sz w:val="20"/>
          <w:szCs w:val="20"/>
          <w:color w:val="auto"/>
        </w:rPr>
      </w:pPr>
    </w:p>
    <w:p>
      <w:pPr>
        <w:ind w:right="260"/>
        <w:spacing w:after="0" w:line="226" w:lineRule="auto"/>
        <w:rPr>
          <w:sz w:val="20"/>
          <w:szCs w:val="20"/>
          <w:color w:val="auto"/>
        </w:rPr>
      </w:pPr>
      <w:r>
        <w:rPr>
          <w:rFonts w:ascii="Arial" w:cs="Arial" w:eastAsia="Arial" w:hAnsi="Arial"/>
          <w:sz w:val="18"/>
          <w:szCs w:val="18"/>
          <w:color w:val="auto"/>
        </w:rPr>
        <w:t>matters that shareholders wish to present for action at an annual meeting of shareholders other than those to be included in our proxy statement under Rule 14a-8. The Corporate Secretary must receive such notice at the address noted below not less than 90 days or more</w:t>
      </w:r>
    </w:p>
    <w:p>
      <w:pPr>
        <w:spacing w:after="0" w:line="236" w:lineRule="auto"/>
        <w:rPr>
          <w:sz w:val="20"/>
          <w:szCs w:val="20"/>
          <w:color w:val="auto"/>
        </w:rPr>
      </w:pPr>
      <w:r>
        <w:rPr>
          <w:rFonts w:ascii="Arial" w:cs="Arial" w:eastAsia="Arial" w:hAnsi="Arial"/>
          <w:sz w:val="18"/>
          <w:szCs w:val="18"/>
          <w:color w:val="auto"/>
        </w:rPr>
        <w:t>than 120 days before the first anniversary of the preceding year’s annual meeting of shareholders. However, if the date of our annual</w:t>
      </w:r>
    </w:p>
    <w:p>
      <w:pPr>
        <w:spacing w:after="0" w:line="1" w:lineRule="exact"/>
        <w:rPr>
          <w:sz w:val="20"/>
          <w:szCs w:val="20"/>
          <w:color w:val="auto"/>
        </w:rPr>
      </w:pPr>
    </w:p>
    <w:p>
      <w:pPr>
        <w:ind w:right="400"/>
        <w:spacing w:after="0" w:line="226" w:lineRule="auto"/>
        <w:rPr>
          <w:sz w:val="20"/>
          <w:szCs w:val="20"/>
          <w:color w:val="auto"/>
        </w:rPr>
      </w:pPr>
      <w:r>
        <w:rPr>
          <w:rFonts w:ascii="Arial" w:cs="Arial" w:eastAsia="Arial" w:hAnsi="Arial"/>
          <w:sz w:val="18"/>
          <w:szCs w:val="18"/>
          <w:color w:val="auto"/>
        </w:rPr>
        <w:t>meeting of shareholders is advanced by more than 20 days, or delayed by more than 60 days, from the anniversary date, then we must receive such notice at the address noted below not earlier than the 120th day before such annual meeting and not later than the close of</w:t>
      </w:r>
    </w:p>
    <w:p>
      <w:pPr>
        <w:spacing w:after="0" w:line="236" w:lineRule="auto"/>
        <w:rPr>
          <w:sz w:val="20"/>
          <w:szCs w:val="20"/>
          <w:color w:val="auto"/>
        </w:rPr>
      </w:pPr>
      <w:r>
        <w:rPr>
          <w:rFonts w:ascii="Arial" w:cs="Arial" w:eastAsia="Arial" w:hAnsi="Arial"/>
          <w:sz w:val="18"/>
          <w:szCs w:val="18"/>
          <w:color w:val="auto"/>
        </w:rPr>
        <w:t>business on the later of (1) the 90th day before such annual meeting and (2) the seventh day after the day on which notice of the meeting</w:t>
      </w:r>
    </w:p>
    <w:p>
      <w:pPr>
        <w:spacing w:after="0" w:line="1" w:lineRule="exact"/>
        <w:rPr>
          <w:sz w:val="20"/>
          <w:szCs w:val="20"/>
          <w:color w:val="auto"/>
        </w:rPr>
      </w:pPr>
    </w:p>
    <w:p>
      <w:pPr>
        <w:ind w:right="60"/>
        <w:spacing w:after="0" w:line="226" w:lineRule="auto"/>
        <w:rPr>
          <w:sz w:val="20"/>
          <w:szCs w:val="20"/>
          <w:color w:val="auto"/>
        </w:rPr>
      </w:pPr>
      <w:r>
        <w:rPr>
          <w:rFonts w:ascii="Arial" w:cs="Arial" w:eastAsia="Arial" w:hAnsi="Arial"/>
          <w:sz w:val="18"/>
          <w:szCs w:val="18"/>
          <w:color w:val="auto"/>
        </w:rPr>
        <w:t>date was mailed or public disclosure was made, whichever occurs first. Assuming that the 2027 annual meeting of shareholders is not advanced by more than 20 days nor delayed by more than 60 days from the anniversary date of the Annual Meeting, you would need to give</w:t>
      </w:r>
    </w:p>
    <w:p>
      <w:pPr>
        <w:spacing w:after="0" w:line="236" w:lineRule="auto"/>
        <w:rPr>
          <w:sz w:val="20"/>
          <w:szCs w:val="20"/>
          <w:color w:val="auto"/>
        </w:rPr>
      </w:pPr>
      <w:r>
        <w:rPr>
          <w:rFonts w:ascii="Arial" w:cs="Arial" w:eastAsia="Arial" w:hAnsi="Arial"/>
          <w:sz w:val="18"/>
          <w:szCs w:val="18"/>
          <w:color w:val="auto"/>
        </w:rPr>
        <w:t>us appropriate notice at the address noted below no earlier than November 11, 2026, and no later than December 11, 2026. If a shareholder</w:t>
      </w:r>
    </w:p>
    <w:p>
      <w:pPr>
        <w:spacing w:after="0" w:line="1" w:lineRule="exact"/>
        <w:rPr>
          <w:sz w:val="20"/>
          <w:szCs w:val="20"/>
          <w:color w:val="auto"/>
        </w:rPr>
      </w:pPr>
    </w:p>
    <w:p>
      <w:pPr>
        <w:ind w:right="40"/>
        <w:spacing w:after="0"/>
        <w:rPr>
          <w:sz w:val="20"/>
          <w:szCs w:val="20"/>
          <w:color w:val="auto"/>
        </w:rPr>
      </w:pPr>
      <w:r>
        <w:rPr>
          <w:rFonts w:ascii="Arial" w:cs="Arial" w:eastAsia="Arial" w:hAnsi="Arial"/>
          <w:sz w:val="17"/>
          <w:szCs w:val="17"/>
          <w:color w:val="auto"/>
        </w:rPr>
        <w:t>does not provide timely notice of a nomination or other matter to be presented at the 2027 annual meeting of shareholders, under Massachusetts law, it may not be brought before our shareholders at a meeting. Our Bylaws also specify requirements relating to the content</w:t>
      </w:r>
    </w:p>
    <w:p>
      <w:pPr>
        <w:spacing w:after="0" w:line="235" w:lineRule="auto"/>
        <w:rPr>
          <w:sz w:val="20"/>
          <w:szCs w:val="20"/>
          <w:color w:val="auto"/>
        </w:rPr>
      </w:pPr>
      <w:r>
        <w:rPr>
          <w:rFonts w:ascii="Arial" w:cs="Arial" w:eastAsia="Arial" w:hAnsi="Arial"/>
          <w:sz w:val="18"/>
          <w:szCs w:val="18"/>
          <w:color w:val="auto"/>
        </w:rPr>
        <w:t>of the notice (including the information required by Rule 14a-19 under the Exchange Act) that shareholders must provide to the Corporate</w:t>
      </w:r>
    </w:p>
    <w:p>
      <w:pPr>
        <w:ind w:right="80"/>
        <w:spacing w:after="0" w:line="237" w:lineRule="auto"/>
        <w:rPr>
          <w:sz w:val="20"/>
          <w:szCs w:val="20"/>
          <w:color w:val="auto"/>
        </w:rPr>
      </w:pPr>
      <w:r>
        <w:rPr>
          <w:rFonts w:ascii="Arial" w:cs="Arial" w:eastAsia="Arial" w:hAnsi="Arial"/>
          <w:sz w:val="18"/>
          <w:szCs w:val="18"/>
          <w:color w:val="auto"/>
        </w:rPr>
        <w:t>Secretary of ADI for a shareholder proposal or nomination for director, to be properly presented at an annual shareholder meeting. A copy of the full text of our Bylaws is on file with the SEC and publicly available on our website.</w:t>
      </w:r>
    </w:p>
    <w:p>
      <w:pPr>
        <w:sectPr>
          <w:pgSz w:w="11900" w:h="16838" w:orient="portrait"/>
          <w:cols w:equalWidth="0" w:num="1">
            <w:col w:w="11240"/>
          </w:cols>
          <w:pgMar w:left="320" w:top="1126" w:right="339" w:bottom="1440" w:gutter="0" w:footer="0" w:header="0"/>
        </w:sectPr>
      </w:pPr>
    </w:p>
    <w:p>
      <w:pPr>
        <w:spacing w:after="0" w:line="200" w:lineRule="exact"/>
        <w:rPr>
          <w:sz w:val="20"/>
          <w:szCs w:val="20"/>
          <w:color w:val="auto"/>
        </w:rPr>
      </w:pPr>
    </w:p>
    <w:p>
      <w:pPr>
        <w:spacing w:after="0" w:line="259" w:lineRule="exact"/>
        <w:rPr>
          <w:sz w:val="20"/>
          <w:szCs w:val="20"/>
          <w:color w:val="auto"/>
        </w:rPr>
      </w:pPr>
    </w:p>
    <w:p>
      <w:pPr>
        <w:ind w:left="8980"/>
        <w:spacing w:after="0"/>
        <w:tabs>
          <w:tab w:leader="none" w:pos="10980" w:val="left"/>
        </w:tabs>
        <w:rPr>
          <w:sz w:val="20"/>
          <w:szCs w:val="20"/>
          <w:color w:val="auto"/>
        </w:rPr>
      </w:pPr>
      <w:r>
        <w:rPr>
          <w:rFonts w:ascii="Arial" w:cs="Arial" w:eastAsia="Arial" w:hAnsi="Arial"/>
          <w:sz w:val="16"/>
          <w:szCs w:val="16"/>
          <w:color w:val="0067B3"/>
        </w:rPr>
        <w:t>2026 Proxy Statement</w:t>
      </w:r>
      <w:r>
        <w:rPr>
          <w:sz w:val="20"/>
          <w:szCs w:val="20"/>
          <w:color w:val="auto"/>
        </w:rPr>
        <w:tab/>
      </w:r>
      <w:r>
        <w:rPr>
          <w:rFonts w:ascii="Arial" w:cs="Arial" w:eastAsia="Arial" w:hAnsi="Arial"/>
          <w:sz w:val="19"/>
          <w:szCs w:val="19"/>
          <w:b w:val="1"/>
          <w:bCs w:val="1"/>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223520</wp:posOffset>
            </wp:positionV>
            <wp:extent cx="7157720" cy="42545"/>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6" w:right="339" w:bottom="1440" w:gutter="0" w:footer="0" w:header="0"/>
          <w:type w:val="continuous"/>
        </w:sectPr>
      </w:pPr>
    </w:p>
    <w:bookmarkStart w:id="105" w:name="page106"/>
    <w:bookmarkEnd w:id="105"/>
    <w:p>
      <w:pPr>
        <w:spacing w:after="0"/>
        <w:rPr>
          <w:sz w:val="20"/>
          <w:szCs w:val="20"/>
          <w:color w:val="auto"/>
        </w:rPr>
      </w:pPr>
      <w:r>
        <w:rPr>
          <w:rFonts w:ascii="Arial" w:cs="Arial" w:eastAsia="Arial" w:hAnsi="Arial"/>
          <w:sz w:val="18"/>
          <w:szCs w:val="18"/>
          <w:color w:val="auto"/>
        </w:rPr>
        <w:t>Any proposals, nominations or notices should be sent to:</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Janene Asgeirsson, Corporate Secretary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Analog Devices,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One Analog Way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Wilmington, Massachusetts 01887</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Phone: 781-937-1164</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Email: </w:t>
      </w:r>
      <w:r>
        <w:rPr>
          <w:rFonts w:ascii="Arial" w:cs="Arial" w:eastAsia="Arial" w:hAnsi="Arial"/>
          <w:sz w:val="18"/>
          <w:szCs w:val="18"/>
          <w:color w:val="0067B3"/>
        </w:rPr>
        <w:t>janene.asgeirsson@analog.com</w:t>
      </w:r>
    </w:p>
    <w:p>
      <w:pPr>
        <w:spacing w:after="0" w:line="282" w:lineRule="exact"/>
        <w:rPr>
          <w:sz w:val="20"/>
          <w:szCs w:val="20"/>
          <w:color w:val="auto"/>
        </w:rPr>
      </w:pPr>
    </w:p>
    <w:p>
      <w:pPr>
        <w:spacing w:after="0"/>
        <w:rPr>
          <w:sz w:val="20"/>
          <w:szCs w:val="20"/>
          <w:color w:val="auto"/>
        </w:rPr>
      </w:pPr>
      <w:r>
        <w:rPr>
          <w:rFonts w:ascii="Arial" w:cs="Arial" w:eastAsia="Arial" w:hAnsi="Arial"/>
          <w:sz w:val="41"/>
          <w:szCs w:val="41"/>
          <w:b w:val="1"/>
          <w:bCs w:val="1"/>
          <w:color w:val="0067B3"/>
        </w:rPr>
        <w:t>Householding of Annual Meeting Materials</w:t>
      </w:r>
    </w:p>
    <w:p>
      <w:pPr>
        <w:spacing w:after="0" w:line="169"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 xml:space="preserve">Some banks, brokers and other nominee record holders may be participating in the practice of “householding” proxy statements and annual reports. This means that only one copy of our proxy statement and annual report to shareholders may have been sent to multiple shareholders sharing your address unless we have received contrary instructions from one or more shareholders. We will promptly deliver a separate copy of either document to you if you contact us at the following address, telephone number or email address: Investor Relations Department, Analog Devices, Inc., One Analog Way, Wilmington, Massachusetts 01887, telephone: 781-461-3282, email: </w:t>
      </w:r>
      <w:r>
        <w:rPr>
          <w:rFonts w:ascii="Arial" w:cs="Arial" w:eastAsia="Arial" w:hAnsi="Arial"/>
          <w:sz w:val="18"/>
          <w:szCs w:val="18"/>
          <w:color w:val="0067B3"/>
        </w:rPr>
        <w:t>investor.relations@analog.com</w:t>
      </w:r>
      <w:r>
        <w:rPr>
          <w:rFonts w:ascii="Arial" w:cs="Arial" w:eastAsia="Arial" w:hAnsi="Arial"/>
          <w:sz w:val="18"/>
          <w:szCs w:val="18"/>
          <w:color w:val="000000"/>
        </w:rPr>
        <w:t>. If you want to receive separate copies of the proxy statement or annual report to shareholders in the future,</w:t>
      </w:r>
      <w:r>
        <w:rPr>
          <w:rFonts w:ascii="Arial" w:cs="Arial" w:eastAsia="Arial" w:hAnsi="Arial"/>
          <w:sz w:val="18"/>
          <w:szCs w:val="18"/>
          <w:color w:val="0067B3"/>
        </w:rPr>
        <w:t xml:space="preserve"> </w:t>
      </w:r>
      <w:r>
        <w:rPr>
          <w:rFonts w:ascii="Arial" w:cs="Arial" w:eastAsia="Arial" w:hAnsi="Arial"/>
          <w:sz w:val="18"/>
          <w:szCs w:val="18"/>
          <w:color w:val="000000"/>
        </w:rPr>
        <w:t>or if you are receiving multiple copies and would like to receive only one copy per address, you should contact your bank, broker, or other nominee record holder, or you may contact us at the above address, telephone number or email address.</w:t>
      </w:r>
    </w:p>
    <w:p>
      <w:pPr>
        <w:spacing w:after="0" w:line="200" w:lineRule="exact"/>
        <w:rPr>
          <w:sz w:val="20"/>
          <w:szCs w:val="20"/>
          <w:color w:val="auto"/>
        </w:rPr>
      </w:pPr>
    </w:p>
    <w:p>
      <w:pPr>
        <w:spacing w:after="0" w:line="298" w:lineRule="exact"/>
        <w:rPr>
          <w:sz w:val="20"/>
          <w:szCs w:val="20"/>
          <w:color w:val="auto"/>
        </w:rPr>
      </w:pPr>
    </w:p>
    <w:p>
      <w:pPr>
        <w:ind w:left="640" w:hanging="614"/>
        <w:spacing w:after="0"/>
        <w:tabs>
          <w:tab w:leader="none" w:pos="640" w:val="left"/>
        </w:tabs>
        <w:numPr>
          <w:ilvl w:val="0"/>
          <w:numId w:val="184"/>
        </w:numPr>
        <w:rPr>
          <w:rFonts w:ascii="Arial" w:cs="Arial" w:eastAsia="Arial" w:hAnsi="Arial"/>
          <w:sz w:val="20"/>
          <w:szCs w:val="20"/>
          <w:b w:val="1"/>
          <w:bCs w:val="1"/>
          <w:color w:val="auto"/>
        </w:rPr>
      </w:pPr>
      <w:r>
        <w:rPr>
          <w:rFonts w:ascii="Arial" w:cs="Arial" w:eastAsia="Arial" w:hAnsi="Arial"/>
          <w:sz w:val="16"/>
          <w:szCs w:val="16"/>
          <w:color w:val="6D6E71"/>
        </w:rPr>
        <w:t>Additional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186055</wp:posOffset>
            </wp:positionV>
            <wp:extent cx="7157720" cy="42545"/>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1174" w:right="459" w:bottom="1440" w:gutter="0" w:footer="0" w:header="0"/>
        </w:sectPr>
      </w:pPr>
    </w:p>
    <w:bookmarkStart w:id="106" w:name="page107"/>
    <w:bookmarkEnd w:id="106"/>
    <w:p>
      <w:pPr>
        <w:spacing w:after="0"/>
        <w:rPr>
          <w:sz w:val="20"/>
          <w:szCs w:val="20"/>
          <w:color w:val="auto"/>
        </w:rPr>
      </w:pPr>
      <w:r>
        <w:rPr>
          <w:rFonts w:ascii="Arial" w:cs="Arial" w:eastAsia="Arial" w:hAnsi="Arial"/>
          <w:sz w:val="58"/>
          <w:szCs w:val="58"/>
          <w:color w:val="auto"/>
        </w:rPr>
        <w:t>Appendix A</w:t>
      </w:r>
    </w:p>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Analog Devices, Inc. 2020 Equity Incentive Plan</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amended and restated effective March 11, 2026)</w:t>
      </w:r>
    </w:p>
    <w:p>
      <w:pPr>
        <w:spacing w:after="0" w:line="117" w:lineRule="exact"/>
        <w:rPr>
          <w:sz w:val="20"/>
          <w:szCs w:val="20"/>
          <w:color w:val="auto"/>
        </w:rPr>
      </w:pPr>
    </w:p>
    <w:p>
      <w:pPr>
        <w:ind w:left="340" w:hanging="332"/>
        <w:spacing w:after="0"/>
        <w:tabs>
          <w:tab w:leader="none" w:pos="340" w:val="left"/>
        </w:tabs>
        <w:numPr>
          <w:ilvl w:val="0"/>
          <w:numId w:val="185"/>
        </w:numPr>
        <w:rPr>
          <w:rFonts w:ascii="Arial" w:cs="Arial" w:eastAsia="Arial" w:hAnsi="Arial"/>
          <w:sz w:val="18"/>
          <w:szCs w:val="18"/>
          <w:color w:val="auto"/>
        </w:rPr>
      </w:pPr>
      <w:r>
        <w:rPr>
          <w:rFonts w:ascii="Arial" w:cs="Arial" w:eastAsia="Arial" w:hAnsi="Arial"/>
          <w:sz w:val="18"/>
          <w:szCs w:val="18"/>
          <w:u w:val="single" w:color="auto"/>
          <w:color w:val="auto"/>
        </w:rPr>
        <w:t>Purpose</w:t>
      </w:r>
    </w:p>
    <w:p>
      <w:pPr>
        <w:spacing w:after="0" w:line="117"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The purpose of this 2020 Equity Incentive Plan (the “Plan”) of Analog Devices, Inc., a Massachusetts corporation (the “Company”), is to advance the interests of the Company’s stockholders by enhancing the Company’s ability to attract, retain and motivate persons who are expected to make important contributions to the Company and by providing such persons with equity ownership opportunities and equity performance-based incentives that are intended to better align the interests of such persons with those of the Company’s stockholders. Except where the context otherwise requires, the term “Company” shall include any of the Company’s present or future parent or subsidiary corporations as defined in Sections 424(e) or (f) of the Internal Revenue Code of 1986, as amended, and any regulations thereunder (the “Code”) and any other business venture (including, without limitation, joint venture or limited liability company) in which the Company has a controlling interest, as determined by the Board of Directors of the Company (the “Board”); provided, however, that such other business ventures shall be limited to entities that, where required by Section 409A of the Code, are eligible issuers of service recipient stock (as defined in Treas. Reg. Section 1.409A-1(b)(5)(iii)(E), or applicable successor regulation). The Plan originally became effective March 11, 2020 (the “Original Effective Date”). This amendment and restatement of the Plan is effective on March 11, 2026, the date of our 2026 annual meeting of shareholders (the “Amendment Effective Date”), subject to the approval of the Company’s shareholders on such date.</w:t>
      </w:r>
    </w:p>
    <w:p>
      <w:pPr>
        <w:spacing w:after="0" w:line="82" w:lineRule="exact"/>
        <w:rPr>
          <w:sz w:val="20"/>
          <w:szCs w:val="20"/>
          <w:color w:val="auto"/>
        </w:rPr>
      </w:pPr>
    </w:p>
    <w:p>
      <w:pPr>
        <w:ind w:left="340" w:hanging="332"/>
        <w:spacing w:after="0"/>
        <w:tabs>
          <w:tab w:leader="none" w:pos="340" w:val="left"/>
        </w:tabs>
        <w:numPr>
          <w:ilvl w:val="0"/>
          <w:numId w:val="186"/>
        </w:numPr>
        <w:rPr>
          <w:rFonts w:ascii="Arial" w:cs="Arial" w:eastAsia="Arial" w:hAnsi="Arial"/>
          <w:sz w:val="18"/>
          <w:szCs w:val="18"/>
          <w:color w:val="auto"/>
        </w:rPr>
      </w:pPr>
      <w:r>
        <w:rPr>
          <w:rFonts w:ascii="Arial" w:cs="Arial" w:eastAsia="Arial" w:hAnsi="Arial"/>
          <w:sz w:val="18"/>
          <w:szCs w:val="18"/>
          <w:u w:val="single" w:color="auto"/>
          <w:color w:val="auto"/>
        </w:rPr>
        <w:t>Eligibility</w:t>
      </w:r>
    </w:p>
    <w:p>
      <w:pPr>
        <w:spacing w:after="0" w:line="117" w:lineRule="exact"/>
        <w:rPr>
          <w:sz w:val="20"/>
          <w:szCs w:val="20"/>
          <w:color w:val="auto"/>
        </w:rPr>
      </w:pPr>
    </w:p>
    <w:p>
      <w:pPr>
        <w:ind w:right="180"/>
        <w:spacing w:after="0" w:line="255" w:lineRule="auto"/>
        <w:rPr>
          <w:sz w:val="20"/>
          <w:szCs w:val="20"/>
          <w:color w:val="auto"/>
        </w:rPr>
      </w:pPr>
      <w:r>
        <w:rPr>
          <w:rFonts w:ascii="Arial" w:cs="Arial" w:eastAsia="Arial" w:hAnsi="Arial"/>
          <w:sz w:val="18"/>
          <w:szCs w:val="18"/>
          <w:color w:val="auto"/>
        </w:rPr>
        <w:t>All of the Company’s employees, officers and directors, as well as consultants and advisors to the Company (as the terms consultants and advisors are defined and interpreted for purposes of Form S-8 under the Securities Act of 1933, as amended (the “Securities Act”), or any successor form) are eligible to be granted Awards (as defined below) under the Plan. Each person who is granted an Award under the Plan is deemed a “Participant.” The Plan provides for the following types of awards, each of which is referred to as an “Award”: Options (as defined in Section 5), SARs (as defined in Section 6), Restricted Stock (as defined in Section 7), RSUs (also as defined in Section 7) and Other Stock-Based Awards (as defined in Section 8). Except as otherwise provided by the Plan, each Award may be made alone or in addition or in relation to any other Award. The terms of each Award need not be identical, and the Board need not treat Participants uniformly.</w:t>
      </w:r>
    </w:p>
    <w:p>
      <w:pPr>
        <w:spacing w:after="0" w:line="77" w:lineRule="exact"/>
        <w:rPr>
          <w:sz w:val="20"/>
          <w:szCs w:val="20"/>
          <w:color w:val="auto"/>
        </w:rPr>
      </w:pPr>
    </w:p>
    <w:p>
      <w:pPr>
        <w:ind w:left="340" w:hanging="332"/>
        <w:spacing w:after="0"/>
        <w:tabs>
          <w:tab w:leader="none" w:pos="340" w:val="left"/>
        </w:tabs>
        <w:numPr>
          <w:ilvl w:val="0"/>
          <w:numId w:val="187"/>
        </w:numPr>
        <w:rPr>
          <w:rFonts w:ascii="Arial" w:cs="Arial" w:eastAsia="Arial" w:hAnsi="Arial"/>
          <w:sz w:val="18"/>
          <w:szCs w:val="18"/>
          <w:color w:val="auto"/>
        </w:rPr>
      </w:pPr>
      <w:r>
        <w:rPr>
          <w:rFonts w:ascii="Arial" w:cs="Arial" w:eastAsia="Arial" w:hAnsi="Arial"/>
          <w:sz w:val="18"/>
          <w:szCs w:val="18"/>
          <w:u w:val="single" w:color="auto"/>
          <w:color w:val="auto"/>
        </w:rPr>
        <w:t>Administration and Delegation</w:t>
      </w:r>
    </w:p>
    <w:p>
      <w:pPr>
        <w:spacing w:after="0" w:line="117" w:lineRule="exact"/>
        <w:rPr>
          <w:rFonts w:ascii="Arial" w:cs="Arial" w:eastAsia="Arial" w:hAnsi="Arial"/>
          <w:sz w:val="18"/>
          <w:szCs w:val="18"/>
          <w:color w:val="auto"/>
        </w:rPr>
      </w:pPr>
    </w:p>
    <w:p>
      <w:pPr>
        <w:ind w:right="20" w:firstLine="332"/>
        <w:spacing w:after="0" w:line="257" w:lineRule="auto"/>
        <w:tabs>
          <w:tab w:leader="none" w:pos="679" w:val="left"/>
        </w:tabs>
        <w:numPr>
          <w:ilvl w:val="1"/>
          <w:numId w:val="187"/>
        </w:numPr>
        <w:rPr>
          <w:rFonts w:ascii="Arial" w:cs="Arial" w:eastAsia="Arial" w:hAnsi="Arial"/>
          <w:sz w:val="18"/>
          <w:szCs w:val="18"/>
          <w:color w:val="auto"/>
        </w:rPr>
      </w:pPr>
      <w:r>
        <w:rPr>
          <w:rFonts w:ascii="Arial" w:cs="Arial" w:eastAsia="Arial" w:hAnsi="Arial"/>
          <w:sz w:val="18"/>
          <w:szCs w:val="18"/>
          <w:u w:val="single" w:color="auto"/>
          <w:color w:val="auto"/>
        </w:rPr>
        <w:t>Administration by Board of Directors</w:t>
      </w:r>
      <w:r>
        <w:rPr>
          <w:rFonts w:ascii="Arial" w:cs="Arial" w:eastAsia="Arial" w:hAnsi="Arial"/>
          <w:sz w:val="18"/>
          <w:szCs w:val="18"/>
          <w:color w:val="auto"/>
        </w:rPr>
        <w:t>. The Plan will be administered by the Board. The Board shall have authority to grant Awards and to adopt, amend and repeal such administrative rules, guidelines and practices relating to the Plan as it shall deem advisable. The Board may construe and interpret the terms of the Plan and any Award agreements entered into under the Plan. The Board may correct any defect, supply any omission or reconcile any inconsistency in the Plan or any Award. All actions and decisions by the Board with respect to the Plan and any Awards shall be made in the Board’s discretion and shall be final and binding on all persons having or claiming any interest in the Plan or in any Award.</w:t>
      </w:r>
    </w:p>
    <w:p>
      <w:pPr>
        <w:spacing w:after="0" w:line="74" w:lineRule="exact"/>
        <w:rPr>
          <w:rFonts w:ascii="Arial" w:cs="Arial" w:eastAsia="Arial" w:hAnsi="Arial"/>
          <w:sz w:val="18"/>
          <w:szCs w:val="18"/>
          <w:color w:val="auto"/>
        </w:rPr>
      </w:pPr>
    </w:p>
    <w:p>
      <w:pPr>
        <w:jc w:val="both"/>
        <w:ind w:right="80" w:firstLine="332"/>
        <w:spacing w:after="0" w:line="262" w:lineRule="auto"/>
        <w:tabs>
          <w:tab w:leader="none" w:pos="679" w:val="left"/>
        </w:tabs>
        <w:numPr>
          <w:ilvl w:val="1"/>
          <w:numId w:val="187"/>
        </w:numPr>
        <w:rPr>
          <w:rFonts w:ascii="Arial" w:cs="Arial" w:eastAsia="Arial" w:hAnsi="Arial"/>
          <w:sz w:val="18"/>
          <w:szCs w:val="18"/>
          <w:color w:val="auto"/>
        </w:rPr>
      </w:pPr>
      <w:r>
        <w:rPr>
          <w:rFonts w:ascii="Arial" w:cs="Arial" w:eastAsia="Arial" w:hAnsi="Arial"/>
          <w:sz w:val="18"/>
          <w:szCs w:val="18"/>
          <w:u w:val="single" w:color="auto"/>
          <w:color w:val="auto"/>
        </w:rPr>
        <w:t>Appointment of Committees</w:t>
      </w:r>
      <w:r>
        <w:rPr>
          <w:rFonts w:ascii="Arial" w:cs="Arial" w:eastAsia="Arial" w:hAnsi="Arial"/>
          <w:sz w:val="18"/>
          <w:szCs w:val="18"/>
          <w:color w:val="auto"/>
        </w:rPr>
        <w:t>. To the extent permitted by applicable law, the Board may delegate any or all of its powers under the Plan to one or more committees or subcommittees of the Board (a “</w:t>
      </w:r>
      <w:r>
        <w:rPr>
          <w:rFonts w:ascii="Arial" w:cs="Arial" w:eastAsia="Arial" w:hAnsi="Arial"/>
          <w:sz w:val="18"/>
          <w:szCs w:val="18"/>
          <w:b w:val="1"/>
          <w:bCs w:val="1"/>
          <w:i w:val="1"/>
          <w:iCs w:val="1"/>
          <w:color w:val="auto"/>
        </w:rPr>
        <w:t>Committee</w:t>
      </w:r>
      <w:r>
        <w:rPr>
          <w:rFonts w:ascii="Arial" w:cs="Arial" w:eastAsia="Arial" w:hAnsi="Arial"/>
          <w:sz w:val="18"/>
          <w:szCs w:val="18"/>
          <w:color w:val="auto"/>
        </w:rPr>
        <w:t>”). All references in the Plan to the “</w:t>
      </w:r>
      <w:r>
        <w:rPr>
          <w:rFonts w:ascii="Arial" w:cs="Arial" w:eastAsia="Arial" w:hAnsi="Arial"/>
          <w:sz w:val="18"/>
          <w:szCs w:val="18"/>
          <w:b w:val="1"/>
          <w:bCs w:val="1"/>
          <w:i w:val="1"/>
          <w:iCs w:val="1"/>
          <w:color w:val="auto"/>
        </w:rPr>
        <w:t>Board</w:t>
      </w:r>
      <w:r>
        <w:rPr>
          <w:rFonts w:ascii="Arial" w:cs="Arial" w:eastAsia="Arial" w:hAnsi="Arial"/>
          <w:sz w:val="18"/>
          <w:szCs w:val="18"/>
          <w:color w:val="auto"/>
        </w:rPr>
        <w:t>” shall mean the Board or a Committee of the Board or the officers referred to in Section 3(c) to the extent that the Board’s powers or authority under the Plan have been delegated to such Committee or officers.</w:t>
      </w:r>
    </w:p>
    <w:p>
      <w:pPr>
        <w:spacing w:after="0" w:line="68" w:lineRule="exact"/>
        <w:rPr>
          <w:rFonts w:ascii="Arial" w:cs="Arial" w:eastAsia="Arial" w:hAnsi="Arial"/>
          <w:sz w:val="18"/>
          <w:szCs w:val="18"/>
          <w:color w:val="auto"/>
        </w:rPr>
      </w:pPr>
    </w:p>
    <w:p>
      <w:pPr>
        <w:ind w:firstLine="332"/>
        <w:spacing w:after="0" w:line="258" w:lineRule="auto"/>
        <w:tabs>
          <w:tab w:leader="none" w:pos="682" w:val="left"/>
        </w:tabs>
        <w:numPr>
          <w:ilvl w:val="1"/>
          <w:numId w:val="187"/>
        </w:numPr>
        <w:rPr>
          <w:rFonts w:ascii="Arial" w:cs="Arial" w:eastAsia="Arial" w:hAnsi="Arial"/>
          <w:sz w:val="18"/>
          <w:szCs w:val="18"/>
          <w:color w:val="auto"/>
        </w:rPr>
      </w:pPr>
      <w:r>
        <w:rPr>
          <w:rFonts w:ascii="Arial" w:cs="Arial" w:eastAsia="Arial" w:hAnsi="Arial"/>
          <w:sz w:val="18"/>
          <w:szCs w:val="18"/>
          <w:u w:val="single" w:color="auto"/>
          <w:color w:val="auto"/>
        </w:rPr>
        <w:t>Delegation to Officers</w:t>
      </w:r>
      <w:r>
        <w:rPr>
          <w:rFonts w:ascii="Arial" w:cs="Arial" w:eastAsia="Arial" w:hAnsi="Arial"/>
          <w:sz w:val="18"/>
          <w:szCs w:val="18"/>
          <w:color w:val="auto"/>
        </w:rPr>
        <w:t>. To the extent permitted by applicable law, the Board may delegate to one or more officers of the Company the power to grant Awards (subject to any limitations under the Plan) to employees, consultants, advisors, or officers of the Company and to exercise such other powers under the Plan as the Board may determine, provided that the Board shall fix the terms of the Awards to be granted by such officers (including the exercise price of such Awards, which may include a formula by which the exercise price will be determined) and the maximum number of shares subject to Awards that the officers may grant; provided further, however, that no officer shall be authorized to grant Awards to any “executive officer” of the Company (as defined by Rule 3b-7 under the Securities Exchange Act of 1934, as amended (the “</w:t>
      </w:r>
      <w:r>
        <w:rPr>
          <w:rFonts w:ascii="Arial" w:cs="Arial" w:eastAsia="Arial" w:hAnsi="Arial"/>
          <w:sz w:val="18"/>
          <w:szCs w:val="18"/>
          <w:b w:val="1"/>
          <w:bCs w:val="1"/>
          <w:i w:val="1"/>
          <w:iCs w:val="1"/>
          <w:color w:val="auto"/>
        </w:rPr>
        <w:t>Exchange Act</w:t>
      </w:r>
      <w:r>
        <w:rPr>
          <w:rFonts w:ascii="Arial" w:cs="Arial" w:eastAsia="Arial" w:hAnsi="Arial"/>
          <w:sz w:val="18"/>
          <w:szCs w:val="18"/>
          <w:color w:val="auto"/>
        </w:rPr>
        <w:t>”)) or to any “officer” of the Company (as defined by Rule 16a-1 under the Exchange Act).</w:t>
      </w:r>
    </w:p>
    <w:p>
      <w:pPr>
        <w:spacing w:after="0" w:line="62" w:lineRule="exact"/>
        <w:rPr>
          <w:rFonts w:ascii="Arial" w:cs="Arial" w:eastAsia="Arial" w:hAnsi="Arial"/>
          <w:sz w:val="18"/>
          <w:szCs w:val="18"/>
          <w:color w:val="auto"/>
        </w:rPr>
      </w:pPr>
    </w:p>
    <w:p>
      <w:pPr>
        <w:ind w:right="200" w:firstLine="332"/>
        <w:spacing w:after="0" w:line="296" w:lineRule="auto"/>
        <w:tabs>
          <w:tab w:leader="none" w:pos="679" w:val="left"/>
        </w:tabs>
        <w:numPr>
          <w:ilvl w:val="1"/>
          <w:numId w:val="187"/>
        </w:numPr>
        <w:rPr>
          <w:rFonts w:ascii="Arial" w:cs="Arial" w:eastAsia="Arial" w:hAnsi="Arial"/>
          <w:sz w:val="18"/>
          <w:szCs w:val="18"/>
          <w:color w:val="auto"/>
        </w:rPr>
      </w:pPr>
      <w:r>
        <w:rPr>
          <w:rFonts w:ascii="Arial" w:cs="Arial" w:eastAsia="Arial" w:hAnsi="Arial"/>
          <w:sz w:val="18"/>
          <w:szCs w:val="18"/>
          <w:u w:val="single" w:color="auto"/>
          <w:color w:val="auto"/>
        </w:rPr>
        <w:t>Awards to Non-Employee Directors</w:t>
      </w:r>
      <w:r>
        <w:rPr>
          <w:rFonts w:ascii="Arial" w:cs="Arial" w:eastAsia="Arial" w:hAnsi="Arial"/>
          <w:sz w:val="18"/>
          <w:szCs w:val="18"/>
          <w:color w:val="auto"/>
        </w:rPr>
        <w:t>. Awards to non-employee directors will be administered by a Committee, all of the members of which are independent directors as defined by Section 5605(a)(2) of the Nasdaq Stock Market (“</w:t>
      </w:r>
      <w:r>
        <w:rPr>
          <w:rFonts w:ascii="Arial" w:cs="Arial" w:eastAsia="Arial" w:hAnsi="Arial"/>
          <w:sz w:val="18"/>
          <w:szCs w:val="18"/>
          <w:b w:val="1"/>
          <w:bCs w:val="1"/>
          <w:i w:val="1"/>
          <w:iCs w:val="1"/>
          <w:color w:val="auto"/>
        </w:rPr>
        <w:t>NASDAQ</w:t>
      </w:r>
      <w:r>
        <w:rPr>
          <w:rFonts w:ascii="Arial" w:cs="Arial" w:eastAsia="Arial" w:hAnsi="Arial"/>
          <w:sz w:val="18"/>
          <w:szCs w:val="18"/>
          <w:color w:val="auto"/>
        </w:rPr>
        <w:t>”) Marketplace Rules.</w:t>
      </w:r>
    </w:p>
    <w:p>
      <w:pPr>
        <w:spacing w:after="0" w:line="200" w:lineRule="exact"/>
        <w:rPr>
          <w:sz w:val="20"/>
          <w:szCs w:val="20"/>
          <w:color w:val="auto"/>
        </w:rPr>
      </w:pP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78"/>
        </w:trPr>
        <w:tc>
          <w:tcPr>
            <w:tcW w:w="10740" w:type="dxa"/>
            <w:vAlign w:val="bottom"/>
          </w:tcPr>
          <w:p>
            <w:pPr>
              <w:ind w:left="8980"/>
              <w:spacing w:after="0"/>
              <w:rPr>
                <w:sz w:val="20"/>
                <w:szCs w:val="20"/>
                <w:color w:val="auto"/>
              </w:rPr>
            </w:pPr>
            <w:r>
              <w:rPr>
                <w:rFonts w:ascii="Arial" w:cs="Arial" w:eastAsia="Arial" w:hAnsi="Arial"/>
                <w:sz w:val="16"/>
                <w:szCs w:val="16"/>
                <w:color w:val="0067B3"/>
              </w:rPr>
              <w:t>2026 Proxy Statement</w:t>
            </w:r>
          </w:p>
        </w:tc>
        <w:tc>
          <w:tcPr>
            <w:tcW w:w="500" w:type="dxa"/>
            <w:vAlign w:val="bottom"/>
          </w:tcPr>
          <w:p>
            <w:pPr>
              <w:ind w:left="160"/>
              <w:spacing w:after="0"/>
              <w:rPr>
                <w:sz w:val="20"/>
                <w:szCs w:val="20"/>
                <w:color w:val="auto"/>
              </w:rPr>
            </w:pPr>
            <w:r>
              <w:rPr>
                <w:rFonts w:ascii="Arial" w:cs="Arial" w:eastAsia="Arial" w:hAnsi="Arial"/>
                <w:sz w:val="20"/>
                <w:szCs w:val="20"/>
                <w:b w:val="1"/>
                <w:bCs w:val="1"/>
                <w:color w:val="auto"/>
                <w:w w:val="99"/>
              </w:rPr>
              <w:t>A-1</w:t>
            </w:r>
          </w:p>
        </w:tc>
      </w:tr>
      <w:tr>
        <w:trPr>
          <w:trHeight w:val="333"/>
        </w:trPr>
        <w:tc>
          <w:tcPr>
            <w:tcW w:w="10740" w:type="dxa"/>
            <w:vAlign w:val="bottom"/>
            <w:tcBorders>
              <w:bottom w:val="single" w:sz="8" w:color="9A9A9A"/>
            </w:tcBorders>
          </w:tcPr>
          <w:p>
            <w:pPr>
              <w:spacing w:after="0"/>
              <w:rPr>
                <w:sz w:val="24"/>
                <w:szCs w:val="24"/>
                <w:color w:val="auto"/>
              </w:rPr>
            </w:pPr>
          </w:p>
        </w:tc>
        <w:tc>
          <w:tcPr>
            <w:tcW w:w="5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0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0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10" w:right="339" w:bottom="1440" w:gutter="0" w:footer="0" w:header="0"/>
        </w:sectPr>
      </w:pPr>
    </w:p>
    <w:bookmarkStart w:id="107" w:name="page108"/>
    <w:bookmarkEnd w:id="107"/>
    <w:p>
      <w:pPr>
        <w:ind w:left="340" w:hanging="332"/>
        <w:spacing w:after="0"/>
        <w:tabs>
          <w:tab w:leader="none" w:pos="340" w:val="left"/>
        </w:tabs>
        <w:numPr>
          <w:ilvl w:val="0"/>
          <w:numId w:val="188"/>
        </w:numPr>
        <w:rPr>
          <w:rFonts w:ascii="Arial" w:cs="Arial" w:eastAsia="Arial" w:hAnsi="Arial"/>
          <w:sz w:val="18"/>
          <w:szCs w:val="18"/>
          <w:color w:val="auto"/>
        </w:rPr>
      </w:pPr>
      <w:r>
        <w:rPr>
          <w:rFonts w:ascii="Arial" w:cs="Arial" w:eastAsia="Arial" w:hAnsi="Arial"/>
          <w:sz w:val="18"/>
          <w:szCs w:val="18"/>
          <w:u w:val="single" w:color="auto"/>
          <w:color w:val="auto"/>
        </w:rPr>
        <w:t>Stock Available for Awards</w:t>
      </w:r>
    </w:p>
    <w:p>
      <w:pPr>
        <w:spacing w:after="0" w:line="117" w:lineRule="exact"/>
        <w:rPr>
          <w:rFonts w:ascii="Arial" w:cs="Arial" w:eastAsia="Arial" w:hAnsi="Arial"/>
          <w:sz w:val="18"/>
          <w:szCs w:val="18"/>
          <w:color w:val="auto"/>
        </w:rPr>
      </w:pPr>
    </w:p>
    <w:p>
      <w:pPr>
        <w:ind w:left="680" w:hanging="348"/>
        <w:spacing w:after="0"/>
        <w:tabs>
          <w:tab w:leader="none" w:pos="680" w:val="left"/>
        </w:tabs>
        <w:numPr>
          <w:ilvl w:val="1"/>
          <w:numId w:val="188"/>
        </w:numPr>
        <w:rPr>
          <w:rFonts w:ascii="Arial" w:cs="Arial" w:eastAsia="Arial" w:hAnsi="Arial"/>
          <w:sz w:val="18"/>
          <w:szCs w:val="18"/>
          <w:color w:val="auto"/>
        </w:rPr>
      </w:pPr>
      <w:r>
        <w:rPr>
          <w:rFonts w:ascii="Arial" w:cs="Arial" w:eastAsia="Arial" w:hAnsi="Arial"/>
          <w:sz w:val="18"/>
          <w:szCs w:val="18"/>
          <w:u w:val="single" w:color="auto"/>
          <w:color w:val="auto"/>
        </w:rPr>
        <w:t>Number of Shares; Share Counting</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right="380" w:firstLine="915"/>
        <w:spacing w:after="0" w:line="296" w:lineRule="auto"/>
        <w:tabs>
          <w:tab w:leader="none" w:pos="1329" w:val="left"/>
        </w:tabs>
        <w:numPr>
          <w:ilvl w:val="2"/>
          <w:numId w:val="188"/>
        </w:numPr>
        <w:rPr>
          <w:rFonts w:ascii="Arial" w:cs="Arial" w:eastAsia="Arial" w:hAnsi="Arial"/>
          <w:sz w:val="18"/>
          <w:szCs w:val="18"/>
          <w:color w:val="auto"/>
        </w:rPr>
      </w:pPr>
      <w:r>
        <w:rPr>
          <w:rFonts w:ascii="Arial" w:cs="Arial" w:eastAsia="Arial" w:hAnsi="Arial"/>
          <w:sz w:val="18"/>
          <w:szCs w:val="18"/>
          <w:u w:val="single" w:color="auto"/>
          <w:color w:val="auto"/>
        </w:rPr>
        <w:t>Authorized Number of Shares</w:t>
      </w:r>
      <w:r>
        <w:rPr>
          <w:rFonts w:ascii="Arial" w:cs="Arial" w:eastAsia="Arial" w:hAnsi="Arial"/>
          <w:sz w:val="18"/>
          <w:szCs w:val="18"/>
          <w:color w:val="auto"/>
        </w:rPr>
        <w:t>. Subject to adjustment under Section 10, Awards may be made under the Plan for up to a number of shares of common stock of the Company (the “</w:t>
      </w:r>
      <w:r>
        <w:rPr>
          <w:rFonts w:ascii="Arial" w:cs="Arial" w:eastAsia="Arial" w:hAnsi="Arial"/>
          <w:sz w:val="18"/>
          <w:szCs w:val="18"/>
          <w:b w:val="1"/>
          <w:bCs w:val="1"/>
          <w:i w:val="1"/>
          <w:iCs w:val="1"/>
          <w:color w:val="auto"/>
        </w:rPr>
        <w:t>Common Stock</w:t>
      </w:r>
      <w:r>
        <w:rPr>
          <w:rFonts w:ascii="Arial" w:cs="Arial" w:eastAsia="Arial" w:hAnsi="Arial"/>
          <w:sz w:val="18"/>
          <w:szCs w:val="18"/>
          <w:color w:val="auto"/>
        </w:rPr>
        <w:t>”), that will not exceed 29,979,438 shares, consisting of:</w:t>
      </w:r>
    </w:p>
    <w:p>
      <w:pPr>
        <w:spacing w:after="0" w:line="15" w:lineRule="exact"/>
        <w:rPr>
          <w:rFonts w:ascii="Arial" w:cs="Arial" w:eastAsia="Arial" w:hAnsi="Arial"/>
          <w:sz w:val="18"/>
          <w:szCs w:val="18"/>
          <w:color w:val="auto"/>
        </w:rPr>
      </w:pPr>
    </w:p>
    <w:p>
      <w:pPr>
        <w:ind w:right="820" w:firstLine="1498"/>
        <w:spacing w:after="0" w:line="287" w:lineRule="auto"/>
        <w:tabs>
          <w:tab w:leader="none" w:pos="1987" w:val="left"/>
        </w:tabs>
        <w:numPr>
          <w:ilvl w:val="3"/>
          <w:numId w:val="188"/>
        </w:numPr>
        <w:rPr>
          <w:rFonts w:ascii="Arial" w:cs="Arial" w:eastAsia="Arial" w:hAnsi="Arial"/>
          <w:sz w:val="18"/>
          <w:szCs w:val="18"/>
          <w:color w:val="auto"/>
        </w:rPr>
      </w:pPr>
      <w:r>
        <w:rPr>
          <w:rFonts w:ascii="Arial" w:cs="Arial" w:eastAsia="Arial" w:hAnsi="Arial"/>
          <w:sz w:val="18"/>
          <w:szCs w:val="18"/>
          <w:color w:val="auto"/>
        </w:rPr>
        <w:t>24,592,135 shares less one share for each share subject to any equity award granted under the Plan after November 1, 2025 and prior to the Amendment Effective Date, plus</w:t>
      </w:r>
    </w:p>
    <w:p>
      <w:pPr>
        <w:spacing w:after="0" w:line="44" w:lineRule="exact"/>
        <w:rPr>
          <w:rFonts w:ascii="Arial" w:cs="Arial" w:eastAsia="Arial" w:hAnsi="Arial"/>
          <w:sz w:val="18"/>
          <w:szCs w:val="18"/>
          <w:color w:val="auto"/>
        </w:rPr>
      </w:pPr>
    </w:p>
    <w:p>
      <w:pPr>
        <w:ind w:left="2000" w:hanging="502"/>
        <w:spacing w:after="0"/>
        <w:tabs>
          <w:tab w:leader="none" w:pos="2000" w:val="left"/>
        </w:tabs>
        <w:numPr>
          <w:ilvl w:val="3"/>
          <w:numId w:val="188"/>
        </w:numPr>
        <w:rPr>
          <w:rFonts w:ascii="Arial" w:cs="Arial" w:eastAsia="Arial" w:hAnsi="Arial"/>
          <w:sz w:val="17"/>
          <w:szCs w:val="17"/>
          <w:color w:val="auto"/>
        </w:rPr>
      </w:pPr>
      <w:r>
        <w:rPr>
          <w:rFonts w:ascii="Arial" w:cs="Arial" w:eastAsia="Arial" w:hAnsi="Arial"/>
          <w:sz w:val="17"/>
          <w:szCs w:val="17"/>
          <w:color w:val="auto"/>
        </w:rPr>
        <w:t>the applicable number of Returning Shares (as such term is defined below), if any, as such shares become available</w:t>
      </w:r>
    </w:p>
    <w:p>
      <w:pPr>
        <w:spacing w:after="0" w:line="25"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from time to time.</w:t>
      </w:r>
    </w:p>
    <w:p>
      <w:pPr>
        <w:spacing w:after="0" w:line="99" w:lineRule="exact"/>
        <w:rPr>
          <w:sz w:val="20"/>
          <w:szCs w:val="20"/>
          <w:color w:val="auto"/>
        </w:rPr>
      </w:pPr>
    </w:p>
    <w:p>
      <w:pPr>
        <w:ind w:right="80"/>
        <w:spacing w:after="0" w:line="251" w:lineRule="auto"/>
        <w:rPr>
          <w:sz w:val="20"/>
          <w:szCs w:val="20"/>
          <w:color w:val="auto"/>
        </w:rPr>
      </w:pPr>
      <w:r>
        <w:rPr>
          <w:rFonts w:ascii="Arial" w:cs="Arial" w:eastAsia="Arial" w:hAnsi="Arial"/>
          <w:sz w:val="18"/>
          <w:szCs w:val="18"/>
          <w:color w:val="auto"/>
        </w:rPr>
        <w:t>For such purposes, “</w:t>
      </w:r>
      <w:r>
        <w:rPr>
          <w:rFonts w:ascii="Arial" w:cs="Arial" w:eastAsia="Arial" w:hAnsi="Arial"/>
          <w:sz w:val="18"/>
          <w:szCs w:val="18"/>
          <w:b w:val="1"/>
          <w:bCs w:val="1"/>
          <w:i w:val="1"/>
          <w:iCs w:val="1"/>
          <w:color w:val="auto"/>
        </w:rPr>
        <w:t>Returning Shares</w:t>
      </w:r>
      <w:r>
        <w:rPr>
          <w:rFonts w:ascii="Arial" w:cs="Arial" w:eastAsia="Arial" w:hAnsi="Arial"/>
          <w:sz w:val="18"/>
          <w:szCs w:val="18"/>
          <w:color w:val="auto"/>
        </w:rPr>
        <w:t xml:space="preserve">” means such applicable additional number of shares of Common Stock as is equal to the number of shares of Common Stock subject to equity awards previously granted under the Plan or the Company’s Amended and Restated 2006 Stock Incentive Plan (the </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2006 Plan</w:t>
      </w:r>
      <w:r>
        <w:rPr>
          <w:rFonts w:ascii="Arial" w:cs="Arial" w:eastAsia="Arial" w:hAnsi="Arial"/>
          <w:sz w:val="18"/>
          <w:szCs w:val="18"/>
          <w:color w:val="auto"/>
        </w:rPr>
        <w:t>”) and which equity awards are outstanding on November 1, 2025 (up to a maximum of 5,387,303 shares), or which awards are granted under the Plan and outstanding after November 1, 2025 and prior to the Amendment Effective Date (provided that in no event shall the number of shares subject to any equity award granted under the Plan after November 1, 2025 and prior to the Amendment Effective Date exceed 11,592,135 shares), and which equity awards on or after November 1, 2025 expire, terminate or are otherwise surrendered, cancelled, forfeited or repurchased by the Company at their original issuance price pursuant to a contractual repurchase right. For the avoidance of doubt, each share that was subject to an award granted under the Plan or the 2006 Plan that is returned to the Plan pursuant to this Section 4(a)(1)(B) as a Returning Share shall cause the Plan’s share reserve to be credited with one share.</w:t>
      </w:r>
    </w:p>
    <w:p>
      <w:pPr>
        <w:spacing w:after="0" w:line="63"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Any or all of the shares of Common Stock available for issuance under the Plan may be awarded in the form of Incentive Stock Options (as defined in Section 5(b)), subject, however, to any limitations under the Code that would prohibit shares to be awarded under the Plan in the form of Incentive Stock Options if previously issued pursuant to the exercise of Incentive Stock Options and which shares become Returning Shares. Shares of Common Stock issued under the Plan may consist in whole or in part of authorized but unissued shares or treasury shares.</w:t>
      </w:r>
    </w:p>
    <w:p>
      <w:pPr>
        <w:spacing w:after="0" w:line="75" w:lineRule="exact"/>
        <w:rPr>
          <w:sz w:val="20"/>
          <w:szCs w:val="20"/>
          <w:color w:val="auto"/>
        </w:rPr>
      </w:pPr>
    </w:p>
    <w:p>
      <w:pPr>
        <w:ind w:right="120" w:firstLine="915"/>
        <w:spacing w:after="0" w:line="287" w:lineRule="auto"/>
        <w:tabs>
          <w:tab w:leader="none" w:pos="1329" w:val="left"/>
        </w:tabs>
        <w:numPr>
          <w:ilvl w:val="2"/>
          <w:numId w:val="189"/>
        </w:numPr>
        <w:rPr>
          <w:rFonts w:ascii="Arial" w:cs="Arial" w:eastAsia="Arial" w:hAnsi="Arial"/>
          <w:sz w:val="18"/>
          <w:szCs w:val="18"/>
          <w:color w:val="auto"/>
        </w:rPr>
      </w:pPr>
      <w:r>
        <w:rPr>
          <w:rFonts w:ascii="Arial" w:cs="Arial" w:eastAsia="Arial" w:hAnsi="Arial"/>
          <w:sz w:val="18"/>
          <w:szCs w:val="18"/>
          <w:u w:val="single" w:color="auto"/>
          <w:color w:val="auto"/>
        </w:rPr>
        <w:t>Share Counting</w:t>
      </w:r>
      <w:r>
        <w:rPr>
          <w:rFonts w:ascii="Arial" w:cs="Arial" w:eastAsia="Arial" w:hAnsi="Arial"/>
          <w:sz w:val="18"/>
          <w:szCs w:val="18"/>
          <w:color w:val="auto"/>
        </w:rPr>
        <w:t>. For purposes of counting the number of shares available for the grant of Awards under the Plan under this Section 4(a) and under the sublimits contained in Section 4(b):</w:t>
      </w:r>
    </w:p>
    <w:p>
      <w:pPr>
        <w:spacing w:after="0" w:line="31" w:lineRule="exact"/>
        <w:rPr>
          <w:rFonts w:ascii="Arial" w:cs="Arial" w:eastAsia="Arial" w:hAnsi="Arial"/>
          <w:sz w:val="18"/>
          <w:szCs w:val="18"/>
          <w:color w:val="auto"/>
        </w:rPr>
      </w:pPr>
    </w:p>
    <w:p>
      <w:pPr>
        <w:ind w:right="40" w:firstLine="1498"/>
        <w:spacing w:after="0" w:line="254" w:lineRule="auto"/>
        <w:tabs>
          <w:tab w:leader="none" w:pos="1987" w:val="left"/>
        </w:tabs>
        <w:numPr>
          <w:ilvl w:val="3"/>
          <w:numId w:val="189"/>
        </w:numPr>
        <w:rPr>
          <w:rFonts w:ascii="Arial" w:cs="Arial" w:eastAsia="Arial" w:hAnsi="Arial"/>
          <w:sz w:val="18"/>
          <w:szCs w:val="18"/>
          <w:color w:val="auto"/>
        </w:rPr>
      </w:pPr>
      <w:r>
        <w:rPr>
          <w:rFonts w:ascii="Arial" w:cs="Arial" w:eastAsia="Arial" w:hAnsi="Arial"/>
          <w:sz w:val="18"/>
          <w:szCs w:val="18"/>
          <w:color w:val="auto"/>
        </w:rPr>
        <w:t xml:space="preserve">all shares of Common Stock covered by SARs shall be counted against the number of shares available for the grant of Awards under the Plan and against the sublimits contained in Section 4(b);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that (i) SARs that may be settled only in cash shall not be so counted and (ii) if the Company grants an SAR in tandem with an Option for the same number of shares of Common Stock and provides that only one such Award may be exercised (a “</w:t>
      </w:r>
      <w:r>
        <w:rPr>
          <w:rFonts w:ascii="Arial" w:cs="Arial" w:eastAsia="Arial" w:hAnsi="Arial"/>
          <w:sz w:val="18"/>
          <w:szCs w:val="18"/>
          <w:b w:val="1"/>
          <w:bCs w:val="1"/>
          <w:i w:val="1"/>
          <w:iCs w:val="1"/>
          <w:color w:val="auto"/>
        </w:rPr>
        <w:t>Tandem SAR</w:t>
      </w:r>
      <w:r>
        <w:rPr>
          <w:rFonts w:ascii="Arial" w:cs="Arial" w:eastAsia="Arial" w:hAnsi="Arial"/>
          <w:sz w:val="18"/>
          <w:szCs w:val="18"/>
          <w:color w:val="auto"/>
        </w:rPr>
        <w:t>”), only the shares covered by the Option, and not the shares covered by the Tandem SAR, shall be so counted, and the expiration of one in connection with the other’s exercise will not restore shares to the Plan;</w:t>
      </w:r>
    </w:p>
    <w:p>
      <w:pPr>
        <w:spacing w:after="0" w:line="76" w:lineRule="exact"/>
        <w:rPr>
          <w:rFonts w:ascii="Arial" w:cs="Arial" w:eastAsia="Arial" w:hAnsi="Arial"/>
          <w:sz w:val="18"/>
          <w:szCs w:val="18"/>
          <w:color w:val="auto"/>
        </w:rPr>
      </w:pPr>
    </w:p>
    <w:p>
      <w:pPr>
        <w:ind w:right="220" w:firstLine="1498"/>
        <w:spacing w:after="0" w:line="271" w:lineRule="auto"/>
        <w:tabs>
          <w:tab w:leader="none" w:pos="1987" w:val="left"/>
        </w:tabs>
        <w:numPr>
          <w:ilvl w:val="3"/>
          <w:numId w:val="189"/>
        </w:numPr>
        <w:rPr>
          <w:rFonts w:ascii="Arial" w:cs="Arial" w:eastAsia="Arial" w:hAnsi="Arial"/>
          <w:sz w:val="18"/>
          <w:szCs w:val="18"/>
          <w:color w:val="auto"/>
        </w:rPr>
      </w:pPr>
      <w:r>
        <w:rPr>
          <w:rFonts w:ascii="Arial" w:cs="Arial" w:eastAsia="Arial" w:hAnsi="Arial"/>
          <w:sz w:val="18"/>
          <w:szCs w:val="18"/>
          <w:color w:val="auto"/>
        </w:rPr>
        <w:t>to the extent that an RSU may be settled only in cash, no shares shall be counted against the shares available for the grant of Awards under the Plan;</w:t>
      </w:r>
    </w:p>
    <w:p>
      <w:pPr>
        <w:spacing w:after="0" w:line="59" w:lineRule="exact"/>
        <w:rPr>
          <w:rFonts w:ascii="Arial" w:cs="Arial" w:eastAsia="Arial" w:hAnsi="Arial"/>
          <w:sz w:val="18"/>
          <w:szCs w:val="18"/>
          <w:color w:val="auto"/>
        </w:rPr>
      </w:pPr>
    </w:p>
    <w:p>
      <w:pPr>
        <w:ind w:right="100" w:firstLine="1498"/>
        <w:spacing w:after="0" w:line="249" w:lineRule="auto"/>
        <w:tabs>
          <w:tab w:leader="none" w:pos="1983" w:val="left"/>
        </w:tabs>
        <w:numPr>
          <w:ilvl w:val="3"/>
          <w:numId w:val="189"/>
        </w:numPr>
        <w:rPr>
          <w:rFonts w:ascii="Arial" w:cs="Arial" w:eastAsia="Arial" w:hAnsi="Arial"/>
          <w:sz w:val="18"/>
          <w:szCs w:val="18"/>
          <w:color w:val="auto"/>
        </w:rPr>
      </w:pPr>
      <w:r>
        <w:rPr>
          <w:rFonts w:ascii="Arial" w:cs="Arial" w:eastAsia="Arial" w:hAnsi="Arial"/>
          <w:sz w:val="18"/>
          <w:szCs w:val="18"/>
          <w:color w:val="auto"/>
        </w:rPr>
        <w:t xml:space="preserve">if any Award (i) expires or is terminated, surrendered or cancelled without having been fully exercised or is forfeited in whole or in part (including as the result of shares of Common Stock subject to such Award being repurchased by the Company at the original issuance price pursuant to a contractual repurchase right) or (ii) results in any Common Stock not being issued (including as a result of an SAR that was settleable either in cash or in stock actually being settled in cash), the unused Common Stock covered by such Award shall again be available for the grant of Awards;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that (1) in the case of Incentive Stock Options, the foregoing shall be subject to any limitations under the Code, (2) in the case of the exercise of an SAR, the number of shares counted against the shares available under the Plan and against the sublimits contained in Section 4(b) shall be the full number of shares subject to the SAR multiplied by the percentage of the SAR actually exercised, regardless of the number of shares actually used to settle such SAR upon exercise and</w:t>
      </w:r>
    </w:p>
    <w:p>
      <w:pPr>
        <w:spacing w:after="0" w:line="1" w:lineRule="exact"/>
        <w:rPr>
          <w:rFonts w:ascii="Arial" w:cs="Arial" w:eastAsia="Arial" w:hAnsi="Arial"/>
          <w:sz w:val="18"/>
          <w:szCs w:val="18"/>
          <w:color w:val="auto"/>
        </w:rPr>
      </w:pPr>
    </w:p>
    <w:p>
      <w:pPr>
        <w:ind w:left="280" w:hanging="272"/>
        <w:spacing w:after="0"/>
        <w:tabs>
          <w:tab w:leader="none" w:pos="280" w:val="left"/>
        </w:tabs>
        <w:numPr>
          <w:ilvl w:val="0"/>
          <w:numId w:val="190"/>
        </w:numPr>
        <w:rPr>
          <w:rFonts w:ascii="Arial" w:cs="Arial" w:eastAsia="Arial" w:hAnsi="Arial"/>
          <w:sz w:val="17"/>
          <w:szCs w:val="17"/>
          <w:color w:val="auto"/>
        </w:rPr>
      </w:pPr>
      <w:r>
        <w:rPr>
          <w:rFonts w:ascii="Arial" w:cs="Arial" w:eastAsia="Arial" w:hAnsi="Arial"/>
          <w:sz w:val="17"/>
          <w:szCs w:val="17"/>
          <w:color w:val="auto"/>
        </w:rPr>
        <w:t>the shares covered by a Tandem SAR shall not again become available for grant upon the expiration or termination of such Tandem SAR;</w:t>
      </w:r>
    </w:p>
    <w:p>
      <w:pPr>
        <w:spacing w:after="0" w:line="110" w:lineRule="exact"/>
        <w:rPr>
          <w:rFonts w:ascii="Arial" w:cs="Arial" w:eastAsia="Arial" w:hAnsi="Arial"/>
          <w:sz w:val="17"/>
          <w:szCs w:val="17"/>
          <w:color w:val="auto"/>
        </w:rPr>
      </w:pPr>
    </w:p>
    <w:p>
      <w:pPr>
        <w:ind w:right="180" w:firstLine="1498"/>
        <w:spacing w:after="0" w:line="257" w:lineRule="auto"/>
        <w:tabs>
          <w:tab w:leader="none" w:pos="1983" w:val="left"/>
        </w:tabs>
        <w:numPr>
          <w:ilvl w:val="3"/>
          <w:numId w:val="190"/>
        </w:numPr>
        <w:rPr>
          <w:rFonts w:ascii="Arial" w:cs="Arial" w:eastAsia="Arial" w:hAnsi="Arial"/>
          <w:sz w:val="18"/>
          <w:szCs w:val="18"/>
          <w:color w:val="auto"/>
        </w:rPr>
      </w:pPr>
      <w:r>
        <w:rPr>
          <w:rFonts w:ascii="Arial" w:cs="Arial" w:eastAsia="Arial" w:hAnsi="Arial"/>
          <w:sz w:val="18"/>
          <w:szCs w:val="18"/>
          <w:color w:val="auto"/>
        </w:rPr>
        <w:t>shares of Common Stock delivered (either by actual delivery, attestation, or net exercise) to the Company by a Participant to (i) purchase shares of Common Stock upon the exercise of an Award or (ii) satisfy tax withholding obligations with respect to Awards (including shares retained from the Award creating the tax obligation) shall not be added back to the number of shares available for the future grant of Awards; and</w:t>
      </w:r>
    </w:p>
    <w:p>
      <w:pPr>
        <w:spacing w:after="0" w:line="58" w:lineRule="exact"/>
        <w:rPr>
          <w:rFonts w:ascii="Arial" w:cs="Arial" w:eastAsia="Arial" w:hAnsi="Arial"/>
          <w:sz w:val="18"/>
          <w:szCs w:val="18"/>
          <w:color w:val="auto"/>
        </w:rPr>
      </w:pPr>
    </w:p>
    <w:p>
      <w:pPr>
        <w:ind w:right="20" w:firstLine="1498"/>
        <w:spacing w:after="0" w:line="287" w:lineRule="auto"/>
        <w:tabs>
          <w:tab w:leader="none" w:pos="1987" w:val="left"/>
        </w:tabs>
        <w:numPr>
          <w:ilvl w:val="3"/>
          <w:numId w:val="190"/>
        </w:numPr>
        <w:rPr>
          <w:rFonts w:ascii="Arial" w:cs="Arial" w:eastAsia="Arial" w:hAnsi="Arial"/>
          <w:sz w:val="18"/>
          <w:szCs w:val="18"/>
          <w:color w:val="auto"/>
        </w:rPr>
      </w:pPr>
      <w:r>
        <w:rPr>
          <w:rFonts w:ascii="Arial" w:cs="Arial" w:eastAsia="Arial" w:hAnsi="Arial"/>
          <w:sz w:val="18"/>
          <w:szCs w:val="18"/>
          <w:color w:val="auto"/>
        </w:rPr>
        <w:t>shares of Common Stock repurchased by the Company on the open market using the proceeds from the exercise of an Award shall not increase the number of shares available for future grant of Awards.</w:t>
      </w:r>
    </w:p>
    <w:p>
      <w:pPr>
        <w:spacing w:after="0" w:line="44" w:lineRule="exact"/>
        <w:rPr>
          <w:rFonts w:ascii="Arial" w:cs="Arial" w:eastAsia="Arial" w:hAnsi="Arial"/>
          <w:sz w:val="18"/>
          <w:szCs w:val="18"/>
          <w:color w:val="auto"/>
        </w:rPr>
      </w:pPr>
    </w:p>
    <w:p>
      <w:pPr>
        <w:ind w:left="680" w:hanging="348"/>
        <w:spacing w:after="0"/>
        <w:tabs>
          <w:tab w:leader="none" w:pos="680" w:val="left"/>
        </w:tabs>
        <w:numPr>
          <w:ilvl w:val="1"/>
          <w:numId w:val="190"/>
        </w:numPr>
        <w:rPr>
          <w:rFonts w:ascii="Arial" w:cs="Arial" w:eastAsia="Arial" w:hAnsi="Arial"/>
          <w:sz w:val="18"/>
          <w:szCs w:val="18"/>
          <w:color w:val="auto"/>
        </w:rPr>
      </w:pPr>
      <w:r>
        <w:rPr>
          <w:rFonts w:ascii="Arial" w:cs="Arial" w:eastAsia="Arial" w:hAnsi="Arial"/>
          <w:sz w:val="18"/>
          <w:szCs w:val="18"/>
          <w:u w:val="single" w:color="auto"/>
          <w:color w:val="auto"/>
        </w:rPr>
        <w:t>Sublimits</w:t>
      </w:r>
      <w:r>
        <w:rPr>
          <w:rFonts w:ascii="Arial" w:cs="Arial" w:eastAsia="Arial" w:hAnsi="Arial"/>
          <w:sz w:val="18"/>
          <w:szCs w:val="18"/>
          <w:color w:val="auto"/>
        </w:rPr>
        <w:t>. Subject to adjustment under Section 10, the following sublimits on the number of shares subject to Awards shall apply:</w:t>
      </w:r>
    </w:p>
    <w:p>
      <w:pPr>
        <w:spacing w:after="0" w:line="117" w:lineRule="exact"/>
        <w:rPr>
          <w:rFonts w:ascii="Arial" w:cs="Arial" w:eastAsia="Arial" w:hAnsi="Arial"/>
          <w:sz w:val="18"/>
          <w:szCs w:val="18"/>
          <w:color w:val="auto"/>
        </w:rPr>
      </w:pPr>
    </w:p>
    <w:p>
      <w:pPr>
        <w:ind w:right="140" w:firstLine="915"/>
        <w:spacing w:after="0" w:line="251" w:lineRule="auto"/>
        <w:tabs>
          <w:tab w:leader="none" w:pos="1329" w:val="left"/>
        </w:tabs>
        <w:numPr>
          <w:ilvl w:val="2"/>
          <w:numId w:val="190"/>
        </w:numPr>
        <w:rPr>
          <w:rFonts w:ascii="Arial" w:cs="Arial" w:eastAsia="Arial" w:hAnsi="Arial"/>
          <w:sz w:val="18"/>
          <w:szCs w:val="18"/>
          <w:color w:val="auto"/>
        </w:rPr>
      </w:pPr>
      <w:r>
        <w:rPr>
          <w:rFonts w:ascii="Arial" w:cs="Arial" w:eastAsia="Arial" w:hAnsi="Arial"/>
          <w:sz w:val="18"/>
          <w:szCs w:val="18"/>
          <w:u w:val="single" w:color="auto"/>
          <w:color w:val="auto"/>
        </w:rPr>
        <w:t>Per-Participant Limits</w:t>
      </w:r>
      <w:r>
        <w:rPr>
          <w:rFonts w:ascii="Arial" w:cs="Arial" w:eastAsia="Arial" w:hAnsi="Arial"/>
          <w:sz w:val="18"/>
          <w:szCs w:val="18"/>
          <w:color w:val="auto"/>
        </w:rPr>
        <w:t>. The maximum number of shares of Common Stock with respect to which Options and Stock Appreciation Rights may be granted to any Participant under the Plan shall be 2,000,000 per fiscal year of the Company, and the maximum number of shares of Common Stock with respect to which Restricted Stock Awards, Restricted Stock Units and Other Stock Unit Awards may be granted to any Participant under the Plan shall be 1,000,000 per fiscal year of the Company. For purposes of the foregoing limit, the combination of an Option in tandem with a Stock Appreciation Right shall be treated as a single Award.</w:t>
      </w:r>
    </w:p>
    <w:p>
      <w:pPr>
        <w:sectPr>
          <w:pgSz w:w="11900" w:h="16838" w:orient="portrait"/>
          <w:cols w:equalWidth="0" w:num="1">
            <w:col w:w="11240"/>
          </w:cols>
          <w:pgMar w:left="320" w:top="1066" w:right="339" w:bottom="1440" w:gutter="0" w:footer="0" w:header="0"/>
        </w:sectPr>
      </w:pPr>
    </w:p>
    <w:p>
      <w:pPr>
        <w:spacing w:after="0" w:line="200" w:lineRule="exact"/>
        <w:rPr>
          <w:sz w:val="20"/>
          <w:szCs w:val="20"/>
          <w:color w:val="auto"/>
        </w:rPr>
      </w:pPr>
    </w:p>
    <w:p>
      <w:pPr>
        <w:spacing w:after="0" w:line="252" w:lineRule="exact"/>
        <w:rPr>
          <w:sz w:val="20"/>
          <w:szCs w:val="20"/>
          <w:color w:val="auto"/>
        </w:rPr>
      </w:pPr>
    </w:p>
    <w:p>
      <w:pPr>
        <w:ind w:left="20"/>
        <w:spacing w:after="0"/>
        <w:tabs>
          <w:tab w:leader="none" w:pos="620" w:val="left"/>
        </w:tabs>
        <w:rPr>
          <w:sz w:val="20"/>
          <w:szCs w:val="20"/>
          <w:color w:val="auto"/>
        </w:rPr>
      </w:pPr>
      <w:r>
        <w:rPr>
          <w:rFonts w:ascii="Arial" w:cs="Arial" w:eastAsia="Arial" w:hAnsi="Arial"/>
          <w:sz w:val="20"/>
          <w:szCs w:val="20"/>
          <w:b w:val="1"/>
          <w:bCs w:val="1"/>
          <w:color w:val="auto"/>
        </w:rPr>
        <w:t>A-2</w:t>
      </w:r>
      <w:r>
        <w:rPr>
          <w:sz w:val="20"/>
          <w:szCs w:val="20"/>
          <w:color w:val="auto"/>
        </w:rPr>
        <w:tab/>
      </w:r>
      <w:r>
        <w:rPr>
          <w:rFonts w:ascii="Arial" w:cs="Arial" w:eastAsia="Arial" w:hAnsi="Arial"/>
          <w:sz w:val="16"/>
          <w:szCs w:val="16"/>
          <w:color w:val="6D6E71"/>
        </w:rPr>
        <w:t>Appendix A: Amended and Restated Analog Devices, Inc. 2020 Equity Incentive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66" w:right="339" w:bottom="1440" w:gutter="0" w:footer="0" w:header="0"/>
          <w:type w:val="continuous"/>
        </w:sectPr>
      </w:pPr>
    </w:p>
    <w:bookmarkStart w:id="108" w:name="page109"/>
    <w:bookmarkEnd w:id="108"/>
    <w:p>
      <w:pPr>
        <w:ind w:right="20" w:firstLine="915"/>
        <w:spacing w:after="0" w:line="256" w:lineRule="auto"/>
        <w:tabs>
          <w:tab w:leader="none" w:pos="1329" w:val="left"/>
        </w:tabs>
        <w:numPr>
          <w:ilvl w:val="2"/>
          <w:numId w:val="191"/>
        </w:numPr>
        <w:rPr>
          <w:rFonts w:ascii="Arial" w:cs="Arial" w:eastAsia="Arial" w:hAnsi="Arial"/>
          <w:sz w:val="18"/>
          <w:szCs w:val="18"/>
          <w:color w:val="auto"/>
        </w:rPr>
      </w:pPr>
      <w:r>
        <w:rPr>
          <w:rFonts w:ascii="Arial" w:cs="Arial" w:eastAsia="Arial" w:hAnsi="Arial"/>
          <w:sz w:val="18"/>
          <w:szCs w:val="18"/>
          <w:u w:val="single" w:color="auto"/>
          <w:color w:val="auto"/>
        </w:rPr>
        <w:t>Limit on Awards to Non-Employee Directors</w:t>
      </w:r>
      <w:r>
        <w:rPr>
          <w:rFonts w:ascii="Arial" w:cs="Arial" w:eastAsia="Arial" w:hAnsi="Arial"/>
          <w:sz w:val="18"/>
          <w:szCs w:val="18"/>
          <w:color w:val="auto"/>
        </w:rPr>
        <w:t xml:space="preserve">. The maximum aggregate amount of cash and value (calculated based on grant date fair value for financial reporting purposes) of Awards granted in any fiscal year to any individual non-employee director shall not exceed $750,000;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fees paid by the Corporation on behalf of any non-employee director in connection with regulatory compliance and any amounts paid to a non-employee director as reimbursement of an expense shall not count against the foregoing limitation. The Committee may make additional exceptions to this limit for individual non-employee directors in extraordinary circumstances or in the case of regulatory filing fees, as the Committee may determine in its discretion, provided that the non-employee director receiving such additional compensation may not participate in the decision to award such compensation.</w:t>
      </w:r>
    </w:p>
    <w:p>
      <w:pPr>
        <w:spacing w:after="0" w:line="74" w:lineRule="exact"/>
        <w:rPr>
          <w:rFonts w:ascii="Arial" w:cs="Arial" w:eastAsia="Arial" w:hAnsi="Arial"/>
          <w:sz w:val="18"/>
          <w:szCs w:val="18"/>
          <w:color w:val="auto"/>
        </w:rPr>
      </w:pPr>
    </w:p>
    <w:p>
      <w:pPr>
        <w:ind w:right="80" w:firstLine="332"/>
        <w:spacing w:after="0" w:line="257" w:lineRule="auto"/>
        <w:tabs>
          <w:tab w:leader="none" w:pos="682" w:val="left"/>
        </w:tabs>
        <w:numPr>
          <w:ilvl w:val="1"/>
          <w:numId w:val="192"/>
        </w:numPr>
        <w:rPr>
          <w:rFonts w:ascii="Arial" w:cs="Arial" w:eastAsia="Arial" w:hAnsi="Arial"/>
          <w:sz w:val="18"/>
          <w:szCs w:val="18"/>
          <w:color w:val="auto"/>
        </w:rPr>
      </w:pPr>
      <w:r>
        <w:rPr>
          <w:rFonts w:ascii="Arial" w:cs="Arial" w:eastAsia="Arial" w:hAnsi="Arial"/>
          <w:sz w:val="18"/>
          <w:szCs w:val="18"/>
          <w:u w:val="single" w:color="auto"/>
          <w:color w:val="auto"/>
        </w:rPr>
        <w:t>Substitute Awards</w:t>
      </w:r>
      <w:r>
        <w:rPr>
          <w:rFonts w:ascii="Arial" w:cs="Arial" w:eastAsia="Arial" w:hAnsi="Arial"/>
          <w:sz w:val="18"/>
          <w:szCs w:val="18"/>
          <w:color w:val="auto"/>
        </w:rPr>
        <w:t>. In connection with a merger or consolidation of an entity with the Company or the acquisition by the Company of property or stock of an entity, the Board may grant Awards in substitution for any options or other stock or stock-based awards granted by such entity or an affiliate thereof. Substitute Awards may be granted on such terms as the Board deems appropriate in the circumstances, notwithstanding any limitations on Awards contained in the Plan. Substitute Awards shall not count against the overall share limit set forth in Section 4(a)(1) or any sublimits contained in the Plan, except as may be required by reason of Section 422 and related provisions of the Code.</w:t>
      </w:r>
    </w:p>
    <w:p>
      <w:pPr>
        <w:spacing w:after="0" w:line="74" w:lineRule="exact"/>
        <w:rPr>
          <w:rFonts w:ascii="Arial" w:cs="Arial" w:eastAsia="Arial" w:hAnsi="Arial"/>
          <w:sz w:val="18"/>
          <w:szCs w:val="18"/>
          <w:color w:val="auto"/>
        </w:rPr>
      </w:pPr>
    </w:p>
    <w:p>
      <w:pPr>
        <w:ind w:left="340" w:hanging="332"/>
        <w:spacing w:after="0"/>
        <w:tabs>
          <w:tab w:leader="none" w:pos="340" w:val="left"/>
        </w:tabs>
        <w:numPr>
          <w:ilvl w:val="0"/>
          <w:numId w:val="193"/>
        </w:numPr>
        <w:rPr>
          <w:rFonts w:ascii="Arial" w:cs="Arial" w:eastAsia="Arial" w:hAnsi="Arial"/>
          <w:sz w:val="18"/>
          <w:szCs w:val="18"/>
          <w:color w:val="auto"/>
        </w:rPr>
      </w:pPr>
      <w:r>
        <w:rPr>
          <w:rFonts w:ascii="Arial" w:cs="Arial" w:eastAsia="Arial" w:hAnsi="Arial"/>
          <w:sz w:val="18"/>
          <w:szCs w:val="18"/>
          <w:u w:val="single" w:color="auto"/>
          <w:color w:val="auto"/>
        </w:rPr>
        <w:t>Stock Options.</w:t>
      </w:r>
    </w:p>
    <w:p>
      <w:pPr>
        <w:spacing w:after="0" w:line="117" w:lineRule="exact"/>
        <w:rPr>
          <w:rFonts w:ascii="Arial" w:cs="Arial" w:eastAsia="Arial" w:hAnsi="Arial"/>
          <w:sz w:val="18"/>
          <w:szCs w:val="18"/>
          <w:color w:val="auto"/>
        </w:rPr>
      </w:pPr>
    </w:p>
    <w:p>
      <w:pPr>
        <w:ind w:right="60" w:firstLine="332"/>
        <w:spacing w:after="0" w:line="262" w:lineRule="auto"/>
        <w:tabs>
          <w:tab w:leader="none" w:pos="679" w:val="left"/>
        </w:tabs>
        <w:numPr>
          <w:ilvl w:val="1"/>
          <w:numId w:val="193"/>
        </w:numPr>
        <w:rPr>
          <w:rFonts w:ascii="Arial" w:cs="Arial" w:eastAsia="Arial" w:hAnsi="Arial"/>
          <w:sz w:val="18"/>
          <w:szCs w:val="18"/>
          <w:color w:val="auto"/>
        </w:rPr>
      </w:pPr>
      <w:r>
        <w:rPr>
          <w:rFonts w:ascii="Arial" w:cs="Arial" w:eastAsia="Arial" w:hAnsi="Arial"/>
          <w:sz w:val="18"/>
          <w:szCs w:val="18"/>
          <w:u w:val="single" w:color="auto"/>
          <w:color w:val="auto"/>
        </w:rPr>
        <w:t>General</w:t>
      </w:r>
      <w:r>
        <w:rPr>
          <w:rFonts w:ascii="Arial" w:cs="Arial" w:eastAsia="Arial" w:hAnsi="Arial"/>
          <w:sz w:val="18"/>
          <w:szCs w:val="18"/>
          <w:color w:val="auto"/>
        </w:rPr>
        <w:t>. The Board may grant options to purchase Common Stock (each, an “</w:t>
      </w:r>
      <w:r>
        <w:rPr>
          <w:rFonts w:ascii="Arial" w:cs="Arial" w:eastAsia="Arial" w:hAnsi="Arial"/>
          <w:sz w:val="18"/>
          <w:szCs w:val="18"/>
          <w:b w:val="1"/>
          <w:bCs w:val="1"/>
          <w:i w:val="1"/>
          <w:iCs w:val="1"/>
          <w:color w:val="auto"/>
        </w:rPr>
        <w:t>Option</w:t>
      </w:r>
      <w:r>
        <w:rPr>
          <w:rFonts w:ascii="Arial" w:cs="Arial" w:eastAsia="Arial" w:hAnsi="Arial"/>
          <w:sz w:val="18"/>
          <w:szCs w:val="18"/>
          <w:color w:val="auto"/>
        </w:rPr>
        <w:t>”) and determine the number of shares of Common Stock to be covered by each Option, the exercise price of each Option and the conditions and limitations applicable to the exercise of each Option, including conditions relating to applicable U.S. federal or state securities laws, as the Board considers necessary or advisable.</w:t>
      </w:r>
    </w:p>
    <w:p>
      <w:pPr>
        <w:spacing w:after="0" w:line="68" w:lineRule="exact"/>
        <w:rPr>
          <w:rFonts w:ascii="Arial" w:cs="Arial" w:eastAsia="Arial" w:hAnsi="Arial"/>
          <w:sz w:val="18"/>
          <w:szCs w:val="18"/>
          <w:color w:val="auto"/>
        </w:rPr>
      </w:pPr>
    </w:p>
    <w:p>
      <w:pPr>
        <w:ind w:firstLine="332"/>
        <w:spacing w:after="0" w:line="256" w:lineRule="auto"/>
        <w:tabs>
          <w:tab w:leader="none" w:pos="679" w:val="left"/>
        </w:tabs>
        <w:numPr>
          <w:ilvl w:val="1"/>
          <w:numId w:val="193"/>
        </w:numPr>
        <w:rPr>
          <w:rFonts w:ascii="Arial" w:cs="Arial" w:eastAsia="Arial" w:hAnsi="Arial"/>
          <w:sz w:val="18"/>
          <w:szCs w:val="18"/>
          <w:color w:val="auto"/>
        </w:rPr>
      </w:pPr>
      <w:r>
        <w:rPr>
          <w:rFonts w:ascii="Arial" w:cs="Arial" w:eastAsia="Arial" w:hAnsi="Arial"/>
          <w:sz w:val="18"/>
          <w:szCs w:val="18"/>
          <w:u w:val="single" w:color="auto"/>
          <w:color w:val="auto"/>
        </w:rPr>
        <w:t>Incentive Stock Options</w:t>
      </w:r>
      <w:r>
        <w:rPr>
          <w:rFonts w:ascii="Arial" w:cs="Arial" w:eastAsia="Arial" w:hAnsi="Arial"/>
          <w:sz w:val="18"/>
          <w:szCs w:val="18"/>
          <w:color w:val="auto"/>
        </w:rPr>
        <w:t>. An Option that the Board intends to be an “incentive stock option” as defined in Section 422 of the Code (an “</w:t>
      </w:r>
      <w:r>
        <w:rPr>
          <w:rFonts w:ascii="Arial" w:cs="Arial" w:eastAsia="Arial" w:hAnsi="Arial"/>
          <w:sz w:val="18"/>
          <w:szCs w:val="18"/>
          <w:b w:val="1"/>
          <w:bCs w:val="1"/>
          <w:i w:val="1"/>
          <w:iCs w:val="1"/>
          <w:color w:val="auto"/>
        </w:rPr>
        <w:t>Incentive Stock Option</w:t>
      </w:r>
      <w:r>
        <w:rPr>
          <w:rFonts w:ascii="Arial" w:cs="Arial" w:eastAsia="Arial" w:hAnsi="Arial"/>
          <w:sz w:val="18"/>
          <w:szCs w:val="18"/>
          <w:color w:val="auto"/>
        </w:rPr>
        <w:t>”) shall only be granted to employees of Analog Devices, Inc., any of Analog Devices, Inc.’s present or future parent or subsidiary corporations as defined in Sections 424(e) or (f) of the Code, and any other entities the employees of which are eligible to receive Incentive Stock Options under the Code, and shall be subject to and shall be construed consistently with the requirements of Section 422 of the Code. An Option that is not intended to be an Incentive Stock Option shall be designated a “</w:t>
      </w:r>
      <w:r>
        <w:rPr>
          <w:rFonts w:ascii="Arial" w:cs="Arial" w:eastAsia="Arial" w:hAnsi="Arial"/>
          <w:sz w:val="18"/>
          <w:szCs w:val="18"/>
          <w:b w:val="1"/>
          <w:bCs w:val="1"/>
          <w:i w:val="1"/>
          <w:iCs w:val="1"/>
          <w:color w:val="auto"/>
        </w:rPr>
        <w:t>Nonstatutory Stock Option</w:t>
      </w:r>
      <w:r>
        <w:rPr>
          <w:rFonts w:ascii="Arial" w:cs="Arial" w:eastAsia="Arial" w:hAnsi="Arial"/>
          <w:sz w:val="18"/>
          <w:szCs w:val="18"/>
          <w:color w:val="auto"/>
        </w:rPr>
        <w:t>.” The Company shall have no liability to a Participant, or any other person, if an Option (or any part thereof) that is intended to be an Incentive Stock Option is not an Incentive Stock Option or if the Company converts an Incentive Stock Option to a Nonstatutory Stock Option.</w:t>
      </w:r>
    </w:p>
    <w:p>
      <w:pPr>
        <w:spacing w:after="0" w:line="74" w:lineRule="exact"/>
        <w:rPr>
          <w:rFonts w:ascii="Arial" w:cs="Arial" w:eastAsia="Arial" w:hAnsi="Arial"/>
          <w:sz w:val="18"/>
          <w:szCs w:val="18"/>
          <w:color w:val="auto"/>
        </w:rPr>
      </w:pPr>
    </w:p>
    <w:p>
      <w:pPr>
        <w:ind w:right="20" w:firstLine="332"/>
        <w:spacing w:after="0" w:line="257" w:lineRule="auto"/>
        <w:tabs>
          <w:tab w:leader="none" w:pos="682" w:val="left"/>
        </w:tabs>
        <w:numPr>
          <w:ilvl w:val="1"/>
          <w:numId w:val="193"/>
        </w:numPr>
        <w:rPr>
          <w:rFonts w:ascii="Arial" w:cs="Arial" w:eastAsia="Arial" w:hAnsi="Arial"/>
          <w:sz w:val="18"/>
          <w:szCs w:val="18"/>
          <w:color w:val="auto"/>
        </w:rPr>
      </w:pPr>
      <w:r>
        <w:rPr>
          <w:rFonts w:ascii="Arial" w:cs="Arial" w:eastAsia="Arial" w:hAnsi="Arial"/>
          <w:sz w:val="18"/>
          <w:szCs w:val="18"/>
          <w:u w:val="single" w:color="auto"/>
          <w:color w:val="auto"/>
        </w:rPr>
        <w:t>Exercise Price</w:t>
      </w:r>
      <w:r>
        <w:rPr>
          <w:rFonts w:ascii="Arial" w:cs="Arial" w:eastAsia="Arial" w:hAnsi="Arial"/>
          <w:sz w:val="18"/>
          <w:szCs w:val="18"/>
          <w:color w:val="auto"/>
        </w:rPr>
        <w:t>. The Board shall establish the exercise price of each Option or the formula by which such exercise price will be determined. The exercise price shall be specified in the applicable Option agreement. The exercise price shall be not less than 100% of the Grant Date Fair Market Value (as defined below) of the Common Stock on the date the Option is approved; provided that if the Board approves the grant of an Option with an exercise price to be determined on a future date, the exercise price shall be not less than 100% of the Grant Date Fair Market Value on such future date. “</w:t>
      </w:r>
      <w:r>
        <w:rPr>
          <w:rFonts w:ascii="Arial" w:cs="Arial" w:eastAsia="Arial" w:hAnsi="Arial"/>
          <w:sz w:val="18"/>
          <w:szCs w:val="18"/>
          <w:b w:val="1"/>
          <w:bCs w:val="1"/>
          <w:i w:val="1"/>
          <w:iCs w:val="1"/>
          <w:color w:val="auto"/>
        </w:rPr>
        <w:t>Grant Date Fair Market Value</w:t>
      </w:r>
      <w:r>
        <w:rPr>
          <w:rFonts w:ascii="Arial" w:cs="Arial" w:eastAsia="Arial" w:hAnsi="Arial"/>
          <w:sz w:val="18"/>
          <w:szCs w:val="18"/>
          <w:color w:val="auto"/>
        </w:rPr>
        <w:t>” of a share of Common Stock for purposes of the Plan will be determined as follows:</w:t>
      </w:r>
    </w:p>
    <w:p>
      <w:pPr>
        <w:spacing w:after="0" w:line="74" w:lineRule="exact"/>
        <w:rPr>
          <w:rFonts w:ascii="Arial" w:cs="Arial" w:eastAsia="Arial" w:hAnsi="Arial"/>
          <w:sz w:val="18"/>
          <w:szCs w:val="18"/>
          <w:color w:val="auto"/>
        </w:rPr>
      </w:pPr>
    </w:p>
    <w:p>
      <w:pPr>
        <w:ind w:right="20" w:firstLine="915"/>
        <w:spacing w:after="0" w:line="287" w:lineRule="auto"/>
        <w:tabs>
          <w:tab w:leader="none" w:pos="1329" w:val="left"/>
        </w:tabs>
        <w:numPr>
          <w:ilvl w:val="2"/>
          <w:numId w:val="193"/>
        </w:numPr>
        <w:rPr>
          <w:rFonts w:ascii="Arial" w:cs="Arial" w:eastAsia="Arial" w:hAnsi="Arial"/>
          <w:sz w:val="18"/>
          <w:szCs w:val="18"/>
          <w:color w:val="auto"/>
        </w:rPr>
      </w:pPr>
      <w:r>
        <w:rPr>
          <w:rFonts w:ascii="Arial" w:cs="Arial" w:eastAsia="Arial" w:hAnsi="Arial"/>
          <w:sz w:val="18"/>
          <w:szCs w:val="18"/>
          <w:color w:val="auto"/>
        </w:rPr>
        <w:t>if the Common Stock trades on a national securities exchange, the closing sale price (for the primary trading session) on the applicable date; or</w:t>
      </w:r>
    </w:p>
    <w:p>
      <w:pPr>
        <w:spacing w:after="0" w:line="44" w:lineRule="exact"/>
        <w:rPr>
          <w:rFonts w:ascii="Arial" w:cs="Arial" w:eastAsia="Arial" w:hAnsi="Arial"/>
          <w:sz w:val="18"/>
          <w:szCs w:val="18"/>
          <w:color w:val="auto"/>
        </w:rPr>
      </w:pPr>
    </w:p>
    <w:p>
      <w:pPr>
        <w:ind w:right="760" w:firstLine="915"/>
        <w:spacing w:after="0" w:line="287" w:lineRule="auto"/>
        <w:tabs>
          <w:tab w:leader="none" w:pos="1329" w:val="left"/>
        </w:tabs>
        <w:numPr>
          <w:ilvl w:val="2"/>
          <w:numId w:val="193"/>
        </w:numPr>
        <w:rPr>
          <w:rFonts w:ascii="Arial" w:cs="Arial" w:eastAsia="Arial" w:hAnsi="Arial"/>
          <w:sz w:val="18"/>
          <w:szCs w:val="18"/>
          <w:color w:val="auto"/>
        </w:rPr>
      </w:pPr>
      <w:r>
        <w:rPr>
          <w:rFonts w:ascii="Arial" w:cs="Arial" w:eastAsia="Arial" w:hAnsi="Arial"/>
          <w:sz w:val="18"/>
          <w:szCs w:val="18"/>
          <w:color w:val="auto"/>
        </w:rPr>
        <w:t>if the Common Stock does not trade on any such exchange, the average of the closing bid and asked prices on the applicable date as reported by an over-the-counter marketplace designated by the Board; or</w:t>
      </w:r>
    </w:p>
    <w:p>
      <w:pPr>
        <w:spacing w:after="0" w:line="44" w:lineRule="exact"/>
        <w:rPr>
          <w:rFonts w:ascii="Arial" w:cs="Arial" w:eastAsia="Arial" w:hAnsi="Arial"/>
          <w:sz w:val="18"/>
          <w:szCs w:val="18"/>
          <w:color w:val="auto"/>
        </w:rPr>
      </w:pPr>
    </w:p>
    <w:p>
      <w:pPr>
        <w:jc w:val="both"/>
        <w:ind w:right="260" w:firstLine="915"/>
        <w:spacing w:after="0" w:line="268" w:lineRule="auto"/>
        <w:tabs>
          <w:tab w:leader="none" w:pos="1329" w:val="left"/>
        </w:tabs>
        <w:numPr>
          <w:ilvl w:val="2"/>
          <w:numId w:val="193"/>
        </w:numPr>
        <w:rPr>
          <w:rFonts w:ascii="Arial" w:cs="Arial" w:eastAsia="Arial" w:hAnsi="Arial"/>
          <w:sz w:val="18"/>
          <w:szCs w:val="18"/>
          <w:color w:val="auto"/>
        </w:rPr>
      </w:pPr>
      <w:r>
        <w:rPr>
          <w:rFonts w:ascii="Arial" w:cs="Arial" w:eastAsia="Arial" w:hAnsi="Arial"/>
          <w:sz w:val="18"/>
          <w:szCs w:val="18"/>
          <w:color w:val="auto"/>
        </w:rPr>
        <w:t>if the Common Stock is not publicly traded, the Board will determine the Grant Date Fair Market Value for purposes of the Plan using any measure of value it determines to be appropriate (including, as it considers appropriate, relying on appraisals) in a manner consistent with the valuation principles under Code Section 409A, except as the Board may expressly determine otherwise.</w:t>
      </w:r>
    </w:p>
    <w:p>
      <w:pPr>
        <w:spacing w:after="0" w:line="63"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For any date that is not a trading day, the Grant Date Fair Market Value of a share of Common Stock for such date will be determined by using the closing sale price or average of the bid and asked prices, as appropriate, for the immediately following trading day and with the timing in the formulas above adjusted accordingly. The Board can substitute a particular time of day or other measure of “closing sale price” or “bid and asked prices” if appropriate because of exchange or market procedures or can, in its sole discretion, use weighted averages either on a daily basis or such longer period as complies with Code Section 409A.</w:t>
      </w:r>
    </w:p>
    <w:p>
      <w:pPr>
        <w:spacing w:after="0" w:line="71" w:lineRule="exact"/>
        <w:rPr>
          <w:sz w:val="20"/>
          <w:szCs w:val="20"/>
          <w:color w:val="auto"/>
        </w:rPr>
      </w:pPr>
    </w:p>
    <w:p>
      <w:pPr>
        <w:ind w:right="20"/>
        <w:spacing w:after="0" w:line="318" w:lineRule="auto"/>
        <w:rPr>
          <w:sz w:val="20"/>
          <w:szCs w:val="20"/>
          <w:color w:val="auto"/>
        </w:rPr>
      </w:pPr>
      <w:r>
        <w:rPr>
          <w:rFonts w:ascii="Arial" w:cs="Arial" w:eastAsia="Arial" w:hAnsi="Arial"/>
          <w:sz w:val="17"/>
          <w:szCs w:val="17"/>
          <w:color w:val="auto"/>
        </w:rPr>
        <w:t>The Board has sole discretion to determine the Grant Date Fair Market Value for purposes of the Plan, and all Awards are conditioned on the Participant’s agreement that the Board’s determination is conclusive and binding even though others might make a different determination.</w:t>
      </w:r>
    </w:p>
    <w:p>
      <w:pPr>
        <w:spacing w:after="0" w:line="22" w:lineRule="exact"/>
        <w:rPr>
          <w:sz w:val="20"/>
          <w:szCs w:val="20"/>
          <w:color w:val="auto"/>
        </w:rPr>
      </w:pPr>
    </w:p>
    <w:p>
      <w:pPr>
        <w:ind w:right="380" w:firstLine="332"/>
        <w:spacing w:after="0" w:line="287" w:lineRule="auto"/>
        <w:tabs>
          <w:tab w:leader="none" w:pos="679" w:val="left"/>
        </w:tabs>
        <w:numPr>
          <w:ilvl w:val="0"/>
          <w:numId w:val="194"/>
        </w:numPr>
        <w:rPr>
          <w:rFonts w:ascii="Arial" w:cs="Arial" w:eastAsia="Arial" w:hAnsi="Arial"/>
          <w:sz w:val="18"/>
          <w:szCs w:val="18"/>
          <w:color w:val="auto"/>
        </w:rPr>
      </w:pPr>
      <w:r>
        <w:rPr>
          <w:rFonts w:ascii="Arial" w:cs="Arial" w:eastAsia="Arial" w:hAnsi="Arial"/>
          <w:sz w:val="18"/>
          <w:szCs w:val="18"/>
          <w:u w:val="single" w:color="auto"/>
          <w:color w:val="auto"/>
        </w:rPr>
        <w:t>Duration of Options</w:t>
      </w:r>
      <w:r>
        <w:rPr>
          <w:rFonts w:ascii="Arial" w:cs="Arial" w:eastAsia="Arial" w:hAnsi="Arial"/>
          <w:sz w:val="18"/>
          <w:szCs w:val="18"/>
          <w:color w:val="auto"/>
        </w:rPr>
        <w:t xml:space="preserve">. Each Option shall be exercisable at such times and subject to such terms and conditions as the Board may specify in the applicable Option agreement;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that no Option will be granted with a term in excess of 10 years.</w:t>
      </w:r>
    </w:p>
    <w:p>
      <w:pPr>
        <w:spacing w:after="0" w:line="44" w:lineRule="exact"/>
        <w:rPr>
          <w:rFonts w:ascii="Arial" w:cs="Arial" w:eastAsia="Arial" w:hAnsi="Arial"/>
          <w:sz w:val="18"/>
          <w:szCs w:val="18"/>
          <w:color w:val="auto"/>
        </w:rPr>
      </w:pPr>
    </w:p>
    <w:p>
      <w:pPr>
        <w:ind w:right="180" w:firstLine="332"/>
        <w:spacing w:after="0" w:line="262" w:lineRule="auto"/>
        <w:tabs>
          <w:tab w:leader="none" w:pos="679" w:val="left"/>
        </w:tabs>
        <w:numPr>
          <w:ilvl w:val="0"/>
          <w:numId w:val="194"/>
        </w:numPr>
        <w:rPr>
          <w:rFonts w:ascii="Arial" w:cs="Arial" w:eastAsia="Arial" w:hAnsi="Arial"/>
          <w:sz w:val="18"/>
          <w:szCs w:val="18"/>
          <w:color w:val="auto"/>
        </w:rPr>
      </w:pPr>
      <w:r>
        <w:rPr>
          <w:rFonts w:ascii="Arial" w:cs="Arial" w:eastAsia="Arial" w:hAnsi="Arial"/>
          <w:sz w:val="18"/>
          <w:szCs w:val="18"/>
          <w:u w:val="single" w:color="auto"/>
          <w:color w:val="auto"/>
        </w:rPr>
        <w:t>Exercise of Options</w:t>
      </w:r>
      <w:r>
        <w:rPr>
          <w:rFonts w:ascii="Arial" w:cs="Arial" w:eastAsia="Arial" w:hAnsi="Arial"/>
          <w:sz w:val="18"/>
          <w:szCs w:val="18"/>
          <w:color w:val="auto"/>
        </w:rPr>
        <w:t>. Options may be exercised by delivery to the Company of a notice of exercise in a form (which may be electronic and which may be provided to a third-party equity plan administrator) approved by the Company, together with payment in full (in the manner specified in Section 5(f)) of the exercise price for the number of shares for which the Option is exercised. Shares of Common Stock subject to the Option will be delivered by the Company as soon as practicable following exercise.</w:t>
      </w:r>
    </w:p>
    <w:p>
      <w:pPr>
        <w:spacing w:after="0" w:line="68" w:lineRule="exact"/>
        <w:rPr>
          <w:rFonts w:ascii="Arial" w:cs="Arial" w:eastAsia="Arial" w:hAnsi="Arial"/>
          <w:sz w:val="18"/>
          <w:szCs w:val="18"/>
          <w:color w:val="auto"/>
        </w:rPr>
      </w:pPr>
    </w:p>
    <w:p>
      <w:pPr>
        <w:ind w:left="680" w:hanging="348"/>
        <w:spacing w:after="0"/>
        <w:tabs>
          <w:tab w:leader="none" w:pos="680" w:val="left"/>
        </w:tabs>
        <w:numPr>
          <w:ilvl w:val="0"/>
          <w:numId w:val="194"/>
        </w:numPr>
        <w:rPr>
          <w:rFonts w:ascii="Arial" w:cs="Arial" w:eastAsia="Arial" w:hAnsi="Arial"/>
          <w:sz w:val="18"/>
          <w:szCs w:val="18"/>
          <w:color w:val="auto"/>
        </w:rPr>
      </w:pPr>
      <w:r>
        <w:rPr>
          <w:rFonts w:ascii="Arial" w:cs="Arial" w:eastAsia="Arial" w:hAnsi="Arial"/>
          <w:sz w:val="18"/>
          <w:szCs w:val="18"/>
          <w:u w:val="single" w:color="auto"/>
          <w:color w:val="auto"/>
        </w:rPr>
        <w:t>Payment Upon Exercise</w:t>
      </w:r>
      <w:r>
        <w:rPr>
          <w:rFonts w:ascii="Arial" w:cs="Arial" w:eastAsia="Arial" w:hAnsi="Arial"/>
          <w:sz w:val="18"/>
          <w:szCs w:val="18"/>
          <w:color w:val="auto"/>
        </w:rPr>
        <w:t>. Common Stock purchased upon the exercise of an Option granted under the Plan shall be paid for as</w:t>
      </w:r>
    </w:p>
    <w:p>
      <w:pPr>
        <w:spacing w:after="0" w:line="27"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follows:</w:t>
      </w:r>
    </w:p>
    <w:p>
      <w:pPr>
        <w:spacing w:after="0" w:line="99" w:lineRule="exact"/>
        <w:rPr>
          <w:rFonts w:ascii="Arial" w:cs="Arial" w:eastAsia="Arial" w:hAnsi="Arial"/>
          <w:sz w:val="18"/>
          <w:szCs w:val="18"/>
          <w:color w:val="auto"/>
        </w:rPr>
      </w:pPr>
    </w:p>
    <w:p>
      <w:pPr>
        <w:ind w:left="1340" w:hanging="425"/>
        <w:spacing w:after="0"/>
        <w:tabs>
          <w:tab w:leader="none" w:pos="1340" w:val="left"/>
        </w:tabs>
        <w:numPr>
          <w:ilvl w:val="1"/>
          <w:numId w:val="194"/>
        </w:numPr>
        <w:rPr>
          <w:rFonts w:ascii="Arial" w:cs="Arial" w:eastAsia="Arial" w:hAnsi="Arial"/>
          <w:sz w:val="18"/>
          <w:szCs w:val="18"/>
          <w:color w:val="auto"/>
        </w:rPr>
      </w:pPr>
      <w:r>
        <w:rPr>
          <w:rFonts w:ascii="Arial" w:cs="Arial" w:eastAsia="Arial" w:hAnsi="Arial"/>
          <w:sz w:val="18"/>
          <w:szCs w:val="18"/>
          <w:color w:val="auto"/>
        </w:rPr>
        <w:t>in cash or by check, payable to the order of the Company;</w:t>
      </w:r>
    </w:p>
    <w:p>
      <w:pPr>
        <w:sectPr>
          <w:pgSz w:w="11900" w:h="16838" w:orient="portrait"/>
          <w:cols w:equalWidth="0" w:num="1">
            <w:col w:w="11220"/>
          </w:cols>
          <w:pgMar w:left="320" w:top="1066" w:right="359" w:bottom="1440" w:gutter="0" w:footer="0" w:header="0"/>
        </w:sectPr>
      </w:pPr>
    </w:p>
    <w:p>
      <w:pPr>
        <w:spacing w:after="0" w:line="200" w:lineRule="exact"/>
        <w:rPr>
          <w:sz w:val="20"/>
          <w:szCs w:val="20"/>
          <w:color w:val="auto"/>
        </w:rPr>
      </w:pPr>
    </w:p>
    <w:p>
      <w:pPr>
        <w:spacing w:after="0" w:line="290" w:lineRule="exact"/>
        <w:rPr>
          <w:sz w:val="20"/>
          <w:szCs w:val="20"/>
          <w:color w:val="auto"/>
        </w:rPr>
      </w:pPr>
    </w:p>
    <w:p>
      <w:pPr>
        <w:ind w:left="8980"/>
        <w:spacing w:after="0"/>
        <w:tabs>
          <w:tab w:leader="none" w:pos="10880" w:val="left"/>
        </w:tabs>
        <w:rPr>
          <w:sz w:val="20"/>
          <w:szCs w:val="20"/>
          <w:color w:val="auto"/>
        </w:rPr>
      </w:pPr>
      <w:r>
        <w:rPr>
          <w:rFonts w:ascii="Arial" w:cs="Arial" w:eastAsia="Arial" w:hAnsi="Arial"/>
          <w:sz w:val="16"/>
          <w:szCs w:val="16"/>
          <w:color w:val="0067B3"/>
        </w:rPr>
        <w:t>2026 Proxy Statement</w:t>
      </w:r>
      <w:r>
        <w:rPr>
          <w:sz w:val="20"/>
          <w:szCs w:val="20"/>
          <w:color w:val="auto"/>
        </w:rPr>
        <w:tab/>
      </w:r>
      <w:r>
        <w:rPr>
          <w:rFonts w:ascii="Arial" w:cs="Arial" w:eastAsia="Arial" w:hAnsi="Arial"/>
          <w:sz w:val="19"/>
          <w:szCs w:val="19"/>
          <w:b w:val="1"/>
          <w:bCs w:val="1"/>
          <w:color w:val="auto"/>
        </w:rPr>
        <w:t>A-3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232410</wp:posOffset>
            </wp:positionV>
            <wp:extent cx="7157720" cy="42545"/>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66" w:right="359" w:bottom="1440" w:gutter="0" w:footer="0" w:header="0"/>
          <w:type w:val="continuous"/>
        </w:sectPr>
      </w:pPr>
    </w:p>
    <w:bookmarkStart w:id="109" w:name="page110"/>
    <w:bookmarkEnd w:id="109"/>
    <w:p>
      <w:pPr>
        <w:ind w:right="60" w:firstLine="915"/>
        <w:spacing w:after="0" w:line="259" w:lineRule="auto"/>
        <w:tabs>
          <w:tab w:leader="none" w:pos="1329" w:val="left"/>
        </w:tabs>
        <w:numPr>
          <w:ilvl w:val="2"/>
          <w:numId w:val="195"/>
        </w:numPr>
        <w:rPr>
          <w:rFonts w:ascii="Arial" w:cs="Arial" w:eastAsia="Arial" w:hAnsi="Arial"/>
          <w:sz w:val="18"/>
          <w:szCs w:val="18"/>
          <w:color w:val="auto"/>
        </w:rPr>
      </w:pPr>
      <w:r>
        <w:rPr>
          <w:rFonts w:ascii="Arial" w:cs="Arial" w:eastAsia="Arial" w:hAnsi="Arial"/>
          <w:sz w:val="18"/>
          <w:szCs w:val="18"/>
          <w:color w:val="auto"/>
        </w:rPr>
        <w:t>except as may otherwise be provided in the applicable Option agreement or approved by the Board, by (i) delivery of an irrevocable and unconditional undertaking by a creditworthy broker to deliver promptly to the Company sufficient funds to pay the exercise price and any required tax withholding or (ii) delivery by the Participant to the Company of a copy of irrevocable and unconditional instructions to a creditworthy broker to deliver promptly to the Company cash or a check sufficient to pay the exercise price and any required tax withholding;</w:t>
      </w:r>
    </w:p>
    <w:p>
      <w:pPr>
        <w:spacing w:after="0" w:line="71" w:lineRule="exact"/>
        <w:rPr>
          <w:rFonts w:ascii="Arial" w:cs="Arial" w:eastAsia="Arial" w:hAnsi="Arial"/>
          <w:sz w:val="18"/>
          <w:szCs w:val="18"/>
          <w:color w:val="auto"/>
        </w:rPr>
      </w:pPr>
    </w:p>
    <w:p>
      <w:pPr>
        <w:ind w:firstLine="915"/>
        <w:spacing w:after="0" w:line="259" w:lineRule="auto"/>
        <w:tabs>
          <w:tab w:leader="none" w:pos="1329" w:val="left"/>
        </w:tabs>
        <w:numPr>
          <w:ilvl w:val="2"/>
          <w:numId w:val="195"/>
        </w:numPr>
        <w:rPr>
          <w:rFonts w:ascii="Arial" w:cs="Arial" w:eastAsia="Arial" w:hAnsi="Arial"/>
          <w:sz w:val="18"/>
          <w:szCs w:val="18"/>
          <w:color w:val="auto"/>
        </w:rPr>
      </w:pPr>
      <w:r>
        <w:rPr>
          <w:rFonts w:ascii="Arial" w:cs="Arial" w:eastAsia="Arial" w:hAnsi="Arial"/>
          <w:sz w:val="18"/>
          <w:szCs w:val="18"/>
          <w:color w:val="auto"/>
        </w:rPr>
        <w:t>to the extent provided for in the applicable Option agreement or approved by the Board, by delivery (either by actual delivery or attestation) of shares of Common Stock owned by the Participant valued at their fair market value (valued in the manner determined by (or in a manner approved by) the Board), provided (i) such method of payment is then permitted under applicable law, (ii) such Common Stock, if acquired directly from the Company, was owned by the Participant for such minimum period of time, if any, as may be established by the Board and (iii) such Common Stock is not subject to any repurchase, forfeiture, unfulfilled vesting or other similar requirements;</w:t>
      </w:r>
    </w:p>
    <w:p>
      <w:pPr>
        <w:spacing w:after="0" w:line="71" w:lineRule="exact"/>
        <w:rPr>
          <w:rFonts w:ascii="Arial" w:cs="Arial" w:eastAsia="Arial" w:hAnsi="Arial"/>
          <w:sz w:val="18"/>
          <w:szCs w:val="18"/>
          <w:color w:val="auto"/>
        </w:rPr>
      </w:pPr>
    </w:p>
    <w:p>
      <w:pPr>
        <w:ind w:right="80" w:firstLine="915"/>
        <w:spacing w:after="0" w:line="259" w:lineRule="auto"/>
        <w:tabs>
          <w:tab w:leader="none" w:pos="1329" w:val="left"/>
        </w:tabs>
        <w:numPr>
          <w:ilvl w:val="2"/>
          <w:numId w:val="195"/>
        </w:numPr>
        <w:rPr>
          <w:rFonts w:ascii="Arial" w:cs="Arial" w:eastAsia="Arial" w:hAnsi="Arial"/>
          <w:sz w:val="18"/>
          <w:szCs w:val="18"/>
          <w:color w:val="auto"/>
        </w:rPr>
      </w:pPr>
      <w:r>
        <w:rPr>
          <w:rFonts w:ascii="Arial" w:cs="Arial" w:eastAsia="Arial" w:hAnsi="Arial"/>
          <w:sz w:val="18"/>
          <w:szCs w:val="18"/>
          <w:color w:val="auto"/>
        </w:rPr>
        <w:t>to the extent provided for in the applicable Nonstatutory Stock Option agreement or approved by the Board, by delivery of a notice of “net exercise” to the Company, as a result of which the Participant would receive (i) the number of shares underlying the portion of the Option being exercised, less (ii) such number of shares as is equal to (A) the aggregate exercise price for the portion of the Option being exercised divided by (B) the fair market value of the Common Stock (valued in the manner determined by (or in a manner approved by) the Board) on the date of exercise;</w:t>
      </w:r>
    </w:p>
    <w:p>
      <w:pPr>
        <w:spacing w:after="0" w:line="71" w:lineRule="exact"/>
        <w:rPr>
          <w:rFonts w:ascii="Arial" w:cs="Arial" w:eastAsia="Arial" w:hAnsi="Arial"/>
          <w:sz w:val="18"/>
          <w:szCs w:val="18"/>
          <w:color w:val="auto"/>
        </w:rPr>
      </w:pPr>
    </w:p>
    <w:p>
      <w:pPr>
        <w:ind w:right="120" w:firstLine="915"/>
        <w:spacing w:after="0" w:line="287" w:lineRule="auto"/>
        <w:tabs>
          <w:tab w:leader="none" w:pos="1329" w:val="left"/>
        </w:tabs>
        <w:numPr>
          <w:ilvl w:val="2"/>
          <w:numId w:val="195"/>
        </w:numPr>
        <w:rPr>
          <w:rFonts w:ascii="Arial" w:cs="Arial" w:eastAsia="Arial" w:hAnsi="Arial"/>
          <w:sz w:val="18"/>
          <w:szCs w:val="18"/>
          <w:color w:val="auto"/>
        </w:rPr>
      </w:pPr>
      <w:r>
        <w:rPr>
          <w:rFonts w:ascii="Arial" w:cs="Arial" w:eastAsia="Arial" w:hAnsi="Arial"/>
          <w:sz w:val="18"/>
          <w:szCs w:val="18"/>
          <w:color w:val="auto"/>
        </w:rPr>
        <w:t>to the extent permitted by applicable law and provided for in the applicable Option agreement or approved by the Board, by payment of such other lawful consideration as the Board may determine; or</w:t>
      </w:r>
    </w:p>
    <w:p>
      <w:pPr>
        <w:spacing w:after="0" w:line="44" w:lineRule="exact"/>
        <w:rPr>
          <w:rFonts w:ascii="Arial" w:cs="Arial" w:eastAsia="Arial" w:hAnsi="Arial"/>
          <w:sz w:val="18"/>
          <w:szCs w:val="18"/>
          <w:color w:val="auto"/>
        </w:rPr>
      </w:pPr>
    </w:p>
    <w:p>
      <w:pPr>
        <w:ind w:left="1340" w:hanging="425"/>
        <w:spacing w:after="0"/>
        <w:tabs>
          <w:tab w:leader="none" w:pos="1340" w:val="left"/>
        </w:tabs>
        <w:numPr>
          <w:ilvl w:val="2"/>
          <w:numId w:val="195"/>
        </w:numPr>
        <w:rPr>
          <w:rFonts w:ascii="Arial" w:cs="Arial" w:eastAsia="Arial" w:hAnsi="Arial"/>
          <w:sz w:val="18"/>
          <w:szCs w:val="18"/>
          <w:color w:val="auto"/>
        </w:rPr>
      </w:pPr>
      <w:r>
        <w:rPr>
          <w:rFonts w:ascii="Arial" w:cs="Arial" w:eastAsia="Arial" w:hAnsi="Arial"/>
          <w:sz w:val="18"/>
          <w:szCs w:val="18"/>
          <w:color w:val="auto"/>
        </w:rPr>
        <w:t>by any combination of the above permitted forms of payment, to the extent approved by the Board.</w:t>
      </w:r>
    </w:p>
    <w:p>
      <w:pPr>
        <w:spacing w:after="0" w:line="117" w:lineRule="exact"/>
        <w:rPr>
          <w:rFonts w:ascii="Arial" w:cs="Arial" w:eastAsia="Arial" w:hAnsi="Arial"/>
          <w:sz w:val="18"/>
          <w:szCs w:val="18"/>
          <w:color w:val="auto"/>
        </w:rPr>
      </w:pPr>
    </w:p>
    <w:p>
      <w:pPr>
        <w:ind w:firstLine="332"/>
        <w:spacing w:after="0" w:line="255" w:lineRule="auto"/>
        <w:tabs>
          <w:tab w:leader="none" w:pos="679" w:val="left"/>
        </w:tabs>
        <w:numPr>
          <w:ilvl w:val="1"/>
          <w:numId w:val="196"/>
        </w:numPr>
        <w:rPr>
          <w:rFonts w:ascii="Arial" w:cs="Arial" w:eastAsia="Arial" w:hAnsi="Arial"/>
          <w:sz w:val="18"/>
          <w:szCs w:val="18"/>
          <w:color w:val="auto"/>
        </w:rPr>
      </w:pPr>
      <w:r>
        <w:rPr>
          <w:rFonts w:ascii="Arial" w:cs="Arial" w:eastAsia="Arial" w:hAnsi="Arial"/>
          <w:sz w:val="18"/>
          <w:szCs w:val="18"/>
          <w:u w:val="single" w:color="auto"/>
          <w:color w:val="auto"/>
        </w:rPr>
        <w:t>Limitation on Repricing</w:t>
      </w:r>
      <w:r>
        <w:rPr>
          <w:rFonts w:ascii="Arial" w:cs="Arial" w:eastAsia="Arial" w:hAnsi="Arial"/>
          <w:sz w:val="18"/>
          <w:szCs w:val="18"/>
          <w:color w:val="auto"/>
        </w:rPr>
        <w:t>. Unless such action is approved by the Company’s stockholders, the Company may not (except as provided for under Section 10): (1) amend any outstanding Option granted under the Plan to provide an exercise price per share that is lower than the then-current exercise price per share of such outstanding Option, (2) cancel any outstanding option (whether or not granted under the Plan) and grant in substitution therefor new Awards under the Plan (other than Awards granted pursuant to Section 4(c)) covering the same or a different number of shares of Common Stock and having an exercise price per share lower than the then-current exercise price per share of the cancelled option, (3) cancel in exchange for a cash payment any outstanding Option with an exercise price per share above the then-current fair market value of the Common Stock (valued in the manner determined by (or in a manner approved by) the Board), or (4) take any other action under the Plan that constitutes a “repricing” within the meaning of the rules of the NASDAQ Stock Market.</w:t>
      </w:r>
    </w:p>
    <w:p>
      <w:pPr>
        <w:spacing w:after="0" w:line="76" w:lineRule="exact"/>
        <w:rPr>
          <w:rFonts w:ascii="Arial" w:cs="Arial" w:eastAsia="Arial" w:hAnsi="Arial"/>
          <w:sz w:val="18"/>
          <w:szCs w:val="18"/>
          <w:color w:val="auto"/>
        </w:rPr>
      </w:pPr>
    </w:p>
    <w:p>
      <w:pPr>
        <w:ind w:right="200" w:firstLine="332"/>
        <w:spacing w:after="0" w:line="287" w:lineRule="auto"/>
        <w:tabs>
          <w:tab w:leader="none" w:pos="679" w:val="left"/>
        </w:tabs>
        <w:numPr>
          <w:ilvl w:val="1"/>
          <w:numId w:val="196"/>
        </w:numPr>
        <w:rPr>
          <w:rFonts w:ascii="Arial" w:cs="Arial" w:eastAsia="Arial" w:hAnsi="Arial"/>
          <w:sz w:val="18"/>
          <w:szCs w:val="18"/>
          <w:color w:val="auto"/>
        </w:rPr>
      </w:pPr>
      <w:r>
        <w:rPr>
          <w:rFonts w:ascii="Arial" w:cs="Arial" w:eastAsia="Arial" w:hAnsi="Arial"/>
          <w:sz w:val="18"/>
          <w:szCs w:val="18"/>
          <w:u w:val="single" w:color="auto"/>
          <w:color w:val="auto"/>
        </w:rPr>
        <w:t>No Reload Options</w:t>
      </w:r>
      <w:r>
        <w:rPr>
          <w:rFonts w:ascii="Arial" w:cs="Arial" w:eastAsia="Arial" w:hAnsi="Arial"/>
          <w:sz w:val="18"/>
          <w:szCs w:val="18"/>
          <w:color w:val="auto"/>
        </w:rPr>
        <w:t>. No Option granted under the Plan shall contain any provision entitling the Participant to the automatic grant of additional Options in connection with any exercise of the original Option.</w:t>
      </w:r>
    </w:p>
    <w:p>
      <w:pPr>
        <w:spacing w:after="0" w:line="44" w:lineRule="exact"/>
        <w:rPr>
          <w:rFonts w:ascii="Arial" w:cs="Arial" w:eastAsia="Arial" w:hAnsi="Arial"/>
          <w:sz w:val="18"/>
          <w:szCs w:val="18"/>
          <w:color w:val="auto"/>
        </w:rPr>
      </w:pPr>
    </w:p>
    <w:p>
      <w:pPr>
        <w:ind w:left="680" w:hanging="348"/>
        <w:spacing w:after="0"/>
        <w:tabs>
          <w:tab w:leader="none" w:pos="680" w:val="left"/>
        </w:tabs>
        <w:numPr>
          <w:ilvl w:val="1"/>
          <w:numId w:val="196"/>
        </w:numPr>
        <w:rPr>
          <w:rFonts w:ascii="Arial" w:cs="Arial" w:eastAsia="Arial" w:hAnsi="Arial"/>
          <w:sz w:val="18"/>
          <w:szCs w:val="18"/>
          <w:color w:val="auto"/>
        </w:rPr>
      </w:pPr>
      <w:r>
        <w:rPr>
          <w:rFonts w:ascii="Arial" w:cs="Arial" w:eastAsia="Arial" w:hAnsi="Arial"/>
          <w:sz w:val="18"/>
          <w:szCs w:val="18"/>
          <w:u w:val="single" w:color="auto"/>
          <w:color w:val="auto"/>
        </w:rPr>
        <w:t>No Dividend Equivalents</w:t>
      </w:r>
      <w:r>
        <w:rPr>
          <w:rFonts w:ascii="Arial" w:cs="Arial" w:eastAsia="Arial" w:hAnsi="Arial"/>
          <w:sz w:val="18"/>
          <w:szCs w:val="18"/>
          <w:color w:val="auto"/>
        </w:rPr>
        <w:t>. No Option shall provide for the payment or accrual of dividend equivalents.</w:t>
      </w:r>
    </w:p>
    <w:p>
      <w:pPr>
        <w:spacing w:after="0" w:line="117" w:lineRule="exact"/>
        <w:rPr>
          <w:rFonts w:ascii="Arial" w:cs="Arial" w:eastAsia="Arial" w:hAnsi="Arial"/>
          <w:sz w:val="18"/>
          <w:szCs w:val="18"/>
          <w:color w:val="auto"/>
        </w:rPr>
      </w:pPr>
    </w:p>
    <w:p>
      <w:pPr>
        <w:ind w:left="340" w:hanging="332"/>
        <w:spacing w:after="0"/>
        <w:tabs>
          <w:tab w:leader="none" w:pos="340" w:val="left"/>
        </w:tabs>
        <w:numPr>
          <w:ilvl w:val="0"/>
          <w:numId w:val="197"/>
        </w:numPr>
        <w:rPr>
          <w:rFonts w:ascii="Arial" w:cs="Arial" w:eastAsia="Arial" w:hAnsi="Arial"/>
          <w:sz w:val="18"/>
          <w:szCs w:val="18"/>
          <w:color w:val="auto"/>
        </w:rPr>
      </w:pPr>
      <w:r>
        <w:rPr>
          <w:rFonts w:ascii="Arial" w:cs="Arial" w:eastAsia="Arial" w:hAnsi="Arial"/>
          <w:sz w:val="18"/>
          <w:szCs w:val="18"/>
          <w:u w:val="single" w:color="auto"/>
          <w:color w:val="auto"/>
        </w:rPr>
        <w:t>Stock Appreciation Rights</w:t>
      </w:r>
    </w:p>
    <w:p>
      <w:pPr>
        <w:spacing w:after="0" w:line="117" w:lineRule="exact"/>
        <w:rPr>
          <w:rFonts w:ascii="Arial" w:cs="Arial" w:eastAsia="Arial" w:hAnsi="Arial"/>
          <w:sz w:val="18"/>
          <w:szCs w:val="18"/>
          <w:color w:val="auto"/>
        </w:rPr>
      </w:pPr>
    </w:p>
    <w:p>
      <w:pPr>
        <w:ind w:right="40" w:firstLine="332"/>
        <w:spacing w:after="0" w:line="259" w:lineRule="auto"/>
        <w:tabs>
          <w:tab w:leader="none" w:pos="679" w:val="left"/>
        </w:tabs>
        <w:numPr>
          <w:ilvl w:val="1"/>
          <w:numId w:val="197"/>
        </w:numPr>
        <w:rPr>
          <w:rFonts w:ascii="Arial" w:cs="Arial" w:eastAsia="Arial" w:hAnsi="Arial"/>
          <w:sz w:val="18"/>
          <w:szCs w:val="18"/>
          <w:color w:val="auto"/>
        </w:rPr>
      </w:pPr>
      <w:r>
        <w:rPr>
          <w:rFonts w:ascii="Arial" w:cs="Arial" w:eastAsia="Arial" w:hAnsi="Arial"/>
          <w:sz w:val="18"/>
          <w:szCs w:val="18"/>
          <w:u w:val="single" w:color="auto"/>
          <w:color w:val="auto"/>
        </w:rPr>
        <w:t>General</w:t>
      </w:r>
      <w:r>
        <w:rPr>
          <w:rFonts w:ascii="Arial" w:cs="Arial" w:eastAsia="Arial" w:hAnsi="Arial"/>
          <w:sz w:val="18"/>
          <w:szCs w:val="18"/>
          <w:color w:val="auto"/>
        </w:rPr>
        <w:t>. The Board may grant Awards consisting of stock appreciation rights (“</w:t>
      </w:r>
      <w:r>
        <w:rPr>
          <w:rFonts w:ascii="Arial" w:cs="Arial" w:eastAsia="Arial" w:hAnsi="Arial"/>
          <w:sz w:val="18"/>
          <w:szCs w:val="18"/>
          <w:b w:val="1"/>
          <w:bCs w:val="1"/>
          <w:i w:val="1"/>
          <w:iCs w:val="1"/>
          <w:color w:val="auto"/>
        </w:rPr>
        <w:t>SARs</w:t>
      </w:r>
      <w:r>
        <w:rPr>
          <w:rFonts w:ascii="Arial" w:cs="Arial" w:eastAsia="Arial" w:hAnsi="Arial"/>
          <w:sz w:val="18"/>
          <w:szCs w:val="18"/>
          <w:color w:val="auto"/>
        </w:rPr>
        <w:t>”) entitling the holder, upon exercise, to receive an amount of Common Stock or cash or a combination thereof (such form to be determined by the Board) determined by reference to appreciation, from and after the date of grant, in the fair market value of a share of Common Stock (valued in the manner determined by (or in a manner approved by) the Board) over the measurement price established pursuant to Section 6(b). The date as of which such appreciation is determined shall be the exercise date.</w:t>
      </w:r>
    </w:p>
    <w:p>
      <w:pPr>
        <w:spacing w:after="0" w:line="71" w:lineRule="exact"/>
        <w:rPr>
          <w:rFonts w:ascii="Arial" w:cs="Arial" w:eastAsia="Arial" w:hAnsi="Arial"/>
          <w:sz w:val="18"/>
          <w:szCs w:val="18"/>
          <w:color w:val="auto"/>
        </w:rPr>
      </w:pPr>
    </w:p>
    <w:p>
      <w:pPr>
        <w:ind w:right="80" w:firstLine="332"/>
        <w:spacing w:after="0" w:line="262" w:lineRule="auto"/>
        <w:tabs>
          <w:tab w:leader="none" w:pos="679" w:val="left"/>
        </w:tabs>
        <w:numPr>
          <w:ilvl w:val="1"/>
          <w:numId w:val="197"/>
        </w:numPr>
        <w:rPr>
          <w:rFonts w:ascii="Arial" w:cs="Arial" w:eastAsia="Arial" w:hAnsi="Arial"/>
          <w:sz w:val="18"/>
          <w:szCs w:val="18"/>
          <w:color w:val="auto"/>
        </w:rPr>
      </w:pPr>
      <w:r>
        <w:rPr>
          <w:rFonts w:ascii="Arial" w:cs="Arial" w:eastAsia="Arial" w:hAnsi="Arial"/>
          <w:sz w:val="18"/>
          <w:szCs w:val="18"/>
          <w:u w:val="single" w:color="auto"/>
          <w:color w:val="auto"/>
        </w:rPr>
        <w:t>Measurement Price</w:t>
      </w:r>
      <w:r>
        <w:rPr>
          <w:rFonts w:ascii="Arial" w:cs="Arial" w:eastAsia="Arial" w:hAnsi="Arial"/>
          <w:sz w:val="18"/>
          <w:szCs w:val="18"/>
          <w:color w:val="auto"/>
        </w:rPr>
        <w:t xml:space="preserve">. The Board shall establish the measurement price of each SAR and specify it in the applicable SAR agreement. The measurement price shall not be less than 100% of the Grant Date Fair Market Value of the Common Stock on the date the SAR is granted;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if the Board approves the grant of an SAR effective as of a future date, the measurement price shall be not less than 100% of the Grant Date Fair Market Value on such future date.</w:t>
      </w:r>
    </w:p>
    <w:p>
      <w:pPr>
        <w:spacing w:after="0" w:line="68" w:lineRule="exact"/>
        <w:rPr>
          <w:rFonts w:ascii="Arial" w:cs="Arial" w:eastAsia="Arial" w:hAnsi="Arial"/>
          <w:sz w:val="18"/>
          <w:szCs w:val="18"/>
          <w:color w:val="auto"/>
        </w:rPr>
      </w:pPr>
    </w:p>
    <w:p>
      <w:pPr>
        <w:ind w:right="80" w:firstLine="332"/>
        <w:spacing w:after="0" w:line="287" w:lineRule="auto"/>
        <w:tabs>
          <w:tab w:leader="none" w:pos="682" w:val="left"/>
        </w:tabs>
        <w:numPr>
          <w:ilvl w:val="1"/>
          <w:numId w:val="197"/>
        </w:numPr>
        <w:rPr>
          <w:rFonts w:ascii="Arial" w:cs="Arial" w:eastAsia="Arial" w:hAnsi="Arial"/>
          <w:sz w:val="18"/>
          <w:szCs w:val="18"/>
          <w:color w:val="auto"/>
        </w:rPr>
      </w:pPr>
      <w:r>
        <w:rPr>
          <w:rFonts w:ascii="Arial" w:cs="Arial" w:eastAsia="Arial" w:hAnsi="Arial"/>
          <w:sz w:val="18"/>
          <w:szCs w:val="18"/>
          <w:u w:val="single" w:color="auto"/>
          <w:color w:val="auto"/>
        </w:rPr>
        <w:t>Duration of SARs</w:t>
      </w:r>
      <w:r>
        <w:rPr>
          <w:rFonts w:ascii="Arial" w:cs="Arial" w:eastAsia="Arial" w:hAnsi="Arial"/>
          <w:sz w:val="18"/>
          <w:szCs w:val="18"/>
          <w:color w:val="auto"/>
        </w:rPr>
        <w:t xml:space="preserve">. Each SAR shall be exercisable at such times and subject to such terms and conditions as the Board may specify in the applicable SAR agreement;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that no SAR will be granted with a term in excess of 10 years.</w:t>
      </w:r>
    </w:p>
    <w:p>
      <w:pPr>
        <w:spacing w:after="0" w:line="44" w:lineRule="exact"/>
        <w:rPr>
          <w:rFonts w:ascii="Arial" w:cs="Arial" w:eastAsia="Arial" w:hAnsi="Arial"/>
          <w:sz w:val="18"/>
          <w:szCs w:val="18"/>
          <w:color w:val="auto"/>
        </w:rPr>
      </w:pPr>
    </w:p>
    <w:p>
      <w:pPr>
        <w:ind w:right="240" w:firstLine="332"/>
        <w:spacing w:after="0" w:line="287" w:lineRule="auto"/>
        <w:tabs>
          <w:tab w:leader="none" w:pos="679" w:val="left"/>
        </w:tabs>
        <w:numPr>
          <w:ilvl w:val="1"/>
          <w:numId w:val="197"/>
        </w:numPr>
        <w:rPr>
          <w:rFonts w:ascii="Arial" w:cs="Arial" w:eastAsia="Arial" w:hAnsi="Arial"/>
          <w:sz w:val="18"/>
          <w:szCs w:val="18"/>
          <w:color w:val="auto"/>
        </w:rPr>
      </w:pPr>
      <w:r>
        <w:rPr>
          <w:rFonts w:ascii="Arial" w:cs="Arial" w:eastAsia="Arial" w:hAnsi="Arial"/>
          <w:sz w:val="18"/>
          <w:szCs w:val="18"/>
          <w:u w:val="single" w:color="auto"/>
          <w:color w:val="auto"/>
        </w:rPr>
        <w:t>Exercise of SARs</w:t>
      </w:r>
      <w:r>
        <w:rPr>
          <w:rFonts w:ascii="Arial" w:cs="Arial" w:eastAsia="Arial" w:hAnsi="Arial"/>
          <w:sz w:val="18"/>
          <w:szCs w:val="18"/>
          <w:color w:val="auto"/>
        </w:rPr>
        <w:t xml:space="preserve">. SARs may be exercised by delivery to the Company of a notice of exercise in a form (which may be electronic) approved by the </w:t>
      </w:r>
      <w:r>
        <w:rPr>
          <w:rFonts w:ascii="Arial" w:cs="Arial" w:eastAsia="Arial" w:hAnsi="Arial"/>
          <w:sz w:val="18"/>
          <w:szCs w:val="18"/>
          <w:i w:val="1"/>
          <w:iCs w:val="1"/>
          <w:color w:val="auto"/>
        </w:rPr>
        <w:t>Company</w:t>
      </w:r>
      <w:r>
        <w:rPr>
          <w:rFonts w:ascii="Arial" w:cs="Arial" w:eastAsia="Arial" w:hAnsi="Arial"/>
          <w:sz w:val="18"/>
          <w:szCs w:val="18"/>
          <w:color w:val="auto"/>
        </w:rPr>
        <w:t>, together with any other documents required by the Board.</w:t>
      </w:r>
    </w:p>
    <w:p>
      <w:pPr>
        <w:spacing w:after="0" w:line="44" w:lineRule="exact"/>
        <w:rPr>
          <w:rFonts w:ascii="Arial" w:cs="Arial" w:eastAsia="Arial" w:hAnsi="Arial"/>
          <w:sz w:val="18"/>
          <w:szCs w:val="18"/>
          <w:color w:val="auto"/>
        </w:rPr>
      </w:pPr>
    </w:p>
    <w:p>
      <w:pPr>
        <w:ind w:firstLine="332"/>
        <w:spacing w:after="0" w:line="253" w:lineRule="auto"/>
        <w:tabs>
          <w:tab w:leader="none" w:pos="679" w:val="left"/>
        </w:tabs>
        <w:numPr>
          <w:ilvl w:val="1"/>
          <w:numId w:val="197"/>
        </w:numPr>
        <w:rPr>
          <w:rFonts w:ascii="Arial" w:cs="Arial" w:eastAsia="Arial" w:hAnsi="Arial"/>
          <w:sz w:val="18"/>
          <w:szCs w:val="18"/>
          <w:color w:val="auto"/>
        </w:rPr>
      </w:pPr>
      <w:r>
        <w:rPr>
          <w:rFonts w:ascii="Arial" w:cs="Arial" w:eastAsia="Arial" w:hAnsi="Arial"/>
          <w:sz w:val="18"/>
          <w:szCs w:val="18"/>
          <w:u w:val="single" w:color="auto"/>
          <w:color w:val="auto"/>
        </w:rPr>
        <w:t>Limitation on Repricing</w:t>
      </w:r>
      <w:r>
        <w:rPr>
          <w:rFonts w:ascii="Arial" w:cs="Arial" w:eastAsia="Arial" w:hAnsi="Arial"/>
          <w:sz w:val="18"/>
          <w:szCs w:val="18"/>
          <w:color w:val="auto"/>
        </w:rPr>
        <w:t xml:space="preserve">. Unless such action is approved by the Company’s stockholders, the Company may not (except as provided for under Section 10): (1) amend any outstanding SAR granted under the Plan to provide a measurement price per share that is lower than the then-current measurement price per share of such </w:t>
      </w:r>
      <w:r>
        <w:rPr>
          <w:rFonts w:ascii="Arial" w:cs="Arial" w:eastAsia="Arial" w:hAnsi="Arial"/>
          <w:sz w:val="18"/>
          <w:szCs w:val="18"/>
          <w:i w:val="1"/>
          <w:iCs w:val="1"/>
          <w:color w:val="auto"/>
        </w:rPr>
        <w:t>outstanding</w:t>
      </w:r>
      <w:r>
        <w:rPr>
          <w:rFonts w:ascii="Arial" w:cs="Arial" w:eastAsia="Arial" w:hAnsi="Arial"/>
          <w:sz w:val="18"/>
          <w:szCs w:val="18"/>
          <w:color w:val="auto"/>
        </w:rPr>
        <w:t xml:space="preserve"> SAR, (2) cancel any outstanding SAR (whether or not granted under the Plan) and grant in substitution therefor new Awards under the Plan (other than Awards granted pursuant to Section 4(c)) covering the same or a different number of shares of Common Stock and having a measurement price per share lower than the then-current measurement price per share of the cancelled SAR, (3) cancel in exchange for a cash payment any outstanding SAR with a measurement price per share above the then-current fair market value of the Common Stock (valued in the manner determined by (or in a manner approved by) the Board), or</w:t>
      </w:r>
    </w:p>
    <w:p>
      <w:pPr>
        <w:spacing w:after="0" w:line="2"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(4) take any other action under the Plan that constitutes a “repricing” within the meaning of the rules of the NASDAQ Stock Market.</w:t>
      </w:r>
    </w:p>
    <w:p>
      <w:pPr>
        <w:sectPr>
          <w:pgSz w:w="11900" w:h="16838" w:orient="portrait"/>
          <w:cols w:equalWidth="0" w:num="1">
            <w:col w:w="11220"/>
          </w:cols>
          <w:pgMar w:left="320" w:top="1066" w:right="359" w:bottom="1440" w:gutter="0" w:footer="0" w:header="0"/>
        </w:sectPr>
      </w:pPr>
    </w:p>
    <w:p>
      <w:pPr>
        <w:spacing w:after="0" w:line="200" w:lineRule="exact"/>
        <w:rPr>
          <w:sz w:val="20"/>
          <w:szCs w:val="20"/>
          <w:color w:val="auto"/>
        </w:rPr>
      </w:pPr>
    </w:p>
    <w:p>
      <w:pPr>
        <w:spacing w:after="0" w:line="272" w:lineRule="exact"/>
        <w:rPr>
          <w:sz w:val="20"/>
          <w:szCs w:val="20"/>
          <w:color w:val="auto"/>
        </w:rPr>
      </w:pPr>
    </w:p>
    <w:p>
      <w:pPr>
        <w:ind w:left="20"/>
        <w:spacing w:after="0"/>
        <w:tabs>
          <w:tab w:leader="none" w:pos="620" w:val="left"/>
        </w:tabs>
        <w:rPr>
          <w:sz w:val="20"/>
          <w:szCs w:val="20"/>
          <w:color w:val="auto"/>
        </w:rPr>
      </w:pPr>
      <w:r>
        <w:rPr>
          <w:rFonts w:ascii="Arial" w:cs="Arial" w:eastAsia="Arial" w:hAnsi="Arial"/>
          <w:sz w:val="20"/>
          <w:szCs w:val="20"/>
          <w:b w:val="1"/>
          <w:bCs w:val="1"/>
          <w:color w:val="auto"/>
        </w:rPr>
        <w:t>A-4</w:t>
      </w:r>
      <w:r>
        <w:rPr>
          <w:sz w:val="20"/>
          <w:szCs w:val="20"/>
          <w:color w:val="auto"/>
        </w:rPr>
        <w:tab/>
      </w:r>
      <w:r>
        <w:rPr>
          <w:rFonts w:ascii="Arial" w:cs="Arial" w:eastAsia="Arial" w:hAnsi="Arial"/>
          <w:sz w:val="16"/>
          <w:szCs w:val="16"/>
          <w:color w:val="6D6E71"/>
        </w:rPr>
        <w:t>Appendix A: Amended and Restated Analog Devices, Inc. 2020 Equity Incentive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66" w:right="359" w:bottom="1440" w:gutter="0" w:footer="0" w:header="0"/>
          <w:type w:val="continuous"/>
        </w:sectPr>
      </w:pPr>
    </w:p>
    <w:bookmarkStart w:id="110" w:name="page111"/>
    <w:bookmarkEnd w:id="110"/>
    <w:p>
      <w:pPr>
        <w:ind w:right="540" w:firstLine="332"/>
        <w:spacing w:after="0" w:line="287" w:lineRule="auto"/>
        <w:tabs>
          <w:tab w:leader="none" w:pos="669" w:val="left"/>
        </w:tabs>
        <w:numPr>
          <w:ilvl w:val="1"/>
          <w:numId w:val="198"/>
        </w:numPr>
        <w:rPr>
          <w:rFonts w:ascii="Arial" w:cs="Arial" w:eastAsia="Arial" w:hAnsi="Arial"/>
          <w:sz w:val="18"/>
          <w:szCs w:val="18"/>
          <w:color w:val="auto"/>
        </w:rPr>
      </w:pPr>
      <w:r>
        <w:rPr>
          <w:rFonts w:ascii="Arial" w:cs="Arial" w:eastAsia="Arial" w:hAnsi="Arial"/>
          <w:sz w:val="18"/>
          <w:szCs w:val="18"/>
          <w:u w:val="single" w:color="auto"/>
          <w:color w:val="auto"/>
        </w:rPr>
        <w:t>No Reload SARs</w:t>
      </w:r>
      <w:r>
        <w:rPr>
          <w:rFonts w:ascii="Arial" w:cs="Arial" w:eastAsia="Arial" w:hAnsi="Arial"/>
          <w:sz w:val="18"/>
          <w:szCs w:val="18"/>
          <w:color w:val="auto"/>
        </w:rPr>
        <w:t xml:space="preserve">. No SAR granted under the Plan shall contain any provision entitling the Participant to the automatic grant of additional SARs in </w:t>
      </w:r>
      <w:r>
        <w:rPr>
          <w:rFonts w:ascii="Arial" w:cs="Arial" w:eastAsia="Arial" w:hAnsi="Arial"/>
          <w:sz w:val="18"/>
          <w:szCs w:val="18"/>
          <w:i w:val="1"/>
          <w:iCs w:val="1"/>
          <w:color w:val="auto"/>
        </w:rPr>
        <w:t>connection</w:t>
      </w:r>
      <w:r>
        <w:rPr>
          <w:rFonts w:ascii="Arial" w:cs="Arial" w:eastAsia="Arial" w:hAnsi="Arial"/>
          <w:sz w:val="18"/>
          <w:szCs w:val="18"/>
          <w:color w:val="auto"/>
        </w:rPr>
        <w:t xml:space="preserve"> with any exercise of the original SAR.</w:t>
      </w:r>
    </w:p>
    <w:p>
      <w:pPr>
        <w:spacing w:after="0" w:line="44" w:lineRule="exact"/>
        <w:rPr>
          <w:rFonts w:ascii="Arial" w:cs="Arial" w:eastAsia="Arial" w:hAnsi="Arial"/>
          <w:sz w:val="18"/>
          <w:szCs w:val="18"/>
          <w:color w:val="auto"/>
        </w:rPr>
      </w:pPr>
    </w:p>
    <w:p>
      <w:pPr>
        <w:ind w:left="680" w:hanging="348"/>
        <w:spacing w:after="0"/>
        <w:tabs>
          <w:tab w:leader="none" w:pos="680" w:val="left"/>
        </w:tabs>
        <w:numPr>
          <w:ilvl w:val="1"/>
          <w:numId w:val="198"/>
        </w:numPr>
        <w:rPr>
          <w:rFonts w:ascii="Arial" w:cs="Arial" w:eastAsia="Arial" w:hAnsi="Arial"/>
          <w:sz w:val="18"/>
          <w:szCs w:val="18"/>
          <w:color w:val="auto"/>
        </w:rPr>
      </w:pPr>
      <w:r>
        <w:rPr>
          <w:rFonts w:ascii="Arial" w:cs="Arial" w:eastAsia="Arial" w:hAnsi="Arial"/>
          <w:sz w:val="18"/>
          <w:szCs w:val="18"/>
          <w:u w:val="single" w:color="auto"/>
          <w:color w:val="auto"/>
        </w:rPr>
        <w:t>No Dividend Equivalents</w:t>
      </w:r>
      <w:r>
        <w:rPr>
          <w:rFonts w:ascii="Arial" w:cs="Arial" w:eastAsia="Arial" w:hAnsi="Arial"/>
          <w:sz w:val="18"/>
          <w:szCs w:val="18"/>
          <w:color w:val="auto"/>
        </w:rPr>
        <w:t>. No SAR shall provide for the payment or accrual of dividend equivalents.</w:t>
      </w:r>
    </w:p>
    <w:p>
      <w:pPr>
        <w:spacing w:after="0" w:line="103" w:lineRule="exact"/>
        <w:rPr>
          <w:rFonts w:ascii="Arial" w:cs="Arial" w:eastAsia="Arial" w:hAnsi="Arial"/>
          <w:sz w:val="18"/>
          <w:szCs w:val="18"/>
          <w:color w:val="auto"/>
        </w:rPr>
      </w:pPr>
    </w:p>
    <w:p>
      <w:pPr>
        <w:ind w:left="340" w:hanging="332"/>
        <w:spacing w:after="0"/>
        <w:tabs>
          <w:tab w:leader="none" w:pos="340" w:val="left"/>
        </w:tabs>
        <w:numPr>
          <w:ilvl w:val="0"/>
          <w:numId w:val="199"/>
        </w:numPr>
        <w:rPr>
          <w:rFonts w:ascii="Arial" w:cs="Arial" w:eastAsia="Arial" w:hAnsi="Arial"/>
          <w:sz w:val="18"/>
          <w:szCs w:val="18"/>
          <w:color w:val="auto"/>
        </w:rPr>
      </w:pPr>
      <w:r>
        <w:rPr>
          <w:rFonts w:ascii="Arial" w:cs="Arial" w:eastAsia="Arial" w:hAnsi="Arial"/>
          <w:sz w:val="18"/>
          <w:szCs w:val="18"/>
          <w:u w:val="single" w:color="auto"/>
          <w:color w:val="auto"/>
        </w:rPr>
        <w:t>Restricted Stock; RSUs</w:t>
      </w:r>
    </w:p>
    <w:p>
      <w:pPr>
        <w:spacing w:after="0" w:line="117" w:lineRule="exact"/>
        <w:rPr>
          <w:rFonts w:ascii="Arial" w:cs="Arial" w:eastAsia="Arial" w:hAnsi="Arial"/>
          <w:sz w:val="18"/>
          <w:szCs w:val="18"/>
          <w:color w:val="auto"/>
        </w:rPr>
      </w:pPr>
    </w:p>
    <w:p>
      <w:pPr>
        <w:ind w:right="180" w:firstLine="332"/>
        <w:spacing w:after="0" w:line="253" w:lineRule="auto"/>
        <w:tabs>
          <w:tab w:leader="none" w:pos="679" w:val="left"/>
        </w:tabs>
        <w:numPr>
          <w:ilvl w:val="1"/>
          <w:numId w:val="199"/>
        </w:numPr>
        <w:rPr>
          <w:rFonts w:ascii="Arial" w:cs="Arial" w:eastAsia="Arial" w:hAnsi="Arial"/>
          <w:sz w:val="18"/>
          <w:szCs w:val="18"/>
          <w:color w:val="auto"/>
        </w:rPr>
      </w:pPr>
      <w:r>
        <w:rPr>
          <w:rFonts w:ascii="Arial" w:cs="Arial" w:eastAsia="Arial" w:hAnsi="Arial"/>
          <w:sz w:val="18"/>
          <w:szCs w:val="18"/>
          <w:u w:val="single" w:color="auto"/>
          <w:color w:val="auto"/>
        </w:rPr>
        <w:t>General</w:t>
      </w:r>
      <w:r>
        <w:rPr>
          <w:rFonts w:ascii="Arial" w:cs="Arial" w:eastAsia="Arial" w:hAnsi="Arial"/>
          <w:sz w:val="18"/>
          <w:szCs w:val="18"/>
          <w:color w:val="auto"/>
        </w:rPr>
        <w:t>. The Board may grant Awards entitling recipients to acquire shares of Common Stock (“</w:t>
      </w:r>
      <w:r>
        <w:rPr>
          <w:rFonts w:ascii="Arial" w:cs="Arial" w:eastAsia="Arial" w:hAnsi="Arial"/>
          <w:sz w:val="18"/>
          <w:szCs w:val="18"/>
          <w:b w:val="1"/>
          <w:bCs w:val="1"/>
          <w:i w:val="1"/>
          <w:iCs w:val="1"/>
          <w:color w:val="auto"/>
        </w:rPr>
        <w:t>Restricted Stock</w:t>
      </w:r>
      <w:r>
        <w:rPr>
          <w:rFonts w:ascii="Arial" w:cs="Arial" w:eastAsia="Arial" w:hAnsi="Arial"/>
          <w:sz w:val="18"/>
          <w:szCs w:val="18"/>
          <w:color w:val="auto"/>
        </w:rPr>
        <w:t>”), subject to the right of the Company to repurchase all or part of such shares at their issue price or other stated or formula price (or to require forfeiture of such shares if issued at no cost) from the recipient in the event that conditions specified by the Board in the applicable Award are not satisfied prior to the end of the applicable restriction period or periods established by the Board for such Award. The Board may also grant Awards entitling the recipient to receive shares of Common Stock or cash to be delivered as soon as practicable after the time such Award vests (“</w:t>
      </w:r>
      <w:r>
        <w:rPr>
          <w:rFonts w:ascii="Arial" w:cs="Arial" w:eastAsia="Arial" w:hAnsi="Arial"/>
          <w:sz w:val="18"/>
          <w:szCs w:val="18"/>
          <w:b w:val="1"/>
          <w:bCs w:val="1"/>
          <w:i w:val="1"/>
          <w:iCs w:val="1"/>
          <w:color w:val="auto"/>
        </w:rPr>
        <w:t>RSUs</w:t>
      </w:r>
      <w:r>
        <w:rPr>
          <w:rFonts w:ascii="Arial" w:cs="Arial" w:eastAsia="Arial" w:hAnsi="Arial"/>
          <w:sz w:val="18"/>
          <w:szCs w:val="18"/>
          <w:color w:val="auto"/>
        </w:rPr>
        <w:t>”).</w:t>
      </w:r>
    </w:p>
    <w:p>
      <w:pPr>
        <w:spacing w:after="0" w:line="54" w:lineRule="exact"/>
        <w:rPr>
          <w:rFonts w:ascii="Arial" w:cs="Arial" w:eastAsia="Arial" w:hAnsi="Arial"/>
          <w:sz w:val="18"/>
          <w:szCs w:val="18"/>
          <w:color w:val="auto"/>
        </w:rPr>
      </w:pPr>
    </w:p>
    <w:p>
      <w:pPr>
        <w:ind w:right="180" w:firstLine="332"/>
        <w:spacing w:after="0" w:line="287" w:lineRule="auto"/>
        <w:tabs>
          <w:tab w:leader="none" w:pos="679" w:val="left"/>
        </w:tabs>
        <w:numPr>
          <w:ilvl w:val="1"/>
          <w:numId w:val="199"/>
        </w:numPr>
        <w:rPr>
          <w:rFonts w:ascii="Arial" w:cs="Arial" w:eastAsia="Arial" w:hAnsi="Arial"/>
          <w:sz w:val="18"/>
          <w:szCs w:val="18"/>
          <w:color w:val="auto"/>
        </w:rPr>
      </w:pPr>
      <w:r>
        <w:rPr>
          <w:rFonts w:ascii="Arial" w:cs="Arial" w:eastAsia="Arial" w:hAnsi="Arial"/>
          <w:sz w:val="18"/>
          <w:szCs w:val="18"/>
          <w:u w:val="single" w:color="auto"/>
          <w:color w:val="auto"/>
        </w:rPr>
        <w:t>Terms and Conditions for Restricted Stock and RSUs</w:t>
      </w:r>
      <w:r>
        <w:rPr>
          <w:rFonts w:ascii="Arial" w:cs="Arial" w:eastAsia="Arial" w:hAnsi="Arial"/>
          <w:sz w:val="18"/>
          <w:szCs w:val="18"/>
          <w:color w:val="auto"/>
        </w:rPr>
        <w:t>. The Board shall determine the terms and conditions of Restricted Stock and RSUs, including the conditions for vesting and repurchase (or forfeiture) and the issue price, if any.</w:t>
      </w:r>
    </w:p>
    <w:p>
      <w:pPr>
        <w:spacing w:after="0" w:line="44" w:lineRule="exact"/>
        <w:rPr>
          <w:rFonts w:ascii="Arial" w:cs="Arial" w:eastAsia="Arial" w:hAnsi="Arial"/>
          <w:sz w:val="18"/>
          <w:szCs w:val="18"/>
          <w:color w:val="auto"/>
        </w:rPr>
      </w:pPr>
    </w:p>
    <w:p>
      <w:pPr>
        <w:ind w:left="700" w:hanging="368"/>
        <w:spacing w:after="0"/>
        <w:tabs>
          <w:tab w:leader="none" w:pos="700" w:val="left"/>
        </w:tabs>
        <w:numPr>
          <w:ilvl w:val="1"/>
          <w:numId w:val="199"/>
        </w:numPr>
        <w:rPr>
          <w:rFonts w:ascii="Arial" w:cs="Arial" w:eastAsia="Arial" w:hAnsi="Arial"/>
          <w:sz w:val="18"/>
          <w:szCs w:val="18"/>
          <w:color w:val="auto"/>
        </w:rPr>
      </w:pPr>
      <w:r>
        <w:rPr>
          <w:rFonts w:ascii="Arial" w:cs="Arial" w:eastAsia="Arial" w:hAnsi="Arial"/>
          <w:sz w:val="18"/>
          <w:szCs w:val="18"/>
          <w:u w:val="single" w:color="auto"/>
          <w:color w:val="auto"/>
        </w:rPr>
        <w:t>Additional Provisions Relating to Restricted Stock</w:t>
      </w:r>
      <w:r>
        <w:rPr>
          <w:rFonts w:ascii="Arial" w:cs="Arial" w:eastAsia="Arial" w:hAnsi="Arial"/>
          <w:sz w:val="18"/>
          <w:szCs w:val="18"/>
          <w:color w:val="auto"/>
        </w:rPr>
        <w:t>.</w:t>
      </w:r>
    </w:p>
    <w:p>
      <w:pPr>
        <w:spacing w:after="0" w:line="103" w:lineRule="exact"/>
        <w:rPr>
          <w:rFonts w:ascii="Arial" w:cs="Arial" w:eastAsia="Arial" w:hAnsi="Arial"/>
          <w:sz w:val="18"/>
          <w:szCs w:val="18"/>
          <w:color w:val="auto"/>
        </w:rPr>
      </w:pPr>
    </w:p>
    <w:p>
      <w:pPr>
        <w:jc w:val="both"/>
        <w:ind w:right="40" w:firstLine="915"/>
        <w:spacing w:after="0" w:line="257" w:lineRule="auto"/>
        <w:tabs>
          <w:tab w:leader="none" w:pos="1329" w:val="left"/>
        </w:tabs>
        <w:numPr>
          <w:ilvl w:val="2"/>
          <w:numId w:val="199"/>
        </w:numPr>
        <w:rPr>
          <w:rFonts w:ascii="Arial" w:cs="Arial" w:eastAsia="Arial" w:hAnsi="Arial"/>
          <w:sz w:val="18"/>
          <w:szCs w:val="18"/>
          <w:color w:val="auto"/>
        </w:rPr>
      </w:pPr>
      <w:r>
        <w:rPr>
          <w:rFonts w:ascii="Arial" w:cs="Arial" w:eastAsia="Arial" w:hAnsi="Arial"/>
          <w:sz w:val="18"/>
          <w:szCs w:val="18"/>
          <w:u w:val="single" w:color="auto"/>
          <w:color w:val="auto"/>
        </w:rPr>
        <w:t>Dividends</w:t>
      </w:r>
      <w:r>
        <w:rPr>
          <w:rFonts w:ascii="Arial" w:cs="Arial" w:eastAsia="Arial" w:hAnsi="Arial"/>
          <w:sz w:val="18"/>
          <w:szCs w:val="18"/>
          <w:color w:val="auto"/>
        </w:rPr>
        <w:t>. Any dividends (whether paid in cash, stock or property) declared and paid by the Company with respect to shares of Restricted Stock (“</w:t>
      </w:r>
      <w:r>
        <w:rPr>
          <w:rFonts w:ascii="Arial" w:cs="Arial" w:eastAsia="Arial" w:hAnsi="Arial"/>
          <w:sz w:val="18"/>
          <w:szCs w:val="18"/>
          <w:b w:val="1"/>
          <w:bCs w:val="1"/>
          <w:i w:val="1"/>
          <w:iCs w:val="1"/>
          <w:color w:val="auto"/>
        </w:rPr>
        <w:t>Unvested Dividends</w:t>
      </w:r>
      <w:r>
        <w:rPr>
          <w:rFonts w:ascii="Arial" w:cs="Arial" w:eastAsia="Arial" w:hAnsi="Arial"/>
          <w:sz w:val="18"/>
          <w:szCs w:val="18"/>
          <w:color w:val="auto"/>
        </w:rPr>
        <w:t>”) shall be paid to the Participant only if and when such shares become free from the restrictions on transferability and forfeitability that apply to such shares or at such other time as the Board shall determine and set forth in the applicable Award agreement. No interest will be paid on Unvested Dividends.</w:t>
      </w:r>
    </w:p>
    <w:p>
      <w:pPr>
        <w:spacing w:after="0" w:line="58" w:lineRule="exact"/>
        <w:rPr>
          <w:rFonts w:ascii="Arial" w:cs="Arial" w:eastAsia="Arial" w:hAnsi="Arial"/>
          <w:sz w:val="18"/>
          <w:szCs w:val="18"/>
          <w:color w:val="auto"/>
        </w:rPr>
      </w:pPr>
    </w:p>
    <w:p>
      <w:pPr>
        <w:ind w:right="40" w:firstLine="915"/>
        <w:spacing w:after="0" w:line="251" w:lineRule="auto"/>
        <w:tabs>
          <w:tab w:leader="none" w:pos="1329" w:val="left"/>
        </w:tabs>
        <w:numPr>
          <w:ilvl w:val="2"/>
          <w:numId w:val="199"/>
        </w:numPr>
        <w:rPr>
          <w:rFonts w:ascii="Arial" w:cs="Arial" w:eastAsia="Arial" w:hAnsi="Arial"/>
          <w:sz w:val="18"/>
          <w:szCs w:val="18"/>
          <w:color w:val="auto"/>
        </w:rPr>
      </w:pPr>
      <w:r>
        <w:rPr>
          <w:rFonts w:ascii="Arial" w:cs="Arial" w:eastAsia="Arial" w:hAnsi="Arial"/>
          <w:sz w:val="18"/>
          <w:szCs w:val="18"/>
          <w:u w:val="single" w:color="auto"/>
          <w:color w:val="auto"/>
        </w:rPr>
        <w:t>Delivery of Shares</w:t>
      </w:r>
      <w:r>
        <w:rPr>
          <w:rFonts w:ascii="Arial" w:cs="Arial" w:eastAsia="Arial" w:hAnsi="Arial"/>
          <w:sz w:val="18"/>
          <w:szCs w:val="18"/>
          <w:color w:val="auto"/>
        </w:rPr>
        <w:t>. The Company may require that any shares of Restricted Stock, as well as dividends or distributions paid on such Restricted Stock, shall be deposited in escrow by the Participant, together with a stock power endorsed in blank, with the Company (or its designee). At the expiration of the applicable restriction periods, the Company (or such designee) shall deliver the shares no longer subject to such restrictions to the Participant or if the Participant has died, to his or her Designated Beneficiary. “</w:t>
      </w:r>
      <w:r>
        <w:rPr>
          <w:rFonts w:ascii="Arial" w:cs="Arial" w:eastAsia="Arial" w:hAnsi="Arial"/>
          <w:sz w:val="18"/>
          <w:szCs w:val="18"/>
          <w:b w:val="1"/>
          <w:bCs w:val="1"/>
          <w:i w:val="1"/>
          <w:iCs w:val="1"/>
          <w:color w:val="auto"/>
        </w:rPr>
        <w:t>Designated Beneficiary</w:t>
      </w:r>
      <w:r>
        <w:rPr>
          <w:rFonts w:ascii="Arial" w:cs="Arial" w:eastAsia="Arial" w:hAnsi="Arial"/>
          <w:sz w:val="18"/>
          <w:szCs w:val="18"/>
          <w:color w:val="auto"/>
        </w:rPr>
        <w:t>” means (i) the beneficiary designated, in a manner permitted by the Board, by a Participant to receive amounts due or exercise rights of the Participant in the event of the Participant’s death or (ii) in the absence of an effective designation by a Participant (including, for the avoidance of doubt, a designation that is not valid under applicable laws), the Participant’s estate.</w:t>
      </w:r>
    </w:p>
    <w:p>
      <w:pPr>
        <w:spacing w:after="0" w:line="77" w:lineRule="exact"/>
        <w:rPr>
          <w:rFonts w:ascii="Arial" w:cs="Arial" w:eastAsia="Arial" w:hAnsi="Arial"/>
          <w:sz w:val="18"/>
          <w:szCs w:val="18"/>
          <w:color w:val="auto"/>
        </w:rPr>
      </w:pPr>
    </w:p>
    <w:p>
      <w:pPr>
        <w:ind w:left="680" w:hanging="348"/>
        <w:spacing w:after="0"/>
        <w:tabs>
          <w:tab w:leader="none" w:pos="680" w:val="left"/>
        </w:tabs>
        <w:numPr>
          <w:ilvl w:val="1"/>
          <w:numId w:val="199"/>
        </w:numPr>
        <w:rPr>
          <w:rFonts w:ascii="Arial" w:cs="Arial" w:eastAsia="Arial" w:hAnsi="Arial"/>
          <w:sz w:val="18"/>
          <w:szCs w:val="18"/>
          <w:color w:val="auto"/>
        </w:rPr>
      </w:pPr>
      <w:r>
        <w:rPr>
          <w:rFonts w:ascii="Arial" w:cs="Arial" w:eastAsia="Arial" w:hAnsi="Arial"/>
          <w:sz w:val="18"/>
          <w:szCs w:val="18"/>
          <w:u w:val="single" w:color="auto"/>
          <w:color w:val="auto"/>
        </w:rPr>
        <w:t>Additional Provisions Relating to RSUs</w:t>
      </w:r>
      <w:r>
        <w:rPr>
          <w:rFonts w:ascii="Arial" w:cs="Arial" w:eastAsia="Arial" w:hAnsi="Arial"/>
          <w:sz w:val="18"/>
          <w:szCs w:val="18"/>
          <w:color w:val="auto"/>
        </w:rPr>
        <w:t>.</w:t>
      </w:r>
    </w:p>
    <w:p>
      <w:pPr>
        <w:spacing w:after="0" w:line="103" w:lineRule="exact"/>
        <w:rPr>
          <w:rFonts w:ascii="Arial" w:cs="Arial" w:eastAsia="Arial" w:hAnsi="Arial"/>
          <w:sz w:val="18"/>
          <w:szCs w:val="18"/>
          <w:color w:val="auto"/>
        </w:rPr>
      </w:pPr>
    </w:p>
    <w:p>
      <w:pPr>
        <w:ind w:right="140" w:firstLine="915"/>
        <w:spacing w:after="0" w:line="271" w:lineRule="auto"/>
        <w:tabs>
          <w:tab w:leader="none" w:pos="1329" w:val="left"/>
        </w:tabs>
        <w:numPr>
          <w:ilvl w:val="2"/>
          <w:numId w:val="199"/>
        </w:numPr>
        <w:rPr>
          <w:rFonts w:ascii="Arial" w:cs="Arial" w:eastAsia="Arial" w:hAnsi="Arial"/>
          <w:sz w:val="17"/>
          <w:szCs w:val="17"/>
          <w:color w:val="auto"/>
        </w:rPr>
      </w:pPr>
      <w:r>
        <w:rPr>
          <w:rFonts w:ascii="Arial" w:cs="Arial" w:eastAsia="Arial" w:hAnsi="Arial"/>
          <w:sz w:val="17"/>
          <w:szCs w:val="17"/>
          <w:u w:val="single" w:color="auto"/>
          <w:color w:val="auto"/>
        </w:rPr>
        <w:t>Settlement</w:t>
      </w:r>
      <w:r>
        <w:rPr>
          <w:rFonts w:ascii="Arial" w:cs="Arial" w:eastAsia="Arial" w:hAnsi="Arial"/>
          <w:sz w:val="17"/>
          <w:szCs w:val="17"/>
          <w:color w:val="auto"/>
        </w:rPr>
        <w:t>. As soon as practicable after the vesting of and/or lapsing of any other restrictions (i.e., settlement) with respect to each RSU, the Participant shall be entitled to receive from the Company the number of shares of Common Stock specified in the Award agreement or (if so provided in the applicable Award agreement or otherwise determined by the Board) an amount of cash equal to the fair market value (valued in the manner determined by (or in a manner approved by) the Board) of such number of shares or a combination thereof. The Board may provide that settlement of RSUs shall be deferred, on a mandatory basis or at the election of the Participant, in a manner that complies with Section 409A of the Code or any successor provision thereto, and the regulations thereunder (“</w:t>
      </w:r>
      <w:r>
        <w:rPr>
          <w:rFonts w:ascii="Arial" w:cs="Arial" w:eastAsia="Arial" w:hAnsi="Arial"/>
          <w:sz w:val="17"/>
          <w:szCs w:val="17"/>
          <w:b w:val="1"/>
          <w:bCs w:val="1"/>
          <w:i w:val="1"/>
          <w:iCs w:val="1"/>
          <w:color w:val="auto"/>
        </w:rPr>
        <w:t>Section 409A</w:t>
      </w:r>
      <w:r>
        <w:rPr>
          <w:rFonts w:ascii="Arial" w:cs="Arial" w:eastAsia="Arial" w:hAnsi="Arial"/>
          <w:sz w:val="17"/>
          <w:szCs w:val="17"/>
          <w:color w:val="auto"/>
        </w:rPr>
        <w:t>”).</w:t>
      </w:r>
    </w:p>
    <w:p>
      <w:pPr>
        <w:spacing w:after="0" w:line="52" w:lineRule="exact"/>
        <w:rPr>
          <w:rFonts w:ascii="Arial" w:cs="Arial" w:eastAsia="Arial" w:hAnsi="Arial"/>
          <w:sz w:val="17"/>
          <w:szCs w:val="17"/>
          <w:color w:val="auto"/>
        </w:rPr>
      </w:pPr>
    </w:p>
    <w:p>
      <w:pPr>
        <w:ind w:left="1340" w:hanging="425"/>
        <w:spacing w:after="0"/>
        <w:tabs>
          <w:tab w:leader="none" w:pos="1340" w:val="left"/>
        </w:tabs>
        <w:numPr>
          <w:ilvl w:val="2"/>
          <w:numId w:val="199"/>
        </w:numPr>
        <w:rPr>
          <w:rFonts w:ascii="Arial" w:cs="Arial" w:eastAsia="Arial" w:hAnsi="Arial"/>
          <w:sz w:val="18"/>
          <w:szCs w:val="18"/>
          <w:color w:val="auto"/>
        </w:rPr>
      </w:pPr>
      <w:r>
        <w:rPr>
          <w:rFonts w:ascii="Arial" w:cs="Arial" w:eastAsia="Arial" w:hAnsi="Arial"/>
          <w:sz w:val="18"/>
          <w:szCs w:val="18"/>
          <w:u w:val="single" w:color="auto"/>
          <w:color w:val="auto"/>
        </w:rPr>
        <w:t>Voting Rights</w:t>
      </w:r>
      <w:r>
        <w:rPr>
          <w:rFonts w:ascii="Arial" w:cs="Arial" w:eastAsia="Arial" w:hAnsi="Arial"/>
          <w:sz w:val="18"/>
          <w:szCs w:val="18"/>
          <w:color w:val="auto"/>
        </w:rPr>
        <w:t>. A Participant shall have no voting rights with respect to any RSUs.</w:t>
      </w:r>
    </w:p>
    <w:p>
      <w:pPr>
        <w:spacing w:after="0" w:line="103" w:lineRule="exact"/>
        <w:rPr>
          <w:rFonts w:ascii="Arial" w:cs="Arial" w:eastAsia="Arial" w:hAnsi="Arial"/>
          <w:sz w:val="18"/>
          <w:szCs w:val="18"/>
          <w:color w:val="auto"/>
        </w:rPr>
      </w:pPr>
    </w:p>
    <w:p>
      <w:pPr>
        <w:ind w:right="40" w:firstLine="915"/>
        <w:spacing w:after="0" w:line="255" w:lineRule="auto"/>
        <w:tabs>
          <w:tab w:leader="none" w:pos="1329" w:val="left"/>
        </w:tabs>
        <w:numPr>
          <w:ilvl w:val="2"/>
          <w:numId w:val="199"/>
        </w:numPr>
        <w:rPr>
          <w:rFonts w:ascii="Arial" w:cs="Arial" w:eastAsia="Arial" w:hAnsi="Arial"/>
          <w:sz w:val="18"/>
          <w:szCs w:val="18"/>
          <w:color w:val="auto"/>
        </w:rPr>
      </w:pPr>
      <w:r>
        <w:rPr>
          <w:rFonts w:ascii="Arial" w:cs="Arial" w:eastAsia="Arial" w:hAnsi="Arial"/>
          <w:sz w:val="18"/>
          <w:szCs w:val="18"/>
          <w:u w:val="single" w:color="auto"/>
          <w:color w:val="auto"/>
        </w:rPr>
        <w:t>Dividend Equivalents</w:t>
      </w:r>
      <w:r>
        <w:rPr>
          <w:rFonts w:ascii="Arial" w:cs="Arial" w:eastAsia="Arial" w:hAnsi="Arial"/>
          <w:sz w:val="18"/>
          <w:szCs w:val="18"/>
          <w:color w:val="auto"/>
        </w:rPr>
        <w:t>. The Award agreement for RSUs may provide Participants with the right to receive an amount equal to any dividends or other distributions declared and paid on an equal number of outstanding shares of Common Stock (“</w:t>
      </w:r>
      <w:r>
        <w:rPr>
          <w:rFonts w:ascii="Arial" w:cs="Arial" w:eastAsia="Arial" w:hAnsi="Arial"/>
          <w:sz w:val="18"/>
          <w:szCs w:val="18"/>
          <w:b w:val="1"/>
          <w:bCs w:val="1"/>
          <w:i w:val="1"/>
          <w:iCs w:val="1"/>
          <w:color w:val="auto"/>
        </w:rPr>
        <w:t>Dividend</w:t>
      </w:r>
      <w:r>
        <w:rPr>
          <w:rFonts w:ascii="Arial" w:cs="Arial" w:eastAsia="Arial" w:hAnsi="Arial"/>
          <w:sz w:val="18"/>
          <w:szCs w:val="18"/>
          <w:color w:val="auto"/>
        </w:rPr>
        <w:t xml:space="preserve"> </w:t>
      </w:r>
      <w:r>
        <w:rPr>
          <w:rFonts w:ascii="Arial" w:cs="Arial" w:eastAsia="Arial" w:hAnsi="Arial"/>
          <w:sz w:val="18"/>
          <w:szCs w:val="18"/>
          <w:b w:val="1"/>
          <w:bCs w:val="1"/>
          <w:i w:val="1"/>
          <w:iCs w:val="1"/>
          <w:color w:val="auto"/>
        </w:rPr>
        <w:t>Equivalents</w:t>
      </w:r>
      <w:r>
        <w:rPr>
          <w:rFonts w:ascii="Arial" w:cs="Arial" w:eastAsia="Arial" w:hAnsi="Arial"/>
          <w:sz w:val="18"/>
          <w:szCs w:val="18"/>
          <w:color w:val="auto"/>
        </w:rPr>
        <w:t>”). Dividend Equivalents will be credited to an account for the Participant, and may be settled in cash and/or shares of Common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Stock and may be subject to the same restrictions on transfer and forfeitability as the RSUs with respect to which paid, in each case as set forth in the applicable award agreement. No interest will be paid on Dividend Equivalents.</w:t>
      </w:r>
    </w:p>
    <w:p>
      <w:pPr>
        <w:spacing w:after="0" w:line="61" w:lineRule="exact"/>
        <w:rPr>
          <w:rFonts w:ascii="Arial" w:cs="Arial" w:eastAsia="Arial" w:hAnsi="Arial"/>
          <w:sz w:val="18"/>
          <w:szCs w:val="18"/>
          <w:color w:val="auto"/>
        </w:rPr>
      </w:pPr>
    </w:p>
    <w:p>
      <w:pPr>
        <w:ind w:left="340" w:hanging="332"/>
        <w:spacing w:after="0"/>
        <w:tabs>
          <w:tab w:leader="none" w:pos="340" w:val="left"/>
        </w:tabs>
        <w:numPr>
          <w:ilvl w:val="0"/>
          <w:numId w:val="199"/>
        </w:numPr>
        <w:rPr>
          <w:rFonts w:ascii="Arial" w:cs="Arial" w:eastAsia="Arial" w:hAnsi="Arial"/>
          <w:sz w:val="18"/>
          <w:szCs w:val="18"/>
          <w:color w:val="auto"/>
        </w:rPr>
      </w:pPr>
      <w:r>
        <w:rPr>
          <w:rFonts w:ascii="Arial" w:cs="Arial" w:eastAsia="Arial" w:hAnsi="Arial"/>
          <w:sz w:val="18"/>
          <w:szCs w:val="18"/>
          <w:u w:val="single" w:color="auto"/>
          <w:color w:val="auto"/>
        </w:rPr>
        <w:t>Other Stock-Based Awards</w:t>
      </w:r>
    </w:p>
    <w:p>
      <w:pPr>
        <w:spacing w:after="0" w:line="117" w:lineRule="exact"/>
        <w:rPr>
          <w:rFonts w:ascii="Arial" w:cs="Arial" w:eastAsia="Arial" w:hAnsi="Arial"/>
          <w:sz w:val="18"/>
          <w:szCs w:val="18"/>
          <w:color w:val="auto"/>
        </w:rPr>
      </w:pPr>
    </w:p>
    <w:p>
      <w:pPr>
        <w:ind w:right="40" w:firstLine="332"/>
        <w:spacing w:after="0" w:line="251" w:lineRule="auto"/>
        <w:tabs>
          <w:tab w:leader="none" w:pos="679" w:val="left"/>
        </w:tabs>
        <w:numPr>
          <w:ilvl w:val="1"/>
          <w:numId w:val="199"/>
        </w:numPr>
        <w:rPr>
          <w:rFonts w:ascii="Arial" w:cs="Arial" w:eastAsia="Arial" w:hAnsi="Arial"/>
          <w:sz w:val="18"/>
          <w:szCs w:val="18"/>
          <w:color w:val="auto"/>
        </w:rPr>
      </w:pPr>
      <w:r>
        <w:rPr>
          <w:rFonts w:ascii="Arial" w:cs="Arial" w:eastAsia="Arial" w:hAnsi="Arial"/>
          <w:sz w:val="18"/>
          <w:szCs w:val="18"/>
          <w:u w:val="single" w:color="auto"/>
          <w:color w:val="auto"/>
        </w:rPr>
        <w:t>General</w:t>
      </w:r>
      <w:r>
        <w:rPr>
          <w:rFonts w:ascii="Arial" w:cs="Arial" w:eastAsia="Arial" w:hAnsi="Arial"/>
          <w:sz w:val="18"/>
          <w:szCs w:val="18"/>
          <w:color w:val="auto"/>
        </w:rPr>
        <w:t>. The Board may grant other Awards of shares of Common Stock, and other Awards that are valued in whole or in part by reference to, or are otherwise based on, shares of Common Stock or other property (“</w:t>
      </w:r>
      <w:r>
        <w:rPr>
          <w:rFonts w:ascii="Arial" w:cs="Arial" w:eastAsia="Arial" w:hAnsi="Arial"/>
          <w:sz w:val="18"/>
          <w:szCs w:val="18"/>
          <w:b w:val="1"/>
          <w:bCs w:val="1"/>
          <w:i w:val="1"/>
          <w:iCs w:val="1"/>
          <w:color w:val="auto"/>
        </w:rPr>
        <w:t>Other Stock-Based Awards</w:t>
      </w:r>
      <w:r>
        <w:rPr>
          <w:rFonts w:ascii="Arial" w:cs="Arial" w:eastAsia="Arial" w:hAnsi="Arial"/>
          <w:sz w:val="18"/>
          <w:szCs w:val="18"/>
          <w:color w:val="auto"/>
        </w:rPr>
        <w:t>”). Such Other Stock-Based Awards shall also be available as a form of payment in the settlement of other Awards granted under the Plan or as payment in lieu of compensation to which a Participant is otherwise entitled. Other Stock-Based Awards may be paid in shares of Common Stock or cash, as the Board shall determine.</w:t>
      </w:r>
    </w:p>
    <w:p>
      <w:pPr>
        <w:spacing w:after="0" w:line="78" w:lineRule="exact"/>
        <w:rPr>
          <w:rFonts w:ascii="Arial" w:cs="Arial" w:eastAsia="Arial" w:hAnsi="Arial"/>
          <w:sz w:val="18"/>
          <w:szCs w:val="18"/>
          <w:color w:val="auto"/>
        </w:rPr>
      </w:pPr>
    </w:p>
    <w:p>
      <w:pPr>
        <w:ind w:right="520" w:firstLine="332"/>
        <w:spacing w:after="0" w:line="287" w:lineRule="auto"/>
        <w:tabs>
          <w:tab w:leader="none" w:pos="679" w:val="left"/>
        </w:tabs>
        <w:numPr>
          <w:ilvl w:val="1"/>
          <w:numId w:val="199"/>
        </w:numPr>
        <w:rPr>
          <w:rFonts w:ascii="Arial" w:cs="Arial" w:eastAsia="Arial" w:hAnsi="Arial"/>
          <w:sz w:val="18"/>
          <w:szCs w:val="18"/>
          <w:color w:val="auto"/>
        </w:rPr>
      </w:pPr>
      <w:r>
        <w:rPr>
          <w:rFonts w:ascii="Arial" w:cs="Arial" w:eastAsia="Arial" w:hAnsi="Arial"/>
          <w:sz w:val="18"/>
          <w:szCs w:val="18"/>
          <w:u w:val="single" w:color="auto"/>
          <w:color w:val="auto"/>
        </w:rPr>
        <w:t>Terms and Conditions</w:t>
      </w:r>
      <w:r>
        <w:rPr>
          <w:rFonts w:ascii="Arial" w:cs="Arial" w:eastAsia="Arial" w:hAnsi="Arial"/>
          <w:sz w:val="18"/>
          <w:szCs w:val="18"/>
          <w:color w:val="auto"/>
        </w:rPr>
        <w:t>. Subject to the provisions of the Plan, the Board shall determine the terms and conditions of each Other Stock-Based Award, including any purchase price applicable thereto.</w:t>
      </w:r>
    </w:p>
    <w:p>
      <w:pPr>
        <w:spacing w:after="0" w:line="31" w:lineRule="exact"/>
        <w:rPr>
          <w:rFonts w:ascii="Arial" w:cs="Arial" w:eastAsia="Arial" w:hAnsi="Arial"/>
          <w:sz w:val="18"/>
          <w:szCs w:val="18"/>
          <w:color w:val="auto"/>
        </w:rPr>
      </w:pPr>
    </w:p>
    <w:p>
      <w:pPr>
        <w:ind w:right="320" w:firstLine="332"/>
        <w:spacing w:after="0" w:line="257" w:lineRule="auto"/>
        <w:tabs>
          <w:tab w:leader="none" w:pos="682" w:val="left"/>
        </w:tabs>
        <w:numPr>
          <w:ilvl w:val="1"/>
          <w:numId w:val="199"/>
        </w:numPr>
        <w:rPr>
          <w:rFonts w:ascii="Arial" w:cs="Arial" w:eastAsia="Arial" w:hAnsi="Arial"/>
          <w:sz w:val="18"/>
          <w:szCs w:val="18"/>
          <w:color w:val="auto"/>
        </w:rPr>
      </w:pPr>
      <w:r>
        <w:rPr>
          <w:rFonts w:ascii="Arial" w:cs="Arial" w:eastAsia="Arial" w:hAnsi="Arial"/>
          <w:sz w:val="18"/>
          <w:szCs w:val="18"/>
          <w:u w:val="single" w:color="auto"/>
          <w:color w:val="auto"/>
        </w:rPr>
        <w:t>Dividend Equivalents</w:t>
      </w:r>
      <w:r>
        <w:rPr>
          <w:rFonts w:ascii="Arial" w:cs="Arial" w:eastAsia="Arial" w:hAnsi="Arial"/>
          <w:sz w:val="18"/>
          <w:szCs w:val="18"/>
          <w:color w:val="auto"/>
        </w:rPr>
        <w:t>. The Award agreement for an Other Stock-Based Award may provide Participants with the right to receive Dividend Equivalents. Dividend Equivalents will be credited to an account for the Participant, and may be settled in cash and/or shares of Common Stock and may be subject to the same restrictions on transfer and forfeitability as the Other Stock-Based Award with respect to which paid, in each case as set forth in the applicable award agreement. No interest will be paid on Dividend Equivalents.</w:t>
      </w:r>
    </w:p>
    <w:p>
      <w:pPr>
        <w:spacing w:after="0" w:line="58" w:lineRule="exact"/>
        <w:rPr>
          <w:rFonts w:ascii="Arial" w:cs="Arial" w:eastAsia="Arial" w:hAnsi="Arial"/>
          <w:sz w:val="18"/>
          <w:szCs w:val="18"/>
          <w:color w:val="auto"/>
        </w:rPr>
      </w:pPr>
    </w:p>
    <w:p>
      <w:pPr>
        <w:ind w:left="340" w:hanging="332"/>
        <w:spacing w:after="0"/>
        <w:tabs>
          <w:tab w:leader="none" w:pos="340" w:val="left"/>
        </w:tabs>
        <w:numPr>
          <w:ilvl w:val="0"/>
          <w:numId w:val="199"/>
        </w:numPr>
        <w:rPr>
          <w:rFonts w:ascii="Arial" w:cs="Arial" w:eastAsia="Arial" w:hAnsi="Arial"/>
          <w:sz w:val="18"/>
          <w:szCs w:val="18"/>
          <w:color w:val="auto"/>
        </w:rPr>
      </w:pPr>
      <w:r>
        <w:rPr>
          <w:rFonts w:ascii="Arial" w:cs="Arial" w:eastAsia="Arial" w:hAnsi="Arial"/>
          <w:sz w:val="18"/>
          <w:szCs w:val="18"/>
          <w:u w:val="single" w:color="auto"/>
          <w:color w:val="auto"/>
        </w:rPr>
        <w:t>Performance Awards.</w:t>
      </w:r>
    </w:p>
    <w:p>
      <w:pPr>
        <w:spacing w:after="0" w:line="117" w:lineRule="exact"/>
        <w:rPr>
          <w:rFonts w:ascii="Arial" w:cs="Arial" w:eastAsia="Arial" w:hAnsi="Arial"/>
          <w:sz w:val="18"/>
          <w:szCs w:val="18"/>
          <w:color w:val="auto"/>
        </w:rPr>
      </w:pPr>
    </w:p>
    <w:p>
      <w:pPr>
        <w:ind w:left="680" w:hanging="348"/>
        <w:spacing w:after="0"/>
        <w:tabs>
          <w:tab w:leader="none" w:pos="680" w:val="left"/>
        </w:tabs>
        <w:numPr>
          <w:ilvl w:val="1"/>
          <w:numId w:val="199"/>
        </w:numPr>
        <w:rPr>
          <w:rFonts w:ascii="Arial" w:cs="Arial" w:eastAsia="Arial" w:hAnsi="Arial"/>
          <w:sz w:val="18"/>
          <w:szCs w:val="18"/>
          <w:color w:val="auto"/>
        </w:rPr>
      </w:pPr>
      <w:r>
        <w:rPr>
          <w:rFonts w:ascii="Arial" w:cs="Arial" w:eastAsia="Arial" w:hAnsi="Arial"/>
          <w:sz w:val="18"/>
          <w:szCs w:val="18"/>
          <w:u w:val="single" w:color="auto"/>
          <w:color w:val="auto"/>
        </w:rPr>
        <w:t>Grants</w:t>
      </w:r>
      <w:r>
        <w:rPr>
          <w:rFonts w:ascii="Arial" w:cs="Arial" w:eastAsia="Arial" w:hAnsi="Arial"/>
          <w:sz w:val="18"/>
          <w:szCs w:val="18"/>
          <w:color w:val="auto"/>
        </w:rPr>
        <w:t>. Awards under the Plan may be made subject to the achievement of performance goals pursuant to this Section 9</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Performance Awards</w:t>
      </w:r>
      <w:r>
        <w:rPr>
          <w:rFonts w:ascii="Arial" w:cs="Arial" w:eastAsia="Arial" w:hAnsi="Arial"/>
          <w:sz w:val="18"/>
          <w:szCs w:val="18"/>
          <w:color w:val="auto"/>
        </w:rPr>
        <w:t>”).</w:t>
      </w:r>
    </w:p>
    <w:p>
      <w:pPr>
        <w:sectPr>
          <w:pgSz w:w="11900" w:h="16838" w:orient="portrait"/>
          <w:cols w:equalWidth="0" w:num="1">
            <w:col w:w="11220"/>
          </w:cols>
          <w:pgMar w:left="320" w:top="1066" w:right="359" w:bottom="1440" w:gutter="0" w:footer="0" w:header="0"/>
        </w:sectPr>
      </w:pPr>
    </w:p>
    <w:p>
      <w:pPr>
        <w:spacing w:after="0" w:line="200" w:lineRule="exact"/>
        <w:rPr>
          <w:sz w:val="20"/>
          <w:szCs w:val="20"/>
          <w:color w:val="auto"/>
        </w:rPr>
      </w:pPr>
    </w:p>
    <w:p>
      <w:pPr>
        <w:spacing w:after="0" w:line="259" w:lineRule="exact"/>
        <w:rPr>
          <w:sz w:val="20"/>
          <w:szCs w:val="20"/>
          <w:color w:val="auto"/>
        </w:rPr>
      </w:pPr>
    </w:p>
    <w:p>
      <w:pPr>
        <w:ind w:left="8980"/>
        <w:spacing w:after="0"/>
        <w:tabs>
          <w:tab w:leader="none" w:pos="10880" w:val="left"/>
        </w:tabs>
        <w:rPr>
          <w:sz w:val="20"/>
          <w:szCs w:val="20"/>
          <w:color w:val="auto"/>
        </w:rPr>
      </w:pPr>
      <w:r>
        <w:rPr>
          <w:rFonts w:ascii="Arial" w:cs="Arial" w:eastAsia="Arial" w:hAnsi="Arial"/>
          <w:sz w:val="16"/>
          <w:szCs w:val="16"/>
          <w:color w:val="0067B3"/>
        </w:rPr>
        <w:t>2026 Proxy Statement</w:t>
      </w:r>
      <w:r>
        <w:rPr>
          <w:sz w:val="20"/>
          <w:szCs w:val="20"/>
          <w:color w:val="auto"/>
        </w:rPr>
        <w:tab/>
      </w:r>
      <w:r>
        <w:rPr>
          <w:rFonts w:ascii="Arial" w:cs="Arial" w:eastAsia="Arial" w:hAnsi="Arial"/>
          <w:sz w:val="19"/>
          <w:szCs w:val="19"/>
          <w:b w:val="1"/>
          <w:bCs w:val="1"/>
          <w:color w:val="auto"/>
        </w:rPr>
        <w:t>A-5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232410</wp:posOffset>
            </wp:positionV>
            <wp:extent cx="7157720" cy="42545"/>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66" w:right="359" w:bottom="1440" w:gutter="0" w:footer="0" w:header="0"/>
          <w:type w:val="continuous"/>
        </w:sectPr>
      </w:pPr>
    </w:p>
    <w:bookmarkStart w:id="111" w:name="page112"/>
    <w:bookmarkEnd w:id="111"/>
    <w:p>
      <w:pPr>
        <w:ind w:right="160" w:firstLine="332"/>
        <w:spacing w:after="0" w:line="253" w:lineRule="auto"/>
        <w:tabs>
          <w:tab w:leader="none" w:pos="679" w:val="left"/>
        </w:tabs>
        <w:numPr>
          <w:ilvl w:val="1"/>
          <w:numId w:val="200"/>
        </w:numPr>
        <w:rPr>
          <w:rFonts w:ascii="Arial" w:cs="Arial" w:eastAsia="Arial" w:hAnsi="Arial"/>
          <w:sz w:val="18"/>
          <w:szCs w:val="18"/>
          <w:color w:val="auto"/>
        </w:rPr>
      </w:pPr>
      <w:r>
        <w:rPr>
          <w:rFonts w:ascii="Arial" w:cs="Arial" w:eastAsia="Arial" w:hAnsi="Arial"/>
          <w:sz w:val="18"/>
          <w:szCs w:val="18"/>
          <w:u w:val="single" w:color="auto"/>
          <w:color w:val="auto"/>
        </w:rPr>
        <w:t>Performance Measures</w:t>
      </w:r>
      <w:r>
        <w:rPr>
          <w:rFonts w:ascii="Arial" w:cs="Arial" w:eastAsia="Arial" w:hAnsi="Arial"/>
          <w:sz w:val="18"/>
          <w:szCs w:val="18"/>
          <w:color w:val="auto"/>
        </w:rPr>
        <w:t>. The Board may specify that the degree of granting, vesting and/or payout of any Performance Award shall be subject to the achievement of one or more performance measures established by the Board which may be based on the relative or absolute attainment of specified levels of one or any combination of the following, which may be determined pursuant to generally accepted accounting principles (“</w:t>
      </w:r>
      <w:r>
        <w:rPr>
          <w:rFonts w:ascii="Arial" w:cs="Arial" w:eastAsia="Arial" w:hAnsi="Arial"/>
          <w:sz w:val="18"/>
          <w:szCs w:val="18"/>
          <w:b w:val="1"/>
          <w:bCs w:val="1"/>
          <w:i w:val="1"/>
          <w:iCs w:val="1"/>
          <w:color w:val="auto"/>
        </w:rPr>
        <w:t>GAAP</w:t>
      </w:r>
      <w:r>
        <w:rPr>
          <w:rFonts w:ascii="Arial" w:cs="Arial" w:eastAsia="Arial" w:hAnsi="Arial"/>
          <w:sz w:val="18"/>
          <w:szCs w:val="18"/>
          <w:color w:val="auto"/>
        </w:rPr>
        <w:t>”) or on a non-GAAP basis, as determined by the Board: (i) net income, (ii) earnings before or after discontinued operations, interest, taxes, depreciation and/or amortization, (iii) operating profit before or after discontinued operations and/or taxes, (iv) sales, (v) sales growth, (vi) earnings growth, (vii) cash flow, free cash flow or cash position, (viii) gross margins or margin percentages, (ix) stock price, (x) market share, (xi) return on sales, assets, equity or investment, (xii) improvement of financial ratings,</w:t>
      </w:r>
    </w:p>
    <w:p>
      <w:pPr>
        <w:spacing w:after="0" w:line="2" w:lineRule="exact"/>
        <w:rPr>
          <w:rFonts w:ascii="Arial" w:cs="Arial" w:eastAsia="Arial" w:hAnsi="Arial"/>
          <w:sz w:val="18"/>
          <w:szCs w:val="18"/>
          <w:color w:val="auto"/>
        </w:rPr>
      </w:pPr>
    </w:p>
    <w:p>
      <w:pPr>
        <w:ind w:left="380" w:hanging="372"/>
        <w:spacing w:after="0"/>
        <w:tabs>
          <w:tab w:leader="none" w:pos="380" w:val="left"/>
        </w:tabs>
        <w:numPr>
          <w:ilvl w:val="0"/>
          <w:numId w:val="201"/>
        </w:numPr>
        <w:rPr>
          <w:rFonts w:ascii="Arial" w:cs="Arial" w:eastAsia="Arial" w:hAnsi="Arial"/>
          <w:sz w:val="18"/>
          <w:szCs w:val="18"/>
          <w:color w:val="auto"/>
        </w:rPr>
      </w:pPr>
      <w:r>
        <w:rPr>
          <w:rFonts w:ascii="Arial" w:cs="Arial" w:eastAsia="Arial" w:hAnsi="Arial"/>
          <w:sz w:val="18"/>
          <w:szCs w:val="18"/>
          <w:color w:val="auto"/>
        </w:rPr>
        <w:t>achievement of balance sheet or income statement objectives, (xiv) total shareholder return, (xv) product release schedules,</w:t>
      </w:r>
    </w:p>
    <w:p>
      <w:pPr>
        <w:spacing w:after="0" w:line="9" w:lineRule="exact"/>
        <w:rPr>
          <w:sz w:val="20"/>
          <w:szCs w:val="20"/>
          <w:color w:val="auto"/>
        </w:rPr>
      </w:pPr>
    </w:p>
    <w:p>
      <w:pPr>
        <w:ind w:firstLine="8"/>
        <w:spacing w:after="0" w:line="250" w:lineRule="auto"/>
        <w:tabs>
          <w:tab w:leader="none" w:pos="390" w:val="left"/>
        </w:tabs>
        <w:numPr>
          <w:ilvl w:val="0"/>
          <w:numId w:val="202"/>
        </w:numPr>
        <w:rPr>
          <w:rFonts w:ascii="Arial" w:cs="Arial" w:eastAsia="Arial" w:hAnsi="Arial"/>
          <w:sz w:val="18"/>
          <w:szCs w:val="18"/>
          <w:color w:val="auto"/>
        </w:rPr>
      </w:pPr>
      <w:r>
        <w:rPr>
          <w:rFonts w:ascii="Arial" w:cs="Arial" w:eastAsia="Arial" w:hAnsi="Arial"/>
          <w:sz w:val="18"/>
          <w:szCs w:val="18"/>
          <w:color w:val="auto"/>
        </w:rPr>
        <w:t>product shipment targets, (xvii) customer satisfaction, (xviii) product design-in and/or design-win revenue opportunities, (xix) new product innovation or (xx) any other measure selected by the Board. Such goals may reflect absolute entity or business unit performance or a relative comparison to the performance of a peer group of entities or other external measure of the selected performance criteria and may be absolute in their terms or measured against or in relationship to other companies comparably, similarly or otherwise situated. The Board may specify that such performance measures shall be adjusted to exclude any one or more of (A) extraordinary items, (B) gains or losses on the dispositions of discontinued operations, (C) the cumulative effects of changes in accounting principles, (D) the writedown of any asset,</w:t>
      </w:r>
    </w:p>
    <w:p>
      <w:pPr>
        <w:spacing w:after="0" w:line="2" w:lineRule="exact"/>
        <w:rPr>
          <w:rFonts w:ascii="Arial" w:cs="Arial" w:eastAsia="Arial" w:hAnsi="Arial"/>
          <w:sz w:val="18"/>
          <w:szCs w:val="18"/>
          <w:color w:val="auto"/>
        </w:rPr>
      </w:pPr>
    </w:p>
    <w:p>
      <w:pPr>
        <w:ind w:right="80"/>
        <w:spacing w:after="0" w:line="252" w:lineRule="auto"/>
        <w:rPr>
          <w:rFonts w:ascii="Arial" w:cs="Arial" w:eastAsia="Arial" w:hAnsi="Arial"/>
          <w:sz w:val="18"/>
          <w:szCs w:val="18"/>
          <w:color w:val="auto"/>
        </w:rPr>
      </w:pPr>
      <w:r>
        <w:rPr>
          <w:rFonts w:ascii="Arial" w:cs="Arial" w:eastAsia="Arial" w:hAnsi="Arial"/>
          <w:sz w:val="18"/>
          <w:szCs w:val="18"/>
          <w:color w:val="auto"/>
        </w:rPr>
        <w:t>(E) fluctuation in foreign currency exchange rates, (F) charges for restructuring and rationalization programs, (G) non-cash, mark-to-market adjustments on derivative instruments, (H) amortization of purchased intangibles, (I) the net impact of tax rate changes, (J) non-cash asset impairment charges, (K) gains on extinguishment of the tax receivable agreement and (L) any other factors as the Board may determine. Such performance measures: (x) may vary by Participant and may be different for different Awards; (y) may be particular to a Participant or the department, branch, line of business, subsidiary or other unit in which the Participant works and (z) may cover such period as may be specified by the Board. The Board shall have the authority to make equitable adjustments to the performance goals in recognition of unusual or non-recurring events affecting the Company or the financial statements of the Company, in response to changes in applicable laws or regulations or to account for items of gain, loss or expense determined to be extraordinary or unusual in nature or infrequent in occurrence or related to the disposal of a segment of a business or related to a change in accounting principles.</w:t>
      </w:r>
    </w:p>
    <w:p>
      <w:pPr>
        <w:spacing w:after="0" w:line="77" w:lineRule="exact"/>
        <w:rPr>
          <w:rFonts w:ascii="Arial" w:cs="Arial" w:eastAsia="Arial" w:hAnsi="Arial"/>
          <w:sz w:val="18"/>
          <w:szCs w:val="18"/>
          <w:color w:val="auto"/>
        </w:rPr>
      </w:pPr>
    </w:p>
    <w:p>
      <w:pPr>
        <w:ind w:right="380" w:firstLine="332"/>
        <w:spacing w:after="0" w:line="268" w:lineRule="auto"/>
        <w:tabs>
          <w:tab w:leader="none" w:pos="682" w:val="left"/>
        </w:tabs>
        <w:numPr>
          <w:ilvl w:val="1"/>
          <w:numId w:val="202"/>
        </w:numPr>
        <w:rPr>
          <w:rFonts w:ascii="Arial" w:cs="Arial" w:eastAsia="Arial" w:hAnsi="Arial"/>
          <w:sz w:val="18"/>
          <w:szCs w:val="18"/>
          <w:color w:val="auto"/>
        </w:rPr>
      </w:pPr>
      <w:r>
        <w:rPr>
          <w:rFonts w:ascii="Arial" w:cs="Arial" w:eastAsia="Arial" w:hAnsi="Arial"/>
          <w:sz w:val="18"/>
          <w:szCs w:val="18"/>
          <w:u w:val="single" w:color="auto"/>
          <w:color w:val="auto"/>
        </w:rPr>
        <w:t>Adjustments</w:t>
      </w:r>
      <w:r>
        <w:rPr>
          <w:rFonts w:ascii="Arial" w:cs="Arial" w:eastAsia="Arial" w:hAnsi="Arial"/>
          <w:sz w:val="18"/>
          <w:szCs w:val="18"/>
          <w:color w:val="auto"/>
        </w:rPr>
        <w:t>. The Board may adjust the cash or number of shares payable pursuant to such Performance Award, and the Board may, at any time, waive the achievement of the applicable performance measures, including in the case of the death or disability of the Participant or a change in control of the Company.</w:t>
      </w:r>
    </w:p>
    <w:p>
      <w:pPr>
        <w:spacing w:after="0" w:line="63" w:lineRule="exact"/>
        <w:rPr>
          <w:sz w:val="20"/>
          <w:szCs w:val="20"/>
          <w:color w:val="auto"/>
        </w:rPr>
      </w:pPr>
    </w:p>
    <w:p>
      <w:pPr>
        <w:ind w:left="360" w:hanging="352"/>
        <w:spacing w:after="0"/>
        <w:tabs>
          <w:tab w:leader="none" w:pos="360" w:val="left"/>
        </w:tabs>
        <w:numPr>
          <w:ilvl w:val="0"/>
          <w:numId w:val="203"/>
        </w:numPr>
        <w:rPr>
          <w:rFonts w:ascii="Arial" w:cs="Arial" w:eastAsia="Arial" w:hAnsi="Arial"/>
          <w:sz w:val="18"/>
          <w:szCs w:val="18"/>
          <w:color w:val="auto"/>
        </w:rPr>
      </w:pPr>
      <w:r>
        <w:rPr>
          <w:rFonts w:ascii="Arial" w:cs="Arial" w:eastAsia="Arial" w:hAnsi="Arial"/>
          <w:sz w:val="18"/>
          <w:szCs w:val="18"/>
          <w:u w:val="single" w:color="auto"/>
          <w:color w:val="auto"/>
        </w:rPr>
        <w:t>Adjustments for Changes in Common Stock and Certain Other Events</w:t>
      </w:r>
    </w:p>
    <w:p>
      <w:pPr>
        <w:spacing w:after="0" w:line="117" w:lineRule="exact"/>
        <w:rPr>
          <w:rFonts w:ascii="Arial" w:cs="Arial" w:eastAsia="Arial" w:hAnsi="Arial"/>
          <w:sz w:val="18"/>
          <w:szCs w:val="18"/>
          <w:color w:val="auto"/>
        </w:rPr>
      </w:pPr>
    </w:p>
    <w:p>
      <w:pPr>
        <w:ind w:firstLine="332"/>
        <w:spacing w:after="0" w:line="253" w:lineRule="auto"/>
        <w:tabs>
          <w:tab w:leader="none" w:pos="679" w:val="left"/>
        </w:tabs>
        <w:numPr>
          <w:ilvl w:val="1"/>
          <w:numId w:val="203"/>
        </w:numPr>
        <w:rPr>
          <w:rFonts w:ascii="Arial" w:cs="Arial" w:eastAsia="Arial" w:hAnsi="Arial"/>
          <w:sz w:val="18"/>
          <w:szCs w:val="18"/>
          <w:color w:val="auto"/>
        </w:rPr>
      </w:pPr>
      <w:r>
        <w:rPr>
          <w:rFonts w:ascii="Arial" w:cs="Arial" w:eastAsia="Arial" w:hAnsi="Arial"/>
          <w:sz w:val="18"/>
          <w:szCs w:val="18"/>
          <w:u w:val="single" w:color="auto"/>
          <w:color w:val="auto"/>
        </w:rPr>
        <w:t>Changes in Capitalization</w:t>
      </w:r>
      <w:r>
        <w:rPr>
          <w:rFonts w:ascii="Arial" w:cs="Arial" w:eastAsia="Arial" w:hAnsi="Arial"/>
          <w:sz w:val="18"/>
          <w:szCs w:val="18"/>
          <w:color w:val="auto"/>
        </w:rPr>
        <w:t>. In the event of any stock split, reverse stock split, stock dividend, recapitalization, combination of shares, reclassification of shares, spin-off or other similar change in capitalization or event, or any dividend or distribution to holders of Common Stock other than an ordinary cash dividend, (i) the number and class of securities available under the Plan, (ii) the share counting rules and sublimits set forth in Sections 4(a) and 4(b), (iii) the number and class of securities and exercise price per share of each outstanding Option, (iv) the share and per-share provisions and the measurement price of each outstanding SAR, (v) the number of shares subject to and the repurchase price per share subject to each outstanding award of Restricted Stock and (vi) the share and per-share-related provisions and the purchase price, if any, of each outstanding RSU and each Other Stock-Based Award, shall be equitably adjusted by the Company (or substituted Awards may be made, if applicable) in the manner determined by the Board. Without limiting the generality of the foregoing, in the event the Company effects a split of the Common Stock by means of a stock dividend and the exercise price of and the number of shares subject to an outstanding Option are adjusted as of the date of the distribution of the dividend (rather than as of the record date for such dividend), then an optionee who exercises an Option between the record date and the distribution date for such stock dividend shall be entitled to receive, on the distribution date, the stock dividend with respect to the shares of Common Stock acquired upon such Option exercise, notwithstanding the fact that such shares were not outstanding as of the close of business on the record date for such stock dividend.</w:t>
      </w:r>
    </w:p>
    <w:p>
      <w:pPr>
        <w:spacing w:after="0" w:line="77" w:lineRule="exact"/>
        <w:rPr>
          <w:rFonts w:ascii="Arial" w:cs="Arial" w:eastAsia="Arial" w:hAnsi="Arial"/>
          <w:sz w:val="18"/>
          <w:szCs w:val="18"/>
          <w:color w:val="auto"/>
        </w:rPr>
      </w:pPr>
    </w:p>
    <w:p>
      <w:pPr>
        <w:ind w:left="680" w:hanging="348"/>
        <w:spacing w:after="0"/>
        <w:tabs>
          <w:tab w:leader="none" w:pos="680" w:val="left"/>
        </w:tabs>
        <w:numPr>
          <w:ilvl w:val="1"/>
          <w:numId w:val="203"/>
        </w:numPr>
        <w:rPr>
          <w:rFonts w:ascii="Arial" w:cs="Arial" w:eastAsia="Arial" w:hAnsi="Arial"/>
          <w:sz w:val="18"/>
          <w:szCs w:val="18"/>
          <w:color w:val="auto"/>
        </w:rPr>
      </w:pPr>
      <w:r>
        <w:rPr>
          <w:rFonts w:ascii="Arial" w:cs="Arial" w:eastAsia="Arial" w:hAnsi="Arial"/>
          <w:sz w:val="18"/>
          <w:szCs w:val="18"/>
          <w:u w:val="single" w:color="auto"/>
          <w:color w:val="auto"/>
        </w:rPr>
        <w:t>Reorganization and Change in Control Events</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left="1340" w:hanging="425"/>
        <w:spacing w:after="0"/>
        <w:tabs>
          <w:tab w:leader="none" w:pos="1340" w:val="left"/>
        </w:tabs>
        <w:numPr>
          <w:ilvl w:val="2"/>
          <w:numId w:val="203"/>
        </w:numPr>
        <w:rPr>
          <w:rFonts w:ascii="Arial" w:cs="Arial" w:eastAsia="Arial" w:hAnsi="Arial"/>
          <w:sz w:val="18"/>
          <w:szCs w:val="18"/>
          <w:color w:val="auto"/>
        </w:rPr>
      </w:pPr>
      <w:r>
        <w:rPr>
          <w:rFonts w:ascii="Arial" w:cs="Arial" w:eastAsia="Arial" w:hAnsi="Arial"/>
          <w:sz w:val="18"/>
          <w:szCs w:val="18"/>
          <w:u w:val="single" w:color="auto"/>
          <w:color w:val="auto"/>
        </w:rPr>
        <w:t>Definitions</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right="120" w:firstLine="1498"/>
        <w:spacing w:after="0" w:line="262" w:lineRule="auto"/>
        <w:tabs>
          <w:tab w:leader="none" w:pos="1987" w:val="left"/>
        </w:tabs>
        <w:numPr>
          <w:ilvl w:val="3"/>
          <w:numId w:val="203"/>
        </w:numPr>
        <w:rPr>
          <w:rFonts w:ascii="Arial" w:cs="Arial" w:eastAsia="Arial" w:hAnsi="Arial"/>
          <w:sz w:val="18"/>
          <w:szCs w:val="18"/>
          <w:color w:val="auto"/>
        </w:rPr>
      </w:pPr>
      <w:r>
        <w:rPr>
          <w:rFonts w:ascii="Arial" w:cs="Arial" w:eastAsia="Arial" w:hAnsi="Arial"/>
          <w:sz w:val="18"/>
          <w:szCs w:val="18"/>
          <w:color w:val="auto"/>
        </w:rPr>
        <w:t>A “</w:t>
      </w:r>
      <w:r>
        <w:rPr>
          <w:rFonts w:ascii="Arial" w:cs="Arial" w:eastAsia="Arial" w:hAnsi="Arial"/>
          <w:sz w:val="18"/>
          <w:szCs w:val="18"/>
          <w:b w:val="1"/>
          <w:bCs w:val="1"/>
          <w:i w:val="1"/>
          <w:iCs w:val="1"/>
          <w:color w:val="auto"/>
        </w:rPr>
        <w:t>Reorganization Event</w:t>
      </w:r>
      <w:r>
        <w:rPr>
          <w:rFonts w:ascii="Arial" w:cs="Arial" w:eastAsia="Arial" w:hAnsi="Arial"/>
          <w:sz w:val="18"/>
          <w:szCs w:val="18"/>
          <w:color w:val="auto"/>
        </w:rPr>
        <w:t>” shall mean: (a) any merger or consolidation of the Company with or into another entity as a result of which all of the Common Stock of the Company is converted into or exchanged for the right to receive cash, securities or other property or is canceled, (b) any transfer or disposition of all of the Common Stock of the Company for cash, securities or other property pursuant to a share exchange or other transaction or (c) any liquidation or dissolution of the Company.</w:t>
      </w:r>
    </w:p>
    <w:p>
      <w:pPr>
        <w:spacing w:after="0" w:line="68" w:lineRule="exact"/>
        <w:rPr>
          <w:rFonts w:ascii="Arial" w:cs="Arial" w:eastAsia="Arial" w:hAnsi="Arial"/>
          <w:sz w:val="18"/>
          <w:szCs w:val="18"/>
          <w:color w:val="auto"/>
        </w:rPr>
      </w:pPr>
    </w:p>
    <w:p>
      <w:pPr>
        <w:ind w:left="2000" w:hanging="502"/>
        <w:spacing w:after="0"/>
        <w:tabs>
          <w:tab w:leader="none" w:pos="2000" w:val="left"/>
        </w:tabs>
        <w:numPr>
          <w:ilvl w:val="3"/>
          <w:numId w:val="203"/>
        </w:numPr>
        <w:rPr>
          <w:rFonts w:ascii="Arial" w:cs="Arial" w:eastAsia="Arial" w:hAnsi="Arial"/>
          <w:sz w:val="18"/>
          <w:szCs w:val="18"/>
          <w:color w:val="auto"/>
        </w:rPr>
      </w:pPr>
      <w:r>
        <w:rPr>
          <w:rFonts w:ascii="Arial" w:cs="Arial" w:eastAsia="Arial" w:hAnsi="Arial"/>
          <w:sz w:val="18"/>
          <w:szCs w:val="18"/>
          <w:color w:val="auto"/>
        </w:rPr>
        <w:t>A “</w:t>
      </w:r>
      <w:r>
        <w:rPr>
          <w:rFonts w:ascii="Arial" w:cs="Arial" w:eastAsia="Arial" w:hAnsi="Arial"/>
          <w:sz w:val="18"/>
          <w:szCs w:val="18"/>
          <w:b w:val="1"/>
          <w:bCs w:val="1"/>
          <w:i w:val="1"/>
          <w:iCs w:val="1"/>
          <w:color w:val="auto"/>
        </w:rPr>
        <w:t>Change in Control Event</w:t>
      </w:r>
      <w:r>
        <w:rPr>
          <w:rFonts w:ascii="Arial" w:cs="Arial" w:eastAsia="Arial" w:hAnsi="Arial"/>
          <w:sz w:val="18"/>
          <w:szCs w:val="18"/>
          <w:color w:val="auto"/>
        </w:rPr>
        <w:t>” shall mean:</w:t>
      </w:r>
    </w:p>
    <w:p>
      <w:pPr>
        <w:spacing w:after="0" w:line="117" w:lineRule="exact"/>
        <w:rPr>
          <w:rFonts w:ascii="Arial" w:cs="Arial" w:eastAsia="Arial" w:hAnsi="Arial"/>
          <w:sz w:val="18"/>
          <w:szCs w:val="18"/>
          <w:color w:val="auto"/>
        </w:rPr>
      </w:pPr>
    </w:p>
    <w:p>
      <w:pPr>
        <w:ind w:right="100" w:firstLine="2082"/>
        <w:spacing w:after="0" w:line="255" w:lineRule="auto"/>
        <w:tabs>
          <w:tab w:leader="none" w:pos="2611" w:val="left"/>
        </w:tabs>
        <w:numPr>
          <w:ilvl w:val="4"/>
          <w:numId w:val="203"/>
        </w:numPr>
        <w:rPr>
          <w:rFonts w:ascii="Arial" w:cs="Arial" w:eastAsia="Arial" w:hAnsi="Arial"/>
          <w:sz w:val="18"/>
          <w:szCs w:val="18"/>
          <w:color w:val="auto"/>
        </w:rPr>
      </w:pPr>
      <w:r>
        <w:rPr>
          <w:rFonts w:ascii="Arial" w:cs="Arial" w:eastAsia="Arial" w:hAnsi="Arial"/>
          <w:sz w:val="18"/>
          <w:szCs w:val="18"/>
          <w:color w:val="auto"/>
        </w:rPr>
        <w:t>the acquisition by an individual, entity or group (within the meaning of Section 13(d)(3) or 14(d)(2) of the Exchange Act) (a “</w:t>
      </w:r>
      <w:r>
        <w:rPr>
          <w:rFonts w:ascii="Arial" w:cs="Arial" w:eastAsia="Arial" w:hAnsi="Arial"/>
          <w:sz w:val="18"/>
          <w:szCs w:val="18"/>
          <w:b w:val="1"/>
          <w:bCs w:val="1"/>
          <w:i w:val="1"/>
          <w:iCs w:val="1"/>
          <w:color w:val="auto"/>
        </w:rPr>
        <w:t>Person</w:t>
      </w:r>
      <w:r>
        <w:rPr>
          <w:rFonts w:ascii="Arial" w:cs="Arial" w:eastAsia="Arial" w:hAnsi="Arial"/>
          <w:sz w:val="18"/>
          <w:szCs w:val="18"/>
          <w:color w:val="auto"/>
        </w:rPr>
        <w:t>”) of beneficial ownership of any capital stock of the Company if, after such acquisition, such Person beneficially owns (within the meaning of Rule 13d-3 promulgated under the Exchange Act) 50% or more of either (x) the then-outstanding shares of Common Stock of the Company (the “</w:t>
      </w:r>
      <w:r>
        <w:rPr>
          <w:rFonts w:ascii="Arial" w:cs="Arial" w:eastAsia="Arial" w:hAnsi="Arial"/>
          <w:sz w:val="18"/>
          <w:szCs w:val="18"/>
          <w:b w:val="1"/>
          <w:bCs w:val="1"/>
          <w:i w:val="1"/>
          <w:iCs w:val="1"/>
          <w:color w:val="auto"/>
        </w:rPr>
        <w:t>Outstanding Company Common Stock</w:t>
      </w:r>
      <w:r>
        <w:rPr>
          <w:rFonts w:ascii="Arial" w:cs="Arial" w:eastAsia="Arial" w:hAnsi="Arial"/>
          <w:sz w:val="18"/>
          <w:szCs w:val="18"/>
          <w:color w:val="auto"/>
        </w:rPr>
        <w:t>”) or (y) the combined voting power of the then-outstanding securities of the Company entitled to vote generally in the election of directors (the “</w:t>
      </w:r>
      <w:r>
        <w:rPr>
          <w:rFonts w:ascii="Arial" w:cs="Arial" w:eastAsia="Arial" w:hAnsi="Arial"/>
          <w:sz w:val="18"/>
          <w:szCs w:val="18"/>
          <w:b w:val="1"/>
          <w:bCs w:val="1"/>
          <w:i w:val="1"/>
          <w:iCs w:val="1"/>
          <w:color w:val="auto"/>
        </w:rPr>
        <w:t>Outstanding Company Voting Securities</w:t>
      </w:r>
      <w:r>
        <w:rPr>
          <w:rFonts w:ascii="Arial" w:cs="Arial" w:eastAsia="Arial" w:hAnsi="Arial"/>
          <w:sz w:val="18"/>
          <w:szCs w:val="18"/>
          <w:color w:val="auto"/>
        </w:rPr>
        <w:t xml:space="preserve">”); </w:t>
      </w:r>
      <w:r>
        <w:rPr>
          <w:rFonts w:ascii="Arial" w:cs="Arial" w:eastAsia="Arial" w:hAnsi="Arial"/>
          <w:sz w:val="18"/>
          <w:szCs w:val="18"/>
          <w:u w:val="single" w:color="auto"/>
          <w:color w:val="auto"/>
        </w:rPr>
        <w:t>provided</w:t>
      </w:r>
      <w:r>
        <w:rPr>
          <w:rFonts w:ascii="Arial" w:cs="Arial" w:eastAsia="Arial" w:hAnsi="Arial"/>
          <w:sz w:val="18"/>
          <w:szCs w:val="18"/>
          <w:color w:val="auto"/>
        </w:rPr>
        <w:t>, however, that for purposes of this subsection (i), the following acquisitions shall not constitute a Change in Control Event: (A) any acquisition directly from the Company (excluding an acquisition pursuant to the exercise, conversion or exchange of any security exercisable for, convertible into or exchangeable for common stock or voting securities of the Company, unless the Person exercising, converting or exchanging such security acquired such security directly from the</w:t>
      </w:r>
    </w:p>
    <w:p>
      <w:pPr>
        <w:sectPr>
          <w:pgSz w:w="11900" w:h="16838" w:orient="portrait"/>
          <w:cols w:equalWidth="0" w:num="1">
            <w:col w:w="11240"/>
          </w:cols>
          <w:pgMar w:left="320" w:top="1066" w:right="339" w:bottom="1440" w:gutter="0" w:footer="0" w:header="0"/>
        </w:sectPr>
      </w:pPr>
    </w:p>
    <w:p>
      <w:pPr>
        <w:spacing w:after="0" w:line="200" w:lineRule="exact"/>
        <w:rPr>
          <w:sz w:val="20"/>
          <w:szCs w:val="20"/>
          <w:color w:val="auto"/>
        </w:rPr>
      </w:pPr>
    </w:p>
    <w:p>
      <w:pPr>
        <w:spacing w:after="0" w:line="246" w:lineRule="exact"/>
        <w:rPr>
          <w:sz w:val="20"/>
          <w:szCs w:val="20"/>
          <w:color w:val="auto"/>
        </w:rPr>
      </w:pPr>
    </w:p>
    <w:p>
      <w:pPr>
        <w:ind w:left="20"/>
        <w:spacing w:after="0"/>
        <w:tabs>
          <w:tab w:leader="none" w:pos="620" w:val="left"/>
        </w:tabs>
        <w:rPr>
          <w:sz w:val="20"/>
          <w:szCs w:val="20"/>
          <w:color w:val="auto"/>
        </w:rPr>
      </w:pPr>
      <w:r>
        <w:rPr>
          <w:rFonts w:ascii="Arial" w:cs="Arial" w:eastAsia="Arial" w:hAnsi="Arial"/>
          <w:sz w:val="20"/>
          <w:szCs w:val="20"/>
          <w:b w:val="1"/>
          <w:bCs w:val="1"/>
          <w:color w:val="auto"/>
        </w:rPr>
        <w:t>A-6</w:t>
      </w:r>
      <w:r>
        <w:rPr>
          <w:sz w:val="20"/>
          <w:szCs w:val="20"/>
          <w:color w:val="auto"/>
        </w:rPr>
        <w:tab/>
      </w:r>
      <w:r>
        <w:rPr>
          <w:rFonts w:ascii="Arial" w:cs="Arial" w:eastAsia="Arial" w:hAnsi="Arial"/>
          <w:sz w:val="16"/>
          <w:szCs w:val="16"/>
          <w:color w:val="6D6E71"/>
        </w:rPr>
        <w:t>Appendix A: Amended and Restated Analog Devices, Inc. 2020 Equity Incentive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66" w:right="339" w:bottom="1440" w:gutter="0" w:footer="0" w:header="0"/>
          <w:type w:val="continuous"/>
        </w:sectPr>
      </w:pPr>
    </w:p>
    <w:bookmarkStart w:id="112" w:name="page113"/>
    <w:bookmarkEnd w:id="112"/>
    <w:p>
      <w:pPr>
        <w:ind w:right="100"/>
        <w:spacing w:after="0" w:line="268" w:lineRule="auto"/>
        <w:rPr>
          <w:sz w:val="20"/>
          <w:szCs w:val="20"/>
          <w:color w:val="auto"/>
        </w:rPr>
      </w:pPr>
      <w:r>
        <w:rPr>
          <w:rFonts w:ascii="Arial" w:cs="Arial" w:eastAsia="Arial" w:hAnsi="Arial"/>
          <w:sz w:val="18"/>
          <w:szCs w:val="18"/>
          <w:color w:val="auto"/>
        </w:rPr>
        <w:t>Company or an underwriter or agent of the Company), (B) any acquisition by any employee benefit plan (or related trust) sponsored or maintained by the Company or any corporation controlled by the Company, or (C) any acquisition by any corporation pursuant to a Business Combination (as defined below) which complies with clauses (x) and (y) of subsection (ii) of this definition; or</w:t>
      </w:r>
    </w:p>
    <w:p>
      <w:pPr>
        <w:spacing w:after="0" w:line="63" w:lineRule="exact"/>
        <w:rPr>
          <w:sz w:val="20"/>
          <w:szCs w:val="20"/>
          <w:color w:val="auto"/>
        </w:rPr>
      </w:pPr>
    </w:p>
    <w:p>
      <w:pPr>
        <w:ind w:right="20" w:firstLine="2082"/>
        <w:spacing w:after="0" w:line="253" w:lineRule="auto"/>
        <w:tabs>
          <w:tab w:leader="none" w:pos="2624" w:val="left"/>
        </w:tabs>
        <w:numPr>
          <w:ilvl w:val="2"/>
          <w:numId w:val="204"/>
        </w:numPr>
        <w:rPr>
          <w:rFonts w:ascii="Arial" w:cs="Arial" w:eastAsia="Arial" w:hAnsi="Arial"/>
          <w:sz w:val="18"/>
          <w:szCs w:val="18"/>
          <w:color w:val="auto"/>
        </w:rPr>
      </w:pPr>
      <w:r>
        <w:rPr>
          <w:rFonts w:ascii="Arial" w:cs="Arial" w:eastAsia="Arial" w:hAnsi="Arial"/>
          <w:sz w:val="18"/>
          <w:szCs w:val="18"/>
          <w:color w:val="auto"/>
        </w:rPr>
        <w:t>the consummation of a merger, consolidation, reorganization, recapitalization or share exchange involving the Company or a sale or other disposition of all or substantially all of the assets of the Company (a “</w:t>
      </w:r>
      <w:r>
        <w:rPr>
          <w:rFonts w:ascii="Arial" w:cs="Arial" w:eastAsia="Arial" w:hAnsi="Arial"/>
          <w:sz w:val="18"/>
          <w:szCs w:val="18"/>
          <w:b w:val="1"/>
          <w:bCs w:val="1"/>
          <w:i w:val="1"/>
          <w:iCs w:val="1"/>
          <w:color w:val="auto"/>
        </w:rPr>
        <w:t>Business Combination</w:t>
      </w:r>
      <w:r>
        <w:rPr>
          <w:rFonts w:ascii="Arial" w:cs="Arial" w:eastAsia="Arial" w:hAnsi="Arial"/>
          <w:sz w:val="18"/>
          <w:szCs w:val="18"/>
          <w:color w:val="auto"/>
        </w:rPr>
        <w:t>”), unless, immediately following such Business Combination, each of the following two conditions is satisfied: (x) all or substantially all of the individuals and entities who were the beneficial owners of the Outstanding Company Common Stock and Outstanding Company Voting Securities immediately prior to such Business Combination beneficially own, directly or indirectly, more than 50% of the then-outstanding shares of common stock and the combined voting power of the then-outstanding securities entitled to vote generally in the election of directors, respectively, of the resulting or acquiring corporation in such Business Combination (which shall include, without limitation, a corporation which as a result of such transaction owns the Company or substantially all of the Company’s assets either directly or through one or more subsidiaries) (such resulting or acquiring corporation is referred to herein as the “</w:t>
      </w:r>
      <w:r>
        <w:rPr>
          <w:rFonts w:ascii="Arial" w:cs="Arial" w:eastAsia="Arial" w:hAnsi="Arial"/>
          <w:sz w:val="18"/>
          <w:szCs w:val="18"/>
          <w:b w:val="1"/>
          <w:bCs w:val="1"/>
          <w:i w:val="1"/>
          <w:iCs w:val="1"/>
          <w:color w:val="auto"/>
        </w:rPr>
        <w:t>Acquiring Corporation</w:t>
      </w:r>
      <w:r>
        <w:rPr>
          <w:rFonts w:ascii="Arial" w:cs="Arial" w:eastAsia="Arial" w:hAnsi="Arial"/>
          <w:sz w:val="18"/>
          <w:szCs w:val="18"/>
          <w:color w:val="auto"/>
        </w:rPr>
        <w:t>”) in substantially the same proportions as their ownership of the Outstanding Company Common Stock and Outstanding Company Voting Securities, respectively, immediately prior to such Business Combination and (y) no Person (excluding any employee benefit plan (or related trust) maintained or sponsored by the Company or by the Acquiring Corporation) beneficially owns, directly or indirectly, 30% or more of the then-outstanding shares of common stock of the Acquiring Corporation, or of the combined voting power of the then-outstanding securities of such corporation entitled to vote generally in the election of directors (except to the extent that such ownership existed prior to the Business Combination); or</w:t>
      </w:r>
    </w:p>
    <w:p>
      <w:pPr>
        <w:spacing w:after="0" w:line="77" w:lineRule="exact"/>
        <w:rPr>
          <w:rFonts w:ascii="Arial" w:cs="Arial" w:eastAsia="Arial" w:hAnsi="Arial"/>
          <w:sz w:val="18"/>
          <w:szCs w:val="18"/>
          <w:color w:val="auto"/>
        </w:rPr>
      </w:pPr>
    </w:p>
    <w:p>
      <w:pPr>
        <w:ind w:left="2640" w:hanging="558"/>
        <w:spacing w:after="0"/>
        <w:tabs>
          <w:tab w:leader="none" w:pos="2640" w:val="left"/>
        </w:tabs>
        <w:numPr>
          <w:ilvl w:val="2"/>
          <w:numId w:val="204"/>
        </w:numPr>
        <w:rPr>
          <w:rFonts w:ascii="Arial" w:cs="Arial" w:eastAsia="Arial" w:hAnsi="Arial"/>
          <w:sz w:val="18"/>
          <w:szCs w:val="18"/>
          <w:color w:val="auto"/>
        </w:rPr>
      </w:pPr>
      <w:r>
        <w:rPr>
          <w:rFonts w:ascii="Arial" w:cs="Arial" w:eastAsia="Arial" w:hAnsi="Arial"/>
          <w:sz w:val="18"/>
          <w:szCs w:val="18"/>
          <w:color w:val="auto"/>
        </w:rPr>
        <w:t>the liquidation or dissolution of the Company.</w:t>
      </w:r>
    </w:p>
    <w:p>
      <w:pPr>
        <w:spacing w:after="0" w:line="117" w:lineRule="exact"/>
        <w:rPr>
          <w:rFonts w:ascii="Arial" w:cs="Arial" w:eastAsia="Arial" w:hAnsi="Arial"/>
          <w:sz w:val="18"/>
          <w:szCs w:val="18"/>
          <w:color w:val="auto"/>
        </w:rPr>
      </w:pPr>
    </w:p>
    <w:p>
      <w:pPr>
        <w:ind w:right="20" w:firstLine="1498"/>
        <w:spacing w:after="0" w:line="255" w:lineRule="auto"/>
        <w:tabs>
          <w:tab w:leader="none" w:pos="1983" w:val="left"/>
        </w:tabs>
        <w:numPr>
          <w:ilvl w:val="1"/>
          <w:numId w:val="20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Good Reason</w:t>
      </w:r>
      <w:r>
        <w:rPr>
          <w:rFonts w:ascii="Arial" w:cs="Arial" w:eastAsia="Arial" w:hAnsi="Arial"/>
          <w:sz w:val="18"/>
          <w:szCs w:val="18"/>
          <w:color w:val="auto"/>
        </w:rPr>
        <w:t>” shall mean any significant diminution in the Participant’s title, authority, or responsibilities from and after such Reorganization Event or Change in Control Event, as the case may be, or any material reduction in the annual cash compensation payable to the Participant from and after such Reorganization Event or Change in Control Event, as the case may be, or the relocation of the place of business at which the Participant is principally located to a location that is greater than 50 miles from its location immediately prior to such Reorganization Event or Change in Control Event. Notwithstanding the occurrence of any such event or circumstance, such occurrence shall not be deemed to constitute Good Reason unless (x) the Participant gives the Company notice of termination no more than 90 days after the initial existence of such event or circumstance, (y) such event or circumstance has not been fully corrected by the Company within 30 days of the Company’s receipt of such notice and (z) the Participant’s termination occurs within 60 days following the Company’s receipt of such notice.</w:t>
      </w:r>
    </w:p>
    <w:p>
      <w:pPr>
        <w:spacing w:after="0" w:line="72" w:lineRule="exact"/>
        <w:rPr>
          <w:rFonts w:ascii="Arial" w:cs="Arial" w:eastAsia="Arial" w:hAnsi="Arial"/>
          <w:sz w:val="18"/>
          <w:szCs w:val="18"/>
          <w:color w:val="auto"/>
        </w:rPr>
      </w:pPr>
    </w:p>
    <w:p>
      <w:pPr>
        <w:ind w:left="2000" w:hanging="502"/>
        <w:spacing w:after="0"/>
        <w:tabs>
          <w:tab w:leader="none" w:pos="2000" w:val="left"/>
        </w:tabs>
        <w:numPr>
          <w:ilvl w:val="1"/>
          <w:numId w:val="20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Cause</w:t>
      </w:r>
      <w:r>
        <w:rPr>
          <w:rFonts w:ascii="Arial" w:cs="Arial" w:eastAsia="Arial" w:hAnsi="Arial"/>
          <w:sz w:val="18"/>
          <w:szCs w:val="18"/>
          <w:color w:val="auto"/>
        </w:rPr>
        <w:t>” shall mean:</w:t>
      </w:r>
    </w:p>
    <w:p>
      <w:pPr>
        <w:spacing w:after="0" w:line="117" w:lineRule="exact"/>
        <w:rPr>
          <w:rFonts w:ascii="Arial" w:cs="Arial" w:eastAsia="Arial" w:hAnsi="Arial"/>
          <w:sz w:val="18"/>
          <w:szCs w:val="18"/>
          <w:color w:val="auto"/>
        </w:rPr>
      </w:pPr>
    </w:p>
    <w:p>
      <w:pPr>
        <w:ind w:right="780" w:firstLine="2082"/>
        <w:spacing w:after="0" w:line="287" w:lineRule="auto"/>
        <w:tabs>
          <w:tab w:leader="none" w:pos="2611" w:val="left"/>
        </w:tabs>
        <w:numPr>
          <w:ilvl w:val="2"/>
          <w:numId w:val="205"/>
        </w:numPr>
        <w:rPr>
          <w:rFonts w:ascii="Arial" w:cs="Arial" w:eastAsia="Arial" w:hAnsi="Arial"/>
          <w:sz w:val="18"/>
          <w:szCs w:val="18"/>
          <w:color w:val="auto"/>
        </w:rPr>
      </w:pPr>
      <w:r>
        <w:rPr>
          <w:rFonts w:ascii="Arial" w:cs="Arial" w:eastAsia="Arial" w:hAnsi="Arial"/>
          <w:sz w:val="18"/>
          <w:szCs w:val="18"/>
          <w:color w:val="auto"/>
        </w:rPr>
        <w:t>any willful failure by the Participant, which failure is not cured within 30 days of written notice to the Participant from the Company, to perform his or her material responsibilities to the Company; or</w:t>
      </w:r>
    </w:p>
    <w:p>
      <w:pPr>
        <w:spacing w:after="0" w:line="44" w:lineRule="exact"/>
        <w:rPr>
          <w:rFonts w:ascii="Arial" w:cs="Arial" w:eastAsia="Arial" w:hAnsi="Arial"/>
          <w:sz w:val="18"/>
          <w:szCs w:val="18"/>
          <w:color w:val="auto"/>
        </w:rPr>
      </w:pPr>
    </w:p>
    <w:p>
      <w:pPr>
        <w:ind w:left="2640" w:hanging="558"/>
        <w:spacing w:after="0"/>
        <w:tabs>
          <w:tab w:leader="none" w:pos="2640" w:val="left"/>
        </w:tabs>
        <w:numPr>
          <w:ilvl w:val="2"/>
          <w:numId w:val="205"/>
        </w:numPr>
        <w:rPr>
          <w:rFonts w:ascii="Arial" w:cs="Arial" w:eastAsia="Arial" w:hAnsi="Arial"/>
          <w:sz w:val="18"/>
          <w:szCs w:val="18"/>
          <w:color w:val="auto"/>
        </w:rPr>
      </w:pPr>
      <w:r>
        <w:rPr>
          <w:rFonts w:ascii="Arial" w:cs="Arial" w:eastAsia="Arial" w:hAnsi="Arial"/>
          <w:sz w:val="18"/>
          <w:szCs w:val="18"/>
          <w:color w:val="auto"/>
        </w:rPr>
        <w:t>any willful misconduct by the Participant which affects the business reputation of the Company.</w:t>
      </w:r>
    </w:p>
    <w:p>
      <w:pPr>
        <w:spacing w:after="0" w:line="117" w:lineRule="exact"/>
        <w:rPr>
          <w:rFonts w:ascii="Arial" w:cs="Arial" w:eastAsia="Arial" w:hAnsi="Arial"/>
          <w:sz w:val="18"/>
          <w:szCs w:val="18"/>
          <w:color w:val="auto"/>
        </w:rPr>
      </w:pPr>
    </w:p>
    <w:p>
      <w:pPr>
        <w:ind w:left="1340" w:hanging="425"/>
        <w:spacing w:after="0"/>
        <w:tabs>
          <w:tab w:leader="none" w:pos="1340" w:val="left"/>
        </w:tabs>
        <w:numPr>
          <w:ilvl w:val="0"/>
          <w:numId w:val="206"/>
        </w:numPr>
        <w:rPr>
          <w:rFonts w:ascii="Arial" w:cs="Arial" w:eastAsia="Arial" w:hAnsi="Arial"/>
          <w:sz w:val="18"/>
          <w:szCs w:val="18"/>
          <w:color w:val="auto"/>
        </w:rPr>
      </w:pPr>
      <w:r>
        <w:rPr>
          <w:rFonts w:ascii="Arial" w:cs="Arial" w:eastAsia="Arial" w:hAnsi="Arial"/>
          <w:sz w:val="18"/>
          <w:szCs w:val="18"/>
          <w:u w:val="single" w:color="auto"/>
          <w:color w:val="auto"/>
        </w:rPr>
        <w:t>Effect on Awards Other than Restricted Stock</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firstLine="1498"/>
        <w:spacing w:after="0" w:line="251" w:lineRule="auto"/>
        <w:tabs>
          <w:tab w:leader="none" w:pos="1987" w:val="left"/>
        </w:tabs>
        <w:numPr>
          <w:ilvl w:val="1"/>
          <w:numId w:val="206"/>
        </w:numPr>
        <w:rPr>
          <w:rFonts w:ascii="Arial" w:cs="Arial" w:eastAsia="Arial" w:hAnsi="Arial"/>
          <w:sz w:val="18"/>
          <w:szCs w:val="18"/>
          <w:color w:val="auto"/>
        </w:rPr>
      </w:pPr>
      <w:r>
        <w:rPr>
          <w:rFonts w:ascii="Arial" w:cs="Arial" w:eastAsia="Arial" w:hAnsi="Arial"/>
          <w:sz w:val="18"/>
          <w:szCs w:val="18"/>
          <w:color w:val="auto"/>
        </w:rPr>
        <w:t xml:space="preserve">In connection with a Reorganization Event (regardless of whether such event also constitutes a Change in Control Event), the Board shall provide that all outstanding Awards other than Restricted Stock shall be assumed, or equivalent awards shall be substituted, by the acquiring or succeeding corporation (or an affiliate thereof);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notwithstanding anything to the contrary in the Plan, if such Reorganization Event also constitutes a Change in Control Event, except to the extent specifically provided to the contrary in the instrument evidencing any Award other than Restricted Stock or any other agreement between a Participant and the Company (A) one-half of the number of shares subject to the Award other than Restricted Stock which were not already vested shall become vested and/or exercisable upon the occurrence of such Reorganization Event and, subject to (B) below, the remaining one-half of such number of shares shall continue to become vested in accordance with the original vesting schedule set forth in such award, with one-half of the number of shares that would otherwise have become vested on each subsequent vesting date in accordance with the original schedule becoming vested on each subsequent vesting date and (B) such assumed or substituted award other than Restricted Stock shall become immediately vested and/or exercisable in full if, on or prior to the first anniversary of the date of the consummation of the Reorganization Event, the Participant’s employment with the Company or the acquiring or succeeding corporation is terminated for Good Reason by the Participant or is terminated without Cause by the Company or the acquiring or succeeding corporation. For purposes hereof, an Award other than Restricted Stock shall be considered to be assumed if, following consummation of the Reorganization Event, the award confers the right to purchase or receive, for each share of Common Stock subject to the award immediately prior to the consummation of the Reorganization Event, the consideration (whether cash, securities or other property) received as a result of the Reorganization Event by holders of Common Stock for each share of Common Stock held immediately prior to the consummation of the Reorganization Event (and if holders were offered a choice of consideration, the type of consideration chosen by the holders of a majority of the outstanding shares of Common</w:t>
      </w:r>
    </w:p>
    <w:p>
      <w:pPr>
        <w:spacing w:after="0" w:line="9" w:lineRule="exact"/>
        <w:rPr>
          <w:rFonts w:ascii="Arial" w:cs="Arial" w:eastAsia="Arial" w:hAnsi="Arial"/>
          <w:sz w:val="18"/>
          <w:szCs w:val="18"/>
          <w:color w:val="auto"/>
        </w:rPr>
      </w:pPr>
    </w:p>
    <w:p>
      <w:pPr>
        <w:ind w:right="140"/>
        <w:spacing w:after="0" w:line="254" w:lineRule="auto"/>
        <w:rPr>
          <w:rFonts w:ascii="Arial" w:cs="Arial" w:eastAsia="Arial" w:hAnsi="Arial"/>
          <w:sz w:val="18"/>
          <w:szCs w:val="18"/>
          <w:color w:val="auto"/>
        </w:rPr>
      </w:pPr>
      <w:r>
        <w:rPr>
          <w:rFonts w:ascii="Arial" w:cs="Arial" w:eastAsia="Arial" w:hAnsi="Arial"/>
          <w:sz w:val="18"/>
          <w:szCs w:val="18"/>
          <w:color w:val="auto"/>
        </w:rPr>
        <w:t xml:space="preserve">Stock); </w:t>
      </w:r>
      <w:r>
        <w:rPr>
          <w:rFonts w:ascii="Arial" w:cs="Arial" w:eastAsia="Arial" w:hAnsi="Arial"/>
          <w:sz w:val="18"/>
          <w:szCs w:val="18"/>
          <w:u w:val="single" w:color="auto"/>
          <w:color w:val="auto"/>
        </w:rPr>
        <w:t>provided</w:t>
      </w:r>
      <w:r>
        <w:rPr>
          <w:rFonts w:ascii="Arial" w:cs="Arial" w:eastAsia="Arial" w:hAnsi="Arial"/>
          <w:sz w:val="18"/>
          <w:szCs w:val="18"/>
          <w:color w:val="auto"/>
        </w:rPr>
        <w:t>, however, that if the consideration received as a result of the Reorganization Event is not solely common stock of the acquiring or succeeding corporation (or an affiliate thereof), the Company may, with the consent of the acquiring or succeeding corporation, provide for the consideration to be received upon the exercise and/or vesting of the Awards other than Restricted Stock to consist solely of common stock of the acquiring or succeeding corporation (or an affiliate thereof) equivalent in value (as determined by the Board) to the per share consideration received by holders of outstanding shares of Common Stock as a result of the Reorganization Event.</w:t>
      </w:r>
    </w:p>
    <w:p>
      <w:pPr>
        <w:sectPr>
          <w:pgSz w:w="11900" w:h="16838" w:orient="portrait"/>
          <w:cols w:equalWidth="0" w:num="1">
            <w:col w:w="11240"/>
          </w:cols>
          <w:pgMar w:left="320" w:top="1066" w:right="339" w:bottom="1440" w:gutter="0" w:footer="0" w:header="0"/>
        </w:sectPr>
      </w:pPr>
    </w:p>
    <w:p>
      <w:pPr>
        <w:spacing w:after="0" w:line="200" w:lineRule="exact"/>
        <w:rPr>
          <w:sz w:val="20"/>
          <w:szCs w:val="20"/>
          <w:color w:val="auto"/>
        </w:rPr>
      </w:pPr>
    </w:p>
    <w:p>
      <w:pPr>
        <w:spacing w:after="0" w:line="248" w:lineRule="exact"/>
        <w:rPr>
          <w:sz w:val="20"/>
          <w:szCs w:val="20"/>
          <w:color w:val="auto"/>
        </w:rPr>
      </w:pPr>
    </w:p>
    <w:p>
      <w:pPr>
        <w:ind w:left="8980"/>
        <w:spacing w:after="0"/>
        <w:tabs>
          <w:tab w:leader="none" w:pos="10880" w:val="left"/>
        </w:tabs>
        <w:rPr>
          <w:sz w:val="20"/>
          <w:szCs w:val="20"/>
          <w:color w:val="auto"/>
        </w:rPr>
      </w:pPr>
      <w:r>
        <w:rPr>
          <w:rFonts w:ascii="Arial" w:cs="Arial" w:eastAsia="Arial" w:hAnsi="Arial"/>
          <w:sz w:val="16"/>
          <w:szCs w:val="16"/>
          <w:color w:val="0067B3"/>
        </w:rPr>
        <w:t>2026 Proxy Statement</w:t>
      </w:r>
      <w:r>
        <w:rPr>
          <w:sz w:val="20"/>
          <w:szCs w:val="20"/>
          <w:color w:val="auto"/>
        </w:rPr>
        <w:tab/>
      </w:r>
      <w:r>
        <w:rPr>
          <w:rFonts w:ascii="Arial" w:cs="Arial" w:eastAsia="Arial" w:hAnsi="Arial"/>
          <w:sz w:val="19"/>
          <w:szCs w:val="19"/>
          <w:b w:val="1"/>
          <w:bCs w:val="1"/>
          <w:color w:val="auto"/>
        </w:rPr>
        <w:t>A-7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232410</wp:posOffset>
            </wp:positionV>
            <wp:extent cx="7157720" cy="42545"/>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66" w:right="339" w:bottom="1440" w:gutter="0" w:footer="0" w:header="0"/>
          <w:type w:val="continuous"/>
        </w:sectPr>
      </w:pPr>
    </w:p>
    <w:bookmarkStart w:id="113" w:name="page114"/>
    <w:bookmarkEnd w:id="113"/>
    <w:p>
      <w:pPr>
        <w:ind w:firstLine="324"/>
        <w:spacing w:after="0" w:line="253" w:lineRule="auto"/>
        <w:rPr>
          <w:sz w:val="20"/>
          <w:szCs w:val="20"/>
          <w:color w:val="auto"/>
        </w:rPr>
      </w:pPr>
      <w:r>
        <w:rPr>
          <w:rFonts w:ascii="Arial" w:cs="Arial" w:eastAsia="Arial" w:hAnsi="Arial"/>
          <w:sz w:val="18"/>
          <w:szCs w:val="18"/>
          <w:color w:val="auto"/>
        </w:rPr>
        <w:t>Notwithstanding the foregoing and anything to the contrary in the Plan, if the acquiring or succeeding corporation (or an affiliate thereof) does not agree to assume, or substitute for, such Awards other than Restricted Stock, or in the event of a liquidation or dissolution of the Company, the Board shall, upon written notice to the Participants, provide that all then unexercised or unvested Awards other than Restricted Stock will become vested and/or exercisable in full as of a specified time prior to the Reorganization Event and will terminate immediately prior to the consummation of such Reorganization Event, except to the extent, as applicable, exercised by the Participants before the consummation of such Reorganization Event; provided, however, that in the event of a Reorganization Event under the terms of which holders of Common Stock will receive upon consummation thereof a cash payment for each share of Common Stock surrendered pursuant to such Reorganization Event (the “</w:t>
      </w:r>
      <w:r>
        <w:rPr>
          <w:rFonts w:ascii="Arial" w:cs="Arial" w:eastAsia="Arial" w:hAnsi="Arial"/>
          <w:sz w:val="18"/>
          <w:szCs w:val="18"/>
          <w:b w:val="1"/>
          <w:bCs w:val="1"/>
          <w:i w:val="1"/>
          <w:iCs w:val="1"/>
          <w:color w:val="auto"/>
        </w:rPr>
        <w:t>Acquisition Price</w:t>
      </w:r>
      <w:r>
        <w:rPr>
          <w:rFonts w:ascii="Arial" w:cs="Arial" w:eastAsia="Arial" w:hAnsi="Arial"/>
          <w:sz w:val="18"/>
          <w:szCs w:val="18"/>
          <w:color w:val="auto"/>
        </w:rPr>
        <w:t>”), then the Board may instead provide that all outstanding Awards other than Restricted Stock shall terminate upon consummation of such Reorganization Event and that each Participant shall receive, in exchange therefor, a cash payment equal to the amount (if any) by which (A) the Acquisition Price multiplied by the number of shares of Common Stock subject to such outstanding Award other than Restricted Stock (whether or not then vested), exceeds (B) the aggregate exercise price of such Award other than Restricted Stock, if any.</w:t>
      </w:r>
    </w:p>
    <w:p>
      <w:pPr>
        <w:spacing w:after="0" w:line="82"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color w:val="auto"/>
        </w:rPr>
        <w:t>Notwithstanding the terms of Section 10(b)(2), in the case of outstanding RSUs that are subject to Section 409A: (i) if the applicable RSU agreement provides that the RSUs shall be settled upon a “change in control event” within the meaning of Treasury Regulation Section 1.409A-3(i)(5)(i), and the Reorganization Event constitutes such a “change in control event”, then no assumption or substitution shall be permitted pursuant to Section 10(b)(2) and the RSUs shall instead be settled in accordance with the terms of the applicable RSU agreement; and (ii) the Board otherwise may only undertake the actions set forth in Section 10(b)(2) if the Reorganization Event constitutes a “change in control event” as defined under Treasury Regulation Section 1.409A-3(i)(5)(i) or if such action is permitted or required by Section 409A; if the Reorganization Event is not a “change in control event” as so defined or such action is not permitted or required by Section 409A, and the acquiring or succeeding corporation does not assume or substitute the RSUs, then the unvested RSUs shall terminate immediately prior to the consummation of the Reorganization Event without any payment in exchange therefor.</w:t>
      </w:r>
    </w:p>
    <w:p>
      <w:pPr>
        <w:spacing w:after="0" w:line="73" w:lineRule="exact"/>
        <w:rPr>
          <w:sz w:val="20"/>
          <w:szCs w:val="20"/>
          <w:color w:val="auto"/>
        </w:rPr>
      </w:pPr>
    </w:p>
    <w:p>
      <w:pPr>
        <w:ind w:firstLine="1498"/>
        <w:spacing w:after="0" w:line="253" w:lineRule="auto"/>
        <w:tabs>
          <w:tab w:leader="none" w:pos="1987" w:val="left"/>
        </w:tabs>
        <w:numPr>
          <w:ilvl w:val="3"/>
          <w:numId w:val="207"/>
        </w:numPr>
        <w:rPr>
          <w:rFonts w:ascii="Arial" w:cs="Arial" w:eastAsia="Arial" w:hAnsi="Arial"/>
          <w:sz w:val="18"/>
          <w:szCs w:val="18"/>
          <w:color w:val="auto"/>
        </w:rPr>
      </w:pPr>
      <w:r>
        <w:rPr>
          <w:rFonts w:ascii="Arial" w:cs="Arial" w:eastAsia="Arial" w:hAnsi="Arial"/>
          <w:sz w:val="18"/>
          <w:szCs w:val="18"/>
          <w:u w:val="single" w:color="auto"/>
          <w:color w:val="auto"/>
        </w:rPr>
        <w:t>Change in Control Event that is not a Reorganization Event</w:t>
      </w:r>
      <w:r>
        <w:rPr>
          <w:rFonts w:ascii="Arial" w:cs="Arial" w:eastAsia="Arial" w:hAnsi="Arial"/>
          <w:sz w:val="18"/>
          <w:szCs w:val="18"/>
          <w:color w:val="auto"/>
        </w:rPr>
        <w:t>. Upon the occurrence of a Change in Control Event that does not also constitute a Reorganization Event, except to the extent specifically provided to the contrary in the instrument evidencing any Award other than Restricted Stock or any other agreement between a Participant and the Company, and notwithstanding anything to the contrary in the Plan, the vesting schedule of such award shall be accelerated in part so that one-half of the number of shares that would otherwise have first become vested on any date after the date of the Change in Control Event shall immediately become vested and/or exercisable. The remaining one-half of such number of shares shall continue to become vested in accordance with the original vesting schedule set forth in such Award other than Restricted Stock, with one-half of the number of shares that would otherwise have become vested on each subsequent vesting date in accordance with the original schedule becoming vested on each such subsequent vesting date; provided, however, that each such Award other than Restricted Stock shall be immediately vested and/or exercisable in full if, on or prior to the first anniversary of the date of the consummation of the Change in Control Event, the Participant’s employment with the Company or the acquiring or succeeding corporation is terminated for Good Reason by the Participant or is terminated without Cause by the Company or the acquiring or succeeding corporation.</w:t>
      </w:r>
    </w:p>
    <w:p>
      <w:pPr>
        <w:spacing w:after="0" w:line="81" w:lineRule="exact"/>
        <w:rPr>
          <w:rFonts w:ascii="Arial" w:cs="Arial" w:eastAsia="Arial" w:hAnsi="Arial"/>
          <w:sz w:val="18"/>
          <w:szCs w:val="18"/>
          <w:color w:val="auto"/>
        </w:rPr>
      </w:pPr>
    </w:p>
    <w:p>
      <w:pPr>
        <w:ind w:left="1340" w:hanging="425"/>
        <w:spacing w:after="0"/>
        <w:tabs>
          <w:tab w:leader="none" w:pos="1340" w:val="left"/>
        </w:tabs>
        <w:numPr>
          <w:ilvl w:val="2"/>
          <w:numId w:val="208"/>
        </w:numPr>
        <w:rPr>
          <w:rFonts w:ascii="Arial" w:cs="Arial" w:eastAsia="Arial" w:hAnsi="Arial"/>
          <w:sz w:val="18"/>
          <w:szCs w:val="18"/>
          <w:color w:val="auto"/>
        </w:rPr>
      </w:pPr>
      <w:r>
        <w:rPr>
          <w:rFonts w:ascii="Arial" w:cs="Arial" w:eastAsia="Arial" w:hAnsi="Arial"/>
          <w:sz w:val="18"/>
          <w:szCs w:val="18"/>
          <w:u w:val="single" w:color="auto"/>
          <w:color w:val="auto"/>
        </w:rPr>
        <w:t>Effect on Awards of Restricted Stock</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right="120" w:firstLine="1498"/>
        <w:spacing w:after="0" w:line="259" w:lineRule="auto"/>
        <w:tabs>
          <w:tab w:leader="none" w:pos="1987" w:val="left"/>
        </w:tabs>
        <w:numPr>
          <w:ilvl w:val="3"/>
          <w:numId w:val="208"/>
        </w:numPr>
        <w:rPr>
          <w:rFonts w:ascii="Arial" w:cs="Arial" w:eastAsia="Arial" w:hAnsi="Arial"/>
          <w:sz w:val="18"/>
          <w:szCs w:val="18"/>
          <w:color w:val="auto"/>
        </w:rPr>
      </w:pPr>
      <w:r>
        <w:rPr>
          <w:rFonts w:ascii="Arial" w:cs="Arial" w:eastAsia="Arial" w:hAnsi="Arial"/>
          <w:sz w:val="18"/>
          <w:szCs w:val="18"/>
          <w:u w:val="single" w:color="auto"/>
          <w:color w:val="auto"/>
        </w:rPr>
        <w:t>Reorganization Event</w:t>
      </w:r>
      <w:r>
        <w:rPr>
          <w:rFonts w:ascii="Arial" w:cs="Arial" w:eastAsia="Arial" w:hAnsi="Arial"/>
          <w:sz w:val="18"/>
          <w:szCs w:val="18"/>
          <w:color w:val="auto"/>
        </w:rPr>
        <w:t>. Upon the occurrence of a Reorganization Event (regardless of whether such event also constitutes a Change in Control Event), the repurchase and other rights of the Company under each outstanding Award of Restricted Stock shall inure to the benefit of the Company’s successor and shall apply to the cash, securities or other property which the Common Stock was converted into or exchanged for pursuant to such Reorganization Event in the same manner and to the same extent as they applied to such Award of Restricted Stock.</w:t>
      </w:r>
    </w:p>
    <w:p>
      <w:pPr>
        <w:spacing w:after="0" w:line="71" w:lineRule="exact"/>
        <w:rPr>
          <w:rFonts w:ascii="Arial" w:cs="Arial" w:eastAsia="Arial" w:hAnsi="Arial"/>
          <w:sz w:val="18"/>
          <w:szCs w:val="18"/>
          <w:color w:val="auto"/>
        </w:rPr>
      </w:pPr>
    </w:p>
    <w:p>
      <w:pPr>
        <w:ind w:firstLine="1498"/>
        <w:spacing w:after="0" w:line="253" w:lineRule="auto"/>
        <w:tabs>
          <w:tab w:leader="none" w:pos="1987" w:val="left"/>
        </w:tabs>
        <w:numPr>
          <w:ilvl w:val="3"/>
          <w:numId w:val="208"/>
        </w:numPr>
        <w:rPr>
          <w:rFonts w:ascii="Arial" w:cs="Arial" w:eastAsia="Arial" w:hAnsi="Arial"/>
          <w:sz w:val="18"/>
          <w:szCs w:val="18"/>
          <w:color w:val="auto"/>
        </w:rPr>
      </w:pPr>
      <w:r>
        <w:rPr>
          <w:rFonts w:ascii="Arial" w:cs="Arial" w:eastAsia="Arial" w:hAnsi="Arial"/>
          <w:sz w:val="18"/>
          <w:szCs w:val="18"/>
          <w:u w:val="single" w:color="auto"/>
          <w:color w:val="auto"/>
        </w:rPr>
        <w:t>Change in Control Event</w:t>
      </w:r>
      <w:r>
        <w:rPr>
          <w:rFonts w:ascii="Arial" w:cs="Arial" w:eastAsia="Arial" w:hAnsi="Arial"/>
          <w:sz w:val="18"/>
          <w:szCs w:val="18"/>
          <w:color w:val="auto"/>
        </w:rPr>
        <w:t>. Upon the occurrence of a Change in Control Event (regardless of whether such event also constitutes a Reorganization Event), except to the extent specifically provided to the contrary in the instrument evidencing any Award of Restricted Stock or any other agreement between a Participant and the Company, and notwithstanding anything to the contrary in the Plan, the vesting schedule of all Awards of Restricted Stock shall be accelerated in part so that one-half of the number of shares that would otherwise have first become free from conditions or restrictions on any date after the date of the Change in Control Event shall immediately become free from conditions or restrictions. Subject to the following sentence, the remaining one-half of such number of shares shall continue to become free from conditions or restrictions in accordance with the original schedule set forth in such Award, with one-half of the number of shares that would otherwise have become free from conditions or restrictions on each subsequent vesting date in accordance with the original schedule becoming free from conditions or restrictions on each subsequent vesting date. In addition, each such Award shall immediately become free from all conditions or restrictions if, on or prior to the first anniversary of the date of the consummation of the Change in Control Event, the Participant’s employment with the Company or the acquiring or succeeding corporation is terminated for Good Reason by the Participant or is terminated without Cause by the Company or the acquiring or succeeding corporation.</w:t>
      </w:r>
    </w:p>
    <w:p>
      <w:pPr>
        <w:spacing w:after="0" w:line="81" w:lineRule="exact"/>
        <w:rPr>
          <w:rFonts w:ascii="Arial" w:cs="Arial" w:eastAsia="Arial" w:hAnsi="Arial"/>
          <w:sz w:val="18"/>
          <w:szCs w:val="18"/>
          <w:color w:val="auto"/>
        </w:rPr>
      </w:pPr>
    </w:p>
    <w:p>
      <w:pPr>
        <w:ind w:left="360" w:hanging="352"/>
        <w:spacing w:after="0"/>
        <w:tabs>
          <w:tab w:leader="none" w:pos="360" w:val="left"/>
        </w:tabs>
        <w:numPr>
          <w:ilvl w:val="0"/>
          <w:numId w:val="209"/>
        </w:numPr>
        <w:rPr>
          <w:rFonts w:ascii="Arial" w:cs="Arial" w:eastAsia="Arial" w:hAnsi="Arial"/>
          <w:sz w:val="18"/>
          <w:szCs w:val="18"/>
          <w:color w:val="auto"/>
        </w:rPr>
      </w:pPr>
      <w:r>
        <w:rPr>
          <w:rFonts w:ascii="Arial" w:cs="Arial" w:eastAsia="Arial" w:hAnsi="Arial"/>
          <w:sz w:val="18"/>
          <w:szCs w:val="18"/>
          <w:u w:val="single" w:color="auto"/>
          <w:color w:val="auto"/>
        </w:rPr>
        <w:t>General Provisions Applicable to Awards</w:t>
      </w:r>
    </w:p>
    <w:p>
      <w:pPr>
        <w:spacing w:after="0" w:line="117" w:lineRule="exact"/>
        <w:rPr>
          <w:rFonts w:ascii="Arial" w:cs="Arial" w:eastAsia="Arial" w:hAnsi="Arial"/>
          <w:sz w:val="18"/>
          <w:szCs w:val="18"/>
          <w:color w:val="auto"/>
        </w:rPr>
      </w:pPr>
    </w:p>
    <w:p>
      <w:pPr>
        <w:ind w:right="20" w:firstLine="332"/>
        <w:spacing w:after="0" w:line="259" w:lineRule="auto"/>
        <w:tabs>
          <w:tab w:leader="none" w:pos="679" w:val="left"/>
        </w:tabs>
        <w:numPr>
          <w:ilvl w:val="1"/>
          <w:numId w:val="209"/>
        </w:numPr>
        <w:rPr>
          <w:rFonts w:ascii="Arial" w:cs="Arial" w:eastAsia="Arial" w:hAnsi="Arial"/>
          <w:sz w:val="18"/>
          <w:szCs w:val="18"/>
          <w:color w:val="auto"/>
        </w:rPr>
      </w:pPr>
      <w:r>
        <w:rPr>
          <w:rFonts w:ascii="Arial" w:cs="Arial" w:eastAsia="Arial" w:hAnsi="Arial"/>
          <w:sz w:val="18"/>
          <w:szCs w:val="18"/>
          <w:u w:val="single" w:color="auto"/>
          <w:color w:val="auto"/>
        </w:rPr>
        <w:t>Transferability of Awards</w:t>
      </w:r>
      <w:r>
        <w:rPr>
          <w:rFonts w:ascii="Arial" w:cs="Arial" w:eastAsia="Arial" w:hAnsi="Arial"/>
          <w:sz w:val="18"/>
          <w:szCs w:val="18"/>
          <w:color w:val="auto"/>
        </w:rPr>
        <w:t xml:space="preserve">. Awards shall not be sold, assigned, transferred, pledged or otherwise encumbered by a Participant, either voluntarily or by operation of law, except by will or the laws of descent and distribution or, other than in the case of an Incentive Stock Option, pursuant to a qualified domestic relations order, and, during the life of the Participant, shall be exercisable only by the Participant;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that, except with respect to Awards subject to Section 409A, the Board may permit or provide in an Award for the gratuitous</w:t>
      </w:r>
      <w:r>
        <w:rPr>
          <w:rFonts w:ascii="Arial" w:cs="Arial" w:eastAsia="Arial" w:hAnsi="Arial"/>
          <w:sz w:val="18"/>
          <w:szCs w:val="18"/>
          <w:i w:val="1"/>
          <w:iCs w:val="1"/>
          <w:color w:val="auto"/>
        </w:rPr>
        <w:t xml:space="preserve"> </w:t>
      </w:r>
      <w:r>
        <w:rPr>
          <w:rFonts w:ascii="Arial" w:cs="Arial" w:eastAsia="Arial" w:hAnsi="Arial"/>
          <w:sz w:val="18"/>
          <w:szCs w:val="18"/>
          <w:color w:val="auto"/>
        </w:rPr>
        <w:t>transfer of the Award by</w:t>
      </w:r>
    </w:p>
    <w:p>
      <w:pPr>
        <w:sectPr>
          <w:pgSz w:w="11900" w:h="16838" w:orient="portrait"/>
          <w:cols w:equalWidth="0" w:num="1">
            <w:col w:w="11220"/>
          </w:cols>
          <w:pgMar w:left="320" w:top="1066" w:right="359" w:bottom="1440" w:gutter="0" w:footer="0" w:header="0"/>
        </w:sectPr>
      </w:pPr>
    </w:p>
    <w:p>
      <w:pPr>
        <w:spacing w:after="0" w:line="200" w:lineRule="exact"/>
        <w:rPr>
          <w:sz w:val="20"/>
          <w:szCs w:val="20"/>
          <w:color w:val="auto"/>
        </w:rPr>
      </w:pPr>
    </w:p>
    <w:p>
      <w:pPr>
        <w:spacing w:after="0" w:line="244" w:lineRule="exact"/>
        <w:rPr>
          <w:sz w:val="20"/>
          <w:szCs w:val="20"/>
          <w:color w:val="auto"/>
        </w:rPr>
      </w:pPr>
    </w:p>
    <w:p>
      <w:pPr>
        <w:ind w:left="20"/>
        <w:spacing w:after="0"/>
        <w:tabs>
          <w:tab w:leader="none" w:pos="620" w:val="left"/>
        </w:tabs>
        <w:rPr>
          <w:sz w:val="20"/>
          <w:szCs w:val="20"/>
          <w:color w:val="auto"/>
        </w:rPr>
      </w:pPr>
      <w:r>
        <w:rPr>
          <w:rFonts w:ascii="Arial" w:cs="Arial" w:eastAsia="Arial" w:hAnsi="Arial"/>
          <w:sz w:val="20"/>
          <w:szCs w:val="20"/>
          <w:b w:val="1"/>
          <w:bCs w:val="1"/>
          <w:color w:val="auto"/>
        </w:rPr>
        <w:t>A-8</w:t>
      </w:r>
      <w:r>
        <w:rPr>
          <w:sz w:val="20"/>
          <w:szCs w:val="20"/>
          <w:color w:val="auto"/>
        </w:rPr>
        <w:tab/>
      </w:r>
      <w:r>
        <w:rPr>
          <w:rFonts w:ascii="Arial" w:cs="Arial" w:eastAsia="Arial" w:hAnsi="Arial"/>
          <w:sz w:val="16"/>
          <w:szCs w:val="16"/>
          <w:color w:val="6D6E71"/>
        </w:rPr>
        <w:t>Appendix A: Amended and Restated Analog Devices, Inc. 2020 Equity Incentive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66" w:right="359" w:bottom="1440" w:gutter="0" w:footer="0" w:header="0"/>
          <w:type w:val="continuous"/>
        </w:sectPr>
      </w:pPr>
    </w:p>
    <w:bookmarkStart w:id="114" w:name="page115"/>
    <w:bookmarkEnd w:id="114"/>
    <w:p>
      <w:pPr>
        <w:ind w:right="20"/>
        <w:spacing w:after="0" w:line="255" w:lineRule="auto"/>
        <w:rPr>
          <w:sz w:val="20"/>
          <w:szCs w:val="20"/>
          <w:color w:val="auto"/>
        </w:rPr>
      </w:pPr>
      <w:r>
        <w:rPr>
          <w:rFonts w:ascii="Arial" w:cs="Arial" w:eastAsia="Arial" w:hAnsi="Arial"/>
          <w:sz w:val="18"/>
          <w:szCs w:val="18"/>
          <w:color w:val="auto"/>
        </w:rPr>
        <w:t xml:space="preserve">the Participant to or for the benefit of any immediate family member, family trust or other entity established for the benefit of the Participant and/or an immediate family member thereof if the Company would be eligible to use a Form S-8 under the Securities Act for the registration of the sale of the Common Stock subject to such Award to such proposed transferee; </w:t>
      </w:r>
      <w:r>
        <w:rPr>
          <w:rFonts w:ascii="Arial" w:cs="Arial" w:eastAsia="Arial" w:hAnsi="Arial"/>
          <w:sz w:val="18"/>
          <w:szCs w:val="18"/>
          <w:i w:val="1"/>
          <w:iCs w:val="1"/>
          <w:color w:val="auto"/>
        </w:rPr>
        <w:t>provided further</w:t>
      </w:r>
      <w:r>
        <w:rPr>
          <w:rFonts w:ascii="Arial" w:cs="Arial" w:eastAsia="Arial" w:hAnsi="Arial"/>
          <w:sz w:val="18"/>
          <w:szCs w:val="18"/>
          <w:color w:val="auto"/>
        </w:rPr>
        <w:t>, that the Company shall not be required to recognize any such permitted transfer until such time as such permitted transferee shall, as a condition to such transfer, deliver to the Company a written instrument in form and substance satisfactory to the Company confirming that such transferee shall be bound by all of the terms and conditions of the Award. References to a Participant, to the extent relevant in the context, shall include references to authorized transferees. For the avoidance of doubt, nothing contained in this Section 11(a) shall be deemed to restrict a transfer to the Company.</w:t>
      </w:r>
    </w:p>
    <w:p>
      <w:pPr>
        <w:spacing w:after="0" w:line="77" w:lineRule="exact"/>
        <w:rPr>
          <w:sz w:val="20"/>
          <w:szCs w:val="20"/>
          <w:color w:val="auto"/>
        </w:rPr>
      </w:pPr>
    </w:p>
    <w:p>
      <w:pPr>
        <w:ind w:firstLine="332"/>
        <w:spacing w:after="0" w:line="268" w:lineRule="auto"/>
        <w:tabs>
          <w:tab w:leader="none" w:pos="679" w:val="left"/>
        </w:tabs>
        <w:numPr>
          <w:ilvl w:val="1"/>
          <w:numId w:val="210"/>
        </w:numPr>
        <w:rPr>
          <w:rFonts w:ascii="Arial" w:cs="Arial" w:eastAsia="Arial" w:hAnsi="Arial"/>
          <w:sz w:val="18"/>
          <w:szCs w:val="18"/>
          <w:color w:val="auto"/>
        </w:rPr>
      </w:pPr>
      <w:r>
        <w:rPr>
          <w:rFonts w:ascii="Arial" w:cs="Arial" w:eastAsia="Arial" w:hAnsi="Arial"/>
          <w:sz w:val="18"/>
          <w:szCs w:val="18"/>
          <w:u w:val="single" w:color="auto"/>
          <w:color w:val="auto"/>
        </w:rPr>
        <w:t>Documentation</w:t>
      </w:r>
      <w:r>
        <w:rPr>
          <w:rFonts w:ascii="Arial" w:cs="Arial" w:eastAsia="Arial" w:hAnsi="Arial"/>
          <w:sz w:val="18"/>
          <w:szCs w:val="18"/>
          <w:color w:val="auto"/>
        </w:rPr>
        <w:t>. Each Award shall be evidenced in such form (written, electronic or otherwise) as the Board shall determine. Each Award may contain terms and conditions in addition to those set forth in the Plan. In the event of any conflict between the terms of any Award agreement and this Plan, this Plan shall govern and control.</w:t>
      </w:r>
    </w:p>
    <w:p>
      <w:pPr>
        <w:spacing w:after="0" w:line="62" w:lineRule="exact"/>
        <w:rPr>
          <w:rFonts w:ascii="Arial" w:cs="Arial" w:eastAsia="Arial" w:hAnsi="Arial"/>
          <w:sz w:val="18"/>
          <w:szCs w:val="18"/>
          <w:color w:val="auto"/>
        </w:rPr>
      </w:pPr>
    </w:p>
    <w:p>
      <w:pPr>
        <w:ind w:firstLine="332"/>
        <w:spacing w:after="0" w:line="262" w:lineRule="auto"/>
        <w:tabs>
          <w:tab w:leader="none" w:pos="682" w:val="left"/>
        </w:tabs>
        <w:numPr>
          <w:ilvl w:val="1"/>
          <w:numId w:val="210"/>
        </w:numPr>
        <w:rPr>
          <w:rFonts w:ascii="Arial" w:cs="Arial" w:eastAsia="Arial" w:hAnsi="Arial"/>
          <w:sz w:val="18"/>
          <w:szCs w:val="18"/>
          <w:color w:val="auto"/>
        </w:rPr>
      </w:pPr>
      <w:r>
        <w:rPr>
          <w:rFonts w:ascii="Arial" w:cs="Arial" w:eastAsia="Arial" w:hAnsi="Arial"/>
          <w:sz w:val="18"/>
          <w:szCs w:val="18"/>
          <w:u w:val="single" w:color="auto"/>
          <w:color w:val="auto"/>
        </w:rPr>
        <w:t>Termination of Status</w:t>
      </w:r>
      <w:r>
        <w:rPr>
          <w:rFonts w:ascii="Arial" w:cs="Arial" w:eastAsia="Arial" w:hAnsi="Arial"/>
          <w:sz w:val="18"/>
          <w:szCs w:val="18"/>
          <w:color w:val="auto"/>
        </w:rPr>
        <w:t>. The Board shall determine the effect on an Award of the disability, death, termination or other cessation of employment, authorized leave of absence or other change in the employment or other status of a Participant and the extent to which, and the period during which, the Participant, or the Participant’s legal representative, conservator, guardian or Designated Beneficiary, may exercise rights, or receive any benefits, under an Award.</w:t>
      </w:r>
    </w:p>
    <w:p>
      <w:pPr>
        <w:spacing w:after="0" w:line="68" w:lineRule="exact"/>
        <w:rPr>
          <w:rFonts w:ascii="Arial" w:cs="Arial" w:eastAsia="Arial" w:hAnsi="Arial"/>
          <w:sz w:val="18"/>
          <w:szCs w:val="18"/>
          <w:color w:val="auto"/>
        </w:rPr>
      </w:pPr>
    </w:p>
    <w:p>
      <w:pPr>
        <w:ind w:right="20" w:firstLine="332"/>
        <w:spacing w:after="0" w:line="252" w:lineRule="auto"/>
        <w:tabs>
          <w:tab w:leader="none" w:pos="679" w:val="left"/>
        </w:tabs>
        <w:numPr>
          <w:ilvl w:val="1"/>
          <w:numId w:val="210"/>
        </w:numPr>
        <w:rPr>
          <w:rFonts w:ascii="Arial" w:cs="Arial" w:eastAsia="Arial" w:hAnsi="Arial"/>
          <w:sz w:val="18"/>
          <w:szCs w:val="18"/>
          <w:color w:val="auto"/>
        </w:rPr>
      </w:pPr>
      <w:r>
        <w:rPr>
          <w:rFonts w:ascii="Arial" w:cs="Arial" w:eastAsia="Arial" w:hAnsi="Arial"/>
          <w:sz w:val="18"/>
          <w:szCs w:val="18"/>
          <w:u w:val="single" w:color="auto"/>
          <w:color w:val="auto"/>
        </w:rPr>
        <w:t>Withholding</w:t>
      </w:r>
      <w:r>
        <w:rPr>
          <w:rFonts w:ascii="Arial" w:cs="Arial" w:eastAsia="Arial" w:hAnsi="Arial"/>
          <w:sz w:val="18"/>
          <w:szCs w:val="18"/>
          <w:color w:val="auto"/>
        </w:rPr>
        <w:t xml:space="preserve">. The Participant must satisfy all applicable U.S. or non-U.S. federal, state, and local or other income and employment tax withholding obligations before the Company will deliver shares or otherwise recognize ownership of Common Stock under an Award. The Company may elect to satisfy the withholding obligations through additional withholding on salary or wages. If the Company elects not to or cannot withhold from other compensation, the Participant must pay the Company the full amount, if any, required for withholding or have a broker tender to the Company cash equal to the withholding obligations. Payment of withholding obligations is due before the Company will issue any shares on exercise, vesting or release from forfeiture of an Award or at the same time as payment of the exercise or purchase price, unless the Company determines otherwise. If provided for in an Award or approved by the Board, a Participant may satisfy the tax obligations in whole or in part by delivery (either by actual delivery or attestation) of shares of Common Stock, including shares retained from the Award creating the tax obligation, valued at their fair market value (valued in the manner determined by (or in a manner approved by) the Company);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except as otherwise provided by the Board, that the total tax withholding where stock is being used to satisfy such tax obligations cannot exceed the Company’s minimum statutory withholding obligations (based on minimum statutory withholding rates for U.S. federal and state tax purposes, including payroll taxes, that are applicable to such supplemental taxable income for U.S. taxpayers), except that, to the extent that the Company is able to retain shares of Common Stock having a fair market value (determined by, or in a manner approved by, the Company) that exceeds the statutory minimum applicable withholding tax without financial accounting implications or the Company is withholding in a jurisdiction that does not have a statutory minimum withholding tax, the Company may retain such number of shares of Common Stock (up to the number of shares having a fair market value equal to the maximum individual statutory rate of tax (determined by, or in a manner approved by, the Company)) as the Company shall determine in its sole discretion to satisfy the tax liability associated with any Award. Shares used to satisfy tax withholding requirements cannot be subject to any repurchase, forfeiture, unfulfilled vesting or other similar requirements.</w:t>
      </w:r>
    </w:p>
    <w:p>
      <w:pPr>
        <w:spacing w:after="0" w:line="82" w:lineRule="exact"/>
        <w:rPr>
          <w:rFonts w:ascii="Arial" w:cs="Arial" w:eastAsia="Arial" w:hAnsi="Arial"/>
          <w:sz w:val="18"/>
          <w:szCs w:val="18"/>
          <w:color w:val="auto"/>
        </w:rPr>
      </w:pPr>
    </w:p>
    <w:p>
      <w:pPr>
        <w:ind w:firstLine="332"/>
        <w:spacing w:after="0" w:line="257" w:lineRule="auto"/>
        <w:tabs>
          <w:tab w:leader="none" w:pos="679" w:val="left"/>
        </w:tabs>
        <w:numPr>
          <w:ilvl w:val="1"/>
          <w:numId w:val="210"/>
        </w:numPr>
        <w:rPr>
          <w:rFonts w:ascii="Arial" w:cs="Arial" w:eastAsia="Arial" w:hAnsi="Arial"/>
          <w:sz w:val="18"/>
          <w:szCs w:val="18"/>
          <w:color w:val="auto"/>
        </w:rPr>
      </w:pPr>
      <w:r>
        <w:rPr>
          <w:rFonts w:ascii="Arial" w:cs="Arial" w:eastAsia="Arial" w:hAnsi="Arial"/>
          <w:sz w:val="18"/>
          <w:szCs w:val="18"/>
          <w:u w:val="single" w:color="auto"/>
          <w:color w:val="auto"/>
        </w:rPr>
        <w:t>Amendment of Award</w:t>
      </w:r>
      <w:r>
        <w:rPr>
          <w:rFonts w:ascii="Arial" w:cs="Arial" w:eastAsia="Arial" w:hAnsi="Arial"/>
          <w:sz w:val="18"/>
          <w:szCs w:val="18"/>
          <w:color w:val="auto"/>
        </w:rPr>
        <w:t>. Except as otherwise provided in Sections 5(g) and 6(e) related to repricings, the Board may amend, modify or terminate any outstanding Award, including but not limited to, substituting therefor another Award of the same or a different type, changing the date of exercise or realization, and converting an Incentive Stock Option to a Nonstatutory Stock Option. The Participant’s consent to such action shall be required unless (i) the Board determines that the action, taking into account any related action, does not materially and adversely affect the Participant’s rights under the Plan or (ii) the change is permitted under Section 10 or is required to facilitate compliance with applicable law.</w:t>
      </w:r>
    </w:p>
    <w:p>
      <w:pPr>
        <w:spacing w:after="0" w:line="74" w:lineRule="exact"/>
        <w:rPr>
          <w:rFonts w:ascii="Arial" w:cs="Arial" w:eastAsia="Arial" w:hAnsi="Arial"/>
          <w:sz w:val="18"/>
          <w:szCs w:val="18"/>
          <w:color w:val="auto"/>
        </w:rPr>
      </w:pPr>
    </w:p>
    <w:p>
      <w:pPr>
        <w:ind w:right="40" w:firstLine="332"/>
        <w:spacing w:after="0" w:line="255" w:lineRule="auto"/>
        <w:tabs>
          <w:tab w:leader="none" w:pos="669" w:val="left"/>
        </w:tabs>
        <w:numPr>
          <w:ilvl w:val="1"/>
          <w:numId w:val="210"/>
        </w:numPr>
        <w:rPr>
          <w:rFonts w:ascii="Arial" w:cs="Arial" w:eastAsia="Arial" w:hAnsi="Arial"/>
          <w:sz w:val="18"/>
          <w:szCs w:val="18"/>
          <w:color w:val="auto"/>
        </w:rPr>
      </w:pPr>
      <w:r>
        <w:rPr>
          <w:rFonts w:ascii="Arial" w:cs="Arial" w:eastAsia="Arial" w:hAnsi="Arial"/>
          <w:sz w:val="18"/>
          <w:szCs w:val="18"/>
          <w:u w:val="single" w:color="auto"/>
          <w:color w:val="auto"/>
        </w:rPr>
        <w:t>Conditions on Delivery of Stock; Form of Delivery</w:t>
      </w:r>
      <w:r>
        <w:rPr>
          <w:rFonts w:ascii="Arial" w:cs="Arial" w:eastAsia="Arial" w:hAnsi="Arial"/>
          <w:sz w:val="18"/>
          <w:szCs w:val="18"/>
          <w:color w:val="auto"/>
        </w:rPr>
        <w:t>. The Company will not be obligated to deliver any shares of Common Stock pursuant to the Plan or to remove restrictions from shares previously issued or delivered under the Plan until (i) all conditions of the Award have been met or removed to the satisfaction of the Company, (ii) in the opinion of the Company’s counsel, all other legal matters in connection with the issuance and delivery of such shares have been satisfied, including any applicable securities laws and regulations and any applicable stock exchange or stock market rules and regulations, and (iii) the Participant has executed and delivered to the Company such representations or agreements as the Company may consider appropriate to satisfy the requirements of any applicable laws, rules or regulations. The form of delivery of any shares of Common Stock (e.g., a stock certificate or electronic or bookkeeping entry evidencing such shares) shall be determined by the Company in its discretion.</w:t>
      </w:r>
    </w:p>
    <w:p>
      <w:pPr>
        <w:spacing w:after="0" w:line="76" w:lineRule="exact"/>
        <w:rPr>
          <w:rFonts w:ascii="Arial" w:cs="Arial" w:eastAsia="Arial" w:hAnsi="Arial"/>
          <w:sz w:val="18"/>
          <w:szCs w:val="18"/>
          <w:color w:val="auto"/>
        </w:rPr>
      </w:pPr>
    </w:p>
    <w:p>
      <w:pPr>
        <w:ind w:right="20" w:firstLine="332"/>
        <w:spacing w:after="0" w:line="287" w:lineRule="auto"/>
        <w:tabs>
          <w:tab w:leader="none" w:pos="679" w:val="left"/>
        </w:tabs>
        <w:numPr>
          <w:ilvl w:val="1"/>
          <w:numId w:val="210"/>
        </w:numPr>
        <w:rPr>
          <w:rFonts w:ascii="Arial" w:cs="Arial" w:eastAsia="Arial" w:hAnsi="Arial"/>
          <w:sz w:val="18"/>
          <w:szCs w:val="18"/>
          <w:color w:val="auto"/>
        </w:rPr>
      </w:pPr>
      <w:r>
        <w:rPr>
          <w:rFonts w:ascii="Arial" w:cs="Arial" w:eastAsia="Arial" w:hAnsi="Arial"/>
          <w:sz w:val="18"/>
          <w:szCs w:val="18"/>
          <w:u w:val="single" w:color="auto"/>
          <w:color w:val="auto"/>
        </w:rPr>
        <w:t>Acceleration</w:t>
      </w:r>
      <w:r>
        <w:rPr>
          <w:rFonts w:ascii="Arial" w:cs="Arial" w:eastAsia="Arial" w:hAnsi="Arial"/>
          <w:sz w:val="18"/>
          <w:szCs w:val="18"/>
          <w:color w:val="auto"/>
        </w:rPr>
        <w:t>. The Board may at any time provide that any Award shall become immediately exercisable in whole or in part, free from some or all restrictions or conditions or otherwise realizable in whole or in part, as the case may be.</w:t>
      </w:r>
    </w:p>
    <w:p>
      <w:pPr>
        <w:spacing w:after="0" w:line="44" w:lineRule="exact"/>
        <w:rPr>
          <w:rFonts w:ascii="Arial" w:cs="Arial" w:eastAsia="Arial" w:hAnsi="Arial"/>
          <w:sz w:val="18"/>
          <w:szCs w:val="18"/>
          <w:color w:val="auto"/>
        </w:rPr>
      </w:pPr>
    </w:p>
    <w:p>
      <w:pPr>
        <w:ind w:left="360" w:hanging="352"/>
        <w:spacing w:after="0"/>
        <w:tabs>
          <w:tab w:leader="none" w:pos="360" w:val="left"/>
        </w:tabs>
        <w:numPr>
          <w:ilvl w:val="0"/>
          <w:numId w:val="211"/>
        </w:numPr>
        <w:rPr>
          <w:rFonts w:ascii="Arial" w:cs="Arial" w:eastAsia="Arial" w:hAnsi="Arial"/>
          <w:sz w:val="18"/>
          <w:szCs w:val="18"/>
          <w:color w:val="auto"/>
        </w:rPr>
      </w:pPr>
      <w:r>
        <w:rPr>
          <w:rFonts w:ascii="Arial" w:cs="Arial" w:eastAsia="Arial" w:hAnsi="Arial"/>
          <w:sz w:val="18"/>
          <w:szCs w:val="18"/>
          <w:u w:val="single" w:color="auto"/>
          <w:color w:val="auto"/>
        </w:rPr>
        <w:t>Miscellaneous</w:t>
      </w:r>
    </w:p>
    <w:p>
      <w:pPr>
        <w:spacing w:after="0" w:line="117" w:lineRule="exact"/>
        <w:rPr>
          <w:rFonts w:ascii="Arial" w:cs="Arial" w:eastAsia="Arial" w:hAnsi="Arial"/>
          <w:sz w:val="18"/>
          <w:szCs w:val="18"/>
          <w:color w:val="auto"/>
        </w:rPr>
      </w:pPr>
    </w:p>
    <w:p>
      <w:pPr>
        <w:ind w:firstLine="332"/>
        <w:spacing w:after="0" w:line="262" w:lineRule="auto"/>
        <w:tabs>
          <w:tab w:leader="none" w:pos="679" w:val="left"/>
        </w:tabs>
        <w:numPr>
          <w:ilvl w:val="1"/>
          <w:numId w:val="211"/>
        </w:numPr>
        <w:rPr>
          <w:rFonts w:ascii="Arial" w:cs="Arial" w:eastAsia="Arial" w:hAnsi="Arial"/>
          <w:sz w:val="18"/>
          <w:szCs w:val="18"/>
          <w:color w:val="auto"/>
        </w:rPr>
      </w:pPr>
      <w:r>
        <w:rPr>
          <w:rFonts w:ascii="Arial" w:cs="Arial" w:eastAsia="Arial" w:hAnsi="Arial"/>
          <w:sz w:val="18"/>
          <w:szCs w:val="18"/>
          <w:u w:val="single" w:color="auto"/>
          <w:color w:val="auto"/>
        </w:rPr>
        <w:t>No Right To Employment or Other Status</w:t>
      </w:r>
      <w:r>
        <w:rPr>
          <w:rFonts w:ascii="Arial" w:cs="Arial" w:eastAsia="Arial" w:hAnsi="Arial"/>
          <w:sz w:val="18"/>
          <w:szCs w:val="18"/>
          <w:color w:val="auto"/>
        </w:rPr>
        <w:t>. No person shall have any claim or right to be granted an Award by virtue of the adoption of the Plan, and the grant of an Award shall not be construed as giving a Participant the right to continued employment or any other relationship with the Company. The Company expressly reserves the right at any time to dismiss or otherwise terminate its relationship with a Participant free from any liability or claim under the Plan, except as expressly provided in the applicable Award.</w:t>
      </w:r>
    </w:p>
    <w:p>
      <w:pPr>
        <w:sectPr>
          <w:pgSz w:w="11900" w:h="16838" w:orient="portrait"/>
          <w:cols w:equalWidth="0" w:num="1">
            <w:col w:w="11220"/>
          </w:cols>
          <w:pgMar w:left="320" w:top="1066" w:right="359" w:bottom="1440" w:gutter="0" w:footer="0" w:header="0"/>
        </w:sectPr>
      </w:pPr>
    </w:p>
    <w:p>
      <w:pPr>
        <w:spacing w:after="0" w:line="200" w:lineRule="exact"/>
        <w:rPr>
          <w:sz w:val="20"/>
          <w:szCs w:val="20"/>
          <w:color w:val="auto"/>
        </w:rPr>
      </w:pPr>
    </w:p>
    <w:p>
      <w:pPr>
        <w:spacing w:after="0" w:line="241" w:lineRule="exact"/>
        <w:rPr>
          <w:sz w:val="20"/>
          <w:szCs w:val="20"/>
          <w:color w:val="auto"/>
        </w:rPr>
      </w:pPr>
    </w:p>
    <w:p>
      <w:pPr>
        <w:ind w:left="8980"/>
        <w:spacing w:after="0"/>
        <w:tabs>
          <w:tab w:leader="none" w:pos="10880" w:val="left"/>
        </w:tabs>
        <w:rPr>
          <w:sz w:val="20"/>
          <w:szCs w:val="20"/>
          <w:color w:val="auto"/>
        </w:rPr>
      </w:pPr>
      <w:r>
        <w:rPr>
          <w:rFonts w:ascii="Arial" w:cs="Arial" w:eastAsia="Arial" w:hAnsi="Arial"/>
          <w:sz w:val="16"/>
          <w:szCs w:val="16"/>
          <w:color w:val="0067B3"/>
        </w:rPr>
        <w:t>2026 Proxy Statement</w:t>
      </w:r>
      <w:r>
        <w:rPr>
          <w:sz w:val="20"/>
          <w:szCs w:val="20"/>
          <w:color w:val="auto"/>
        </w:rPr>
        <w:tab/>
      </w:r>
      <w:r>
        <w:rPr>
          <w:rFonts w:ascii="Arial" w:cs="Arial" w:eastAsia="Arial" w:hAnsi="Arial"/>
          <w:sz w:val="19"/>
          <w:szCs w:val="19"/>
          <w:b w:val="1"/>
          <w:bCs w:val="1"/>
          <w:color w:val="auto"/>
        </w:rPr>
        <w:t>A-9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232410</wp:posOffset>
            </wp:positionV>
            <wp:extent cx="7157720" cy="42545"/>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66" w:right="359" w:bottom="1440" w:gutter="0" w:footer="0" w:header="0"/>
          <w:type w:val="continuous"/>
        </w:sectPr>
      </w:pPr>
    </w:p>
    <w:bookmarkStart w:id="115" w:name="page116"/>
    <w:bookmarkEnd w:id="115"/>
    <w:p>
      <w:pPr>
        <w:ind w:right="60" w:firstLine="332"/>
        <w:spacing w:after="0" w:line="262" w:lineRule="auto"/>
        <w:tabs>
          <w:tab w:leader="none" w:pos="679" w:val="left"/>
        </w:tabs>
        <w:numPr>
          <w:ilvl w:val="1"/>
          <w:numId w:val="212"/>
        </w:numPr>
        <w:rPr>
          <w:rFonts w:ascii="Arial" w:cs="Arial" w:eastAsia="Arial" w:hAnsi="Arial"/>
          <w:sz w:val="18"/>
          <w:szCs w:val="18"/>
          <w:color w:val="auto"/>
        </w:rPr>
      </w:pPr>
      <w:r>
        <w:rPr>
          <w:rFonts w:ascii="Arial" w:cs="Arial" w:eastAsia="Arial" w:hAnsi="Arial"/>
          <w:sz w:val="18"/>
          <w:szCs w:val="18"/>
          <w:u w:val="single" w:color="auto"/>
          <w:color w:val="auto"/>
        </w:rPr>
        <w:t>No Rights As Stockholder; Clawback</w:t>
      </w:r>
      <w:r>
        <w:rPr>
          <w:rFonts w:ascii="Arial" w:cs="Arial" w:eastAsia="Arial" w:hAnsi="Arial"/>
          <w:sz w:val="18"/>
          <w:szCs w:val="18"/>
          <w:color w:val="auto"/>
        </w:rPr>
        <w:t>. Subject to the provisions of the applicable Award, no Participant or Designated Beneficiary shall have any rights as a stockholder with respect to any shares of Common Stock to be issued with respect to an Award until becoming the record holder of such shares. In accepting an Award under the Plan, the Participant agrees to be bound by any clawback policy that the Company has in effect or may adopt in the future.</w:t>
      </w:r>
    </w:p>
    <w:p>
      <w:pPr>
        <w:spacing w:after="0" w:line="68" w:lineRule="exact"/>
        <w:rPr>
          <w:rFonts w:ascii="Arial" w:cs="Arial" w:eastAsia="Arial" w:hAnsi="Arial"/>
          <w:sz w:val="18"/>
          <w:szCs w:val="18"/>
          <w:color w:val="auto"/>
        </w:rPr>
      </w:pPr>
    </w:p>
    <w:p>
      <w:pPr>
        <w:ind w:right="240" w:firstLine="332"/>
        <w:spacing w:after="0" w:line="268" w:lineRule="auto"/>
        <w:tabs>
          <w:tab w:leader="none" w:pos="682" w:val="left"/>
        </w:tabs>
        <w:numPr>
          <w:ilvl w:val="1"/>
          <w:numId w:val="212"/>
        </w:numPr>
        <w:rPr>
          <w:rFonts w:ascii="Arial" w:cs="Arial" w:eastAsia="Arial" w:hAnsi="Arial"/>
          <w:sz w:val="18"/>
          <w:szCs w:val="18"/>
          <w:color w:val="auto"/>
        </w:rPr>
      </w:pPr>
      <w:r>
        <w:rPr>
          <w:rFonts w:ascii="Arial" w:cs="Arial" w:eastAsia="Arial" w:hAnsi="Arial"/>
          <w:sz w:val="18"/>
          <w:szCs w:val="18"/>
          <w:u w:val="single" w:color="auto"/>
          <w:color w:val="auto"/>
        </w:rPr>
        <w:t>Original Effective Date and Term of Plan</w:t>
      </w:r>
      <w:r>
        <w:rPr>
          <w:rFonts w:ascii="Arial" w:cs="Arial" w:eastAsia="Arial" w:hAnsi="Arial"/>
          <w:sz w:val="18"/>
          <w:szCs w:val="18"/>
          <w:color w:val="auto"/>
        </w:rPr>
        <w:t>. The Plan originally became effective on the Original Effective Date. No Awards shall be granted under the Plan after the expiration of 10 years from the Original Effective Date, but Awards previously granted may extend beyond that date.</w:t>
      </w:r>
    </w:p>
    <w:p>
      <w:pPr>
        <w:spacing w:after="0" w:line="62" w:lineRule="exact"/>
        <w:rPr>
          <w:rFonts w:ascii="Arial" w:cs="Arial" w:eastAsia="Arial" w:hAnsi="Arial"/>
          <w:sz w:val="18"/>
          <w:szCs w:val="18"/>
          <w:color w:val="auto"/>
        </w:rPr>
      </w:pPr>
    </w:p>
    <w:p>
      <w:pPr>
        <w:ind w:left="680" w:hanging="348"/>
        <w:spacing w:after="0"/>
        <w:tabs>
          <w:tab w:leader="none" w:pos="680" w:val="left"/>
        </w:tabs>
        <w:numPr>
          <w:ilvl w:val="1"/>
          <w:numId w:val="212"/>
        </w:numPr>
        <w:rPr>
          <w:rFonts w:ascii="Arial" w:cs="Arial" w:eastAsia="Arial" w:hAnsi="Arial"/>
          <w:sz w:val="18"/>
          <w:szCs w:val="18"/>
          <w:color w:val="auto"/>
        </w:rPr>
      </w:pPr>
      <w:r>
        <w:rPr>
          <w:rFonts w:ascii="Arial" w:cs="Arial" w:eastAsia="Arial" w:hAnsi="Arial"/>
          <w:sz w:val="18"/>
          <w:szCs w:val="18"/>
          <w:u w:val="single" w:color="auto"/>
          <w:color w:val="auto"/>
        </w:rPr>
        <w:t>Amendment of Plan</w:t>
      </w:r>
      <w:r>
        <w:rPr>
          <w:rFonts w:ascii="Arial" w:cs="Arial" w:eastAsia="Arial" w:hAnsi="Arial"/>
          <w:sz w:val="18"/>
          <w:szCs w:val="18"/>
          <w:color w:val="auto"/>
        </w:rPr>
        <w:t>. The Board may amend, suspend or terminate the Plan or any portion thereof at any time provided that</w:t>
      </w:r>
    </w:p>
    <w:p>
      <w:pPr>
        <w:spacing w:after="0" w:line="27" w:lineRule="exact"/>
        <w:rPr>
          <w:rFonts w:ascii="Arial" w:cs="Arial" w:eastAsia="Arial" w:hAnsi="Arial"/>
          <w:sz w:val="18"/>
          <w:szCs w:val="18"/>
          <w:color w:val="auto"/>
        </w:rPr>
      </w:pPr>
    </w:p>
    <w:p>
      <w:pPr>
        <w:ind w:left="220" w:hanging="212"/>
        <w:spacing w:after="0"/>
        <w:tabs>
          <w:tab w:leader="none" w:pos="220" w:val="left"/>
        </w:tabs>
        <w:numPr>
          <w:ilvl w:val="0"/>
          <w:numId w:val="213"/>
        </w:numPr>
        <w:rPr>
          <w:rFonts w:ascii="Arial" w:cs="Arial" w:eastAsia="Arial" w:hAnsi="Arial"/>
          <w:sz w:val="17"/>
          <w:szCs w:val="17"/>
          <w:color w:val="auto"/>
        </w:rPr>
      </w:pPr>
      <w:r>
        <w:rPr>
          <w:rFonts w:ascii="Arial" w:cs="Arial" w:eastAsia="Arial" w:hAnsi="Arial"/>
          <w:sz w:val="17"/>
          <w:szCs w:val="17"/>
          <w:color w:val="auto"/>
        </w:rPr>
        <w:t>neither Section 5(g) nor 6(e) requiring stockholder approval of any Option or SAR repricing may be amended without stockholder approval;</w:t>
      </w:r>
    </w:p>
    <w:p>
      <w:pPr>
        <w:spacing w:after="0" w:line="20" w:lineRule="exact"/>
        <w:rPr>
          <w:rFonts w:ascii="Arial" w:cs="Arial" w:eastAsia="Arial" w:hAnsi="Arial"/>
          <w:sz w:val="17"/>
          <w:szCs w:val="17"/>
          <w:color w:val="auto"/>
        </w:rPr>
      </w:pPr>
    </w:p>
    <w:p>
      <w:pPr>
        <w:ind w:right="60" w:firstLine="8"/>
        <w:spacing w:after="0" w:line="251" w:lineRule="auto"/>
        <w:tabs>
          <w:tab w:leader="none" w:pos="250" w:val="left"/>
        </w:tabs>
        <w:numPr>
          <w:ilvl w:val="0"/>
          <w:numId w:val="213"/>
        </w:numPr>
        <w:rPr>
          <w:rFonts w:ascii="Arial" w:cs="Arial" w:eastAsia="Arial" w:hAnsi="Arial"/>
          <w:sz w:val="18"/>
          <w:szCs w:val="18"/>
          <w:color w:val="auto"/>
        </w:rPr>
      </w:pPr>
      <w:r>
        <w:rPr>
          <w:rFonts w:ascii="Arial" w:cs="Arial" w:eastAsia="Arial" w:hAnsi="Arial"/>
          <w:sz w:val="18"/>
          <w:szCs w:val="18"/>
          <w:color w:val="auto"/>
        </w:rPr>
        <w:t>no amendment that would require stockholder approval under the rules of the national securities exchange on which the Company then maintains its primary listing may be made effective unless and until the Company’s stockholders approve such amendment; and (iii) if the national securities exchange on which the Company then maintains its primary listing does not have rules regarding when stockholder approval of amendments to equity compensation plans is required (or if the Company’s Common Stock is not then listed on any national securities exchange), then no amendment to the Plan (A) materially increasing the number of shares authorized under the Plan (other than pursuant to Section 4(c) or 10), (B) expanding the types of Awards that may be granted under the Plan, or (C) materially expanding the class of participants eligible to participate in the Plan shall be effective unless and until the Company’s stockholders approve such amendment. In addition, if at any time the approval of the Company’s stockholders is required as to any other modification or amendment under Section 422 of the Code or any successor provision with respect to Incentive Stock Options, the Board may not effect such modification or amendment without such approval. Unless otherwise specified in the amendment, any amendment to the Plan adopted in accordance with this Section 12(d) shall apply to, and be binding on the holders of, all Awards outstanding under the Plan at the time the amendment is adopted, provided the Board determines that such amendment, taking into account any related action, does not materially and adversely affect the rights of Participants under the Plan or is required to facilitate compliance with applicable law. No Award shall be made that is conditioned upon stockholder approval of any amendment to the Plan unless the Award provides that (i) it will terminate or be forfeited if stockholder approval of such amendment is not obtained within no more than 12 months from the date of grant and (2) it may not be exercised or settled (or otherwise result in the issuance of Common Stock) prior to such stockholder approval.</w:t>
      </w:r>
    </w:p>
    <w:p>
      <w:pPr>
        <w:spacing w:after="0" w:line="82" w:lineRule="exact"/>
        <w:rPr>
          <w:rFonts w:ascii="Arial" w:cs="Arial" w:eastAsia="Arial" w:hAnsi="Arial"/>
          <w:sz w:val="18"/>
          <w:szCs w:val="18"/>
          <w:color w:val="auto"/>
        </w:rPr>
      </w:pPr>
    </w:p>
    <w:p>
      <w:pPr>
        <w:ind w:left="680" w:hanging="348"/>
        <w:spacing w:after="0"/>
        <w:tabs>
          <w:tab w:leader="none" w:pos="680" w:val="left"/>
        </w:tabs>
        <w:numPr>
          <w:ilvl w:val="1"/>
          <w:numId w:val="213"/>
        </w:numPr>
        <w:rPr>
          <w:rFonts w:ascii="Arial" w:cs="Arial" w:eastAsia="Arial" w:hAnsi="Arial"/>
          <w:sz w:val="18"/>
          <w:szCs w:val="18"/>
          <w:color w:val="auto"/>
        </w:rPr>
      </w:pPr>
      <w:r>
        <w:rPr>
          <w:rFonts w:ascii="Arial" w:cs="Arial" w:eastAsia="Arial" w:hAnsi="Arial"/>
          <w:sz w:val="18"/>
          <w:szCs w:val="18"/>
          <w:u w:val="single" w:color="auto"/>
          <w:color w:val="auto"/>
        </w:rPr>
        <w:t>Authorization of Sub-Plans (including for Grants to non-U.S. Employees)</w:t>
      </w:r>
      <w:r>
        <w:rPr>
          <w:rFonts w:ascii="Arial" w:cs="Arial" w:eastAsia="Arial" w:hAnsi="Arial"/>
          <w:sz w:val="18"/>
          <w:szCs w:val="18"/>
          <w:color w:val="auto"/>
        </w:rPr>
        <w:t>. The Board may from time to time establish one or</w:t>
      </w:r>
    </w:p>
    <w:p>
      <w:pPr>
        <w:spacing w:after="0" w:line="27"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more sub-plans under the Plan for purposes of satisfying applicable securities, tax or other laws of various jurisdictions. The Board shall establish such sub-plans by adopting supplements to the Plan containing (i) such limitations on the Board’s discretion under the Plan as the Board deems necessary or desirable or (ii) such additional terms and conditions not otherwise inconsistent with the Plan as the Board shall deem necessary or desirable. All supplements adopted by the Board shall be deemed to be part of the Plan, but each supplement shall apply only to Participants within the affected jurisdiction and the Company shall not be required to provide copies of any supplement to Participants in any jurisdiction which is not the subject of such supplement.</w:t>
      </w:r>
    </w:p>
    <w:p>
      <w:pPr>
        <w:spacing w:after="0" w:line="77" w:lineRule="exact"/>
        <w:rPr>
          <w:sz w:val="20"/>
          <w:szCs w:val="20"/>
          <w:color w:val="auto"/>
        </w:rPr>
      </w:pPr>
    </w:p>
    <w:p>
      <w:pPr>
        <w:ind w:right="40" w:firstLine="332"/>
        <w:spacing w:after="0" w:line="255" w:lineRule="auto"/>
        <w:tabs>
          <w:tab w:leader="none" w:pos="669" w:val="left"/>
        </w:tabs>
        <w:numPr>
          <w:ilvl w:val="0"/>
          <w:numId w:val="214"/>
        </w:numPr>
        <w:rPr>
          <w:rFonts w:ascii="Arial" w:cs="Arial" w:eastAsia="Arial" w:hAnsi="Arial"/>
          <w:sz w:val="18"/>
          <w:szCs w:val="18"/>
          <w:color w:val="auto"/>
        </w:rPr>
      </w:pPr>
      <w:r>
        <w:rPr>
          <w:rFonts w:ascii="Arial" w:cs="Arial" w:eastAsia="Arial" w:hAnsi="Arial"/>
          <w:sz w:val="18"/>
          <w:szCs w:val="18"/>
          <w:u w:val="single" w:color="auto"/>
          <w:color w:val="auto"/>
        </w:rPr>
        <w:t>Compliance with Section 409A of the Code</w:t>
      </w:r>
      <w:r>
        <w:rPr>
          <w:rFonts w:ascii="Arial" w:cs="Arial" w:eastAsia="Arial" w:hAnsi="Arial"/>
          <w:sz w:val="18"/>
          <w:szCs w:val="18"/>
          <w:color w:val="auto"/>
        </w:rPr>
        <w:t>. If and to the extent (i) any portion of any payment, compensation or other benefit provided to a Participant pursuant to the Plan in connection with his or her employment termination constitutes “nonqualified deferred compensation” within the meaning of Section 409A and (ii) the Participant is a specified employee as defined in Section 409A(a)(2)(B)(i) of the Code, in each case as determined by the Company in accordance with its procedures, by which determinations the Participant (through accepting the Award) agrees that he or she is bound, such portion of the payment, compensation or other benefit shall not be paid before the day that is six months plus one day after the date of “separation from service” (as determined under Section 409A) (the “</w:t>
      </w:r>
      <w:r>
        <w:rPr>
          <w:rFonts w:ascii="Arial" w:cs="Arial" w:eastAsia="Arial" w:hAnsi="Arial"/>
          <w:sz w:val="18"/>
          <w:szCs w:val="18"/>
          <w:b w:val="1"/>
          <w:bCs w:val="1"/>
          <w:i w:val="1"/>
          <w:iCs w:val="1"/>
          <w:color w:val="auto"/>
        </w:rPr>
        <w:t>New Payment</w:t>
      </w:r>
      <w:r>
        <w:rPr>
          <w:rFonts w:ascii="Arial" w:cs="Arial" w:eastAsia="Arial" w:hAnsi="Arial"/>
          <w:sz w:val="18"/>
          <w:szCs w:val="18"/>
          <w:color w:val="auto"/>
        </w:rPr>
        <w:t xml:space="preserve"> </w:t>
      </w:r>
      <w:r>
        <w:rPr>
          <w:rFonts w:ascii="Arial" w:cs="Arial" w:eastAsia="Arial" w:hAnsi="Arial"/>
          <w:sz w:val="18"/>
          <w:szCs w:val="18"/>
          <w:b w:val="1"/>
          <w:bCs w:val="1"/>
          <w:i w:val="1"/>
          <w:iCs w:val="1"/>
          <w:color w:val="auto"/>
        </w:rPr>
        <w:t>Date</w:t>
      </w:r>
      <w:r>
        <w:rPr>
          <w:rFonts w:ascii="Arial" w:cs="Arial" w:eastAsia="Arial" w:hAnsi="Arial"/>
          <w:sz w:val="18"/>
          <w:szCs w:val="18"/>
          <w:color w:val="auto"/>
        </w:rPr>
        <w:t>”), except as Section 409A may then permit. The aggregate of any payments that otherwise would have been paid to the Participant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during the period between the date of separation from service and the New Payment Date shall be paid to the Participant in a lump sum on such New Payment Date, and any remaining payments will be paid on their original schedule.</w:t>
      </w:r>
    </w:p>
    <w:p>
      <w:pPr>
        <w:spacing w:after="0" w:line="73" w:lineRule="exact"/>
        <w:rPr>
          <w:sz w:val="20"/>
          <w:szCs w:val="20"/>
          <w:color w:val="auto"/>
        </w:rPr>
      </w:pPr>
    </w:p>
    <w:p>
      <w:pPr>
        <w:ind w:right="100" w:firstLine="324"/>
        <w:spacing w:after="0" w:line="268" w:lineRule="auto"/>
        <w:rPr>
          <w:sz w:val="20"/>
          <w:szCs w:val="20"/>
          <w:color w:val="auto"/>
        </w:rPr>
      </w:pPr>
      <w:r>
        <w:rPr>
          <w:rFonts w:ascii="Arial" w:cs="Arial" w:eastAsia="Arial" w:hAnsi="Arial"/>
          <w:sz w:val="18"/>
          <w:szCs w:val="18"/>
          <w:color w:val="auto"/>
        </w:rPr>
        <w:t>The Company makes no representations or warranty and shall have no liability to the Participant or any other person if any provisions of or payments, compensation or other benefits under the Plan are determined to constitute nonqualified deferred compensation subject to Section 409A but do not satisfy the conditions of that section.</w:t>
      </w:r>
    </w:p>
    <w:p>
      <w:pPr>
        <w:spacing w:after="0" w:line="63" w:lineRule="exact"/>
        <w:rPr>
          <w:sz w:val="20"/>
          <w:szCs w:val="20"/>
          <w:color w:val="auto"/>
        </w:rPr>
      </w:pPr>
    </w:p>
    <w:p>
      <w:pPr>
        <w:ind w:right="20" w:firstLine="332"/>
        <w:spacing w:after="0" w:line="255" w:lineRule="auto"/>
        <w:tabs>
          <w:tab w:leader="none" w:pos="679" w:val="left"/>
        </w:tabs>
        <w:numPr>
          <w:ilvl w:val="0"/>
          <w:numId w:val="215"/>
        </w:numPr>
        <w:rPr>
          <w:rFonts w:ascii="Arial" w:cs="Arial" w:eastAsia="Arial" w:hAnsi="Arial"/>
          <w:sz w:val="18"/>
          <w:szCs w:val="18"/>
          <w:color w:val="auto"/>
        </w:rPr>
      </w:pPr>
      <w:r>
        <w:rPr>
          <w:rFonts w:ascii="Arial" w:cs="Arial" w:eastAsia="Arial" w:hAnsi="Arial"/>
          <w:sz w:val="18"/>
          <w:szCs w:val="18"/>
          <w:u w:val="single" w:color="auto"/>
          <w:color w:val="auto"/>
        </w:rPr>
        <w:t>Limitations on Liability</w:t>
      </w:r>
      <w:r>
        <w:rPr>
          <w:rFonts w:ascii="Arial" w:cs="Arial" w:eastAsia="Arial" w:hAnsi="Arial"/>
          <w:sz w:val="18"/>
          <w:szCs w:val="18"/>
          <w:color w:val="auto"/>
        </w:rPr>
        <w:t>. Notwithstanding any other provisions of the Plan, no individual acting as a director, officer, employee or agent of the Company will be liable to any Participant, former Participant, spouse, beneficiary, or any other person for any claim, loss, liability, or expense incurred in connection with the Plan, nor will such individual be personally liable with respect to the Plan because of any contract or other instrument he or she executes in his or her capacity as a director, officer, employee or agent of the Company. The Company will indemnify and hold harmless each director, officer, employee or agent of the Company to whom any duty or power relating to the administration or interpretation of the Plan has been or will be delegated, against any cost or expense (including attorneys’ fees) or liability (including any sum paid in settlement of a claim with the Board’s approval) arising out of any act or omission to act concerning the Plan unless arising out of such person’s own fraud or bad faith.</w:t>
      </w:r>
    </w:p>
    <w:p>
      <w:pPr>
        <w:spacing w:after="0" w:line="76" w:lineRule="exact"/>
        <w:rPr>
          <w:rFonts w:ascii="Arial" w:cs="Arial" w:eastAsia="Arial" w:hAnsi="Arial"/>
          <w:sz w:val="18"/>
          <w:szCs w:val="18"/>
          <w:color w:val="auto"/>
        </w:rPr>
      </w:pPr>
    </w:p>
    <w:p>
      <w:pPr>
        <w:ind w:right="60" w:firstLine="332"/>
        <w:spacing w:after="0" w:line="268" w:lineRule="auto"/>
        <w:tabs>
          <w:tab w:leader="none" w:pos="679" w:val="left"/>
        </w:tabs>
        <w:numPr>
          <w:ilvl w:val="0"/>
          <w:numId w:val="215"/>
        </w:numPr>
        <w:rPr>
          <w:rFonts w:ascii="Arial" w:cs="Arial" w:eastAsia="Arial" w:hAnsi="Arial"/>
          <w:sz w:val="18"/>
          <w:szCs w:val="18"/>
          <w:color w:val="auto"/>
        </w:rPr>
      </w:pPr>
      <w:r>
        <w:rPr>
          <w:rFonts w:ascii="Arial" w:cs="Arial" w:eastAsia="Arial" w:hAnsi="Arial"/>
          <w:sz w:val="18"/>
          <w:szCs w:val="18"/>
          <w:u w:val="single" w:color="auto"/>
          <w:color w:val="auto"/>
        </w:rPr>
        <w:t>Governing Law</w:t>
      </w:r>
      <w:r>
        <w:rPr>
          <w:rFonts w:ascii="Arial" w:cs="Arial" w:eastAsia="Arial" w:hAnsi="Arial"/>
          <w:sz w:val="18"/>
          <w:szCs w:val="18"/>
          <w:color w:val="auto"/>
        </w:rPr>
        <w:t>. The provisions of the Plan and all Awards made hereunder shall be governed by and interpreted in accordance with the laws of the Commonwealth of Massachusetts, excluding choice-of-law principles of the law of such state that would require the application of the laws of a jurisdiction other than the Commonwealth of Massachusetts.</w:t>
      </w:r>
    </w:p>
    <w:p>
      <w:pPr>
        <w:sectPr>
          <w:pgSz w:w="11900" w:h="16838" w:orient="portrait"/>
          <w:cols w:equalWidth="0" w:num="1">
            <w:col w:w="11240"/>
          </w:cols>
          <w:pgMar w:left="320" w:top="1066" w:right="339" w:bottom="1440" w:gutter="0" w:footer="0" w:header="0"/>
        </w:sectPr>
      </w:pPr>
    </w:p>
    <w:p>
      <w:pPr>
        <w:spacing w:after="0" w:line="200" w:lineRule="exact"/>
        <w:rPr>
          <w:sz w:val="20"/>
          <w:szCs w:val="20"/>
          <w:color w:val="auto"/>
        </w:rPr>
      </w:pPr>
    </w:p>
    <w:p>
      <w:pPr>
        <w:spacing w:after="0" w:line="236" w:lineRule="exact"/>
        <w:rPr>
          <w:sz w:val="20"/>
          <w:szCs w:val="20"/>
          <w:color w:val="auto"/>
        </w:rPr>
      </w:pPr>
    </w:p>
    <w:p>
      <w:pPr>
        <w:ind w:left="20"/>
        <w:spacing w:after="0"/>
        <w:tabs>
          <w:tab w:leader="none" w:pos="620" w:val="left"/>
        </w:tabs>
        <w:rPr>
          <w:sz w:val="20"/>
          <w:szCs w:val="20"/>
          <w:color w:val="auto"/>
        </w:rPr>
      </w:pPr>
      <w:r>
        <w:rPr>
          <w:rFonts w:ascii="Arial" w:cs="Arial" w:eastAsia="Arial" w:hAnsi="Arial"/>
          <w:sz w:val="20"/>
          <w:szCs w:val="20"/>
          <w:b w:val="1"/>
          <w:bCs w:val="1"/>
          <w:color w:val="auto"/>
        </w:rPr>
        <w:t>A-10</w:t>
      </w:r>
      <w:r>
        <w:rPr>
          <w:sz w:val="20"/>
          <w:szCs w:val="20"/>
          <w:color w:val="auto"/>
        </w:rPr>
        <w:tab/>
      </w:r>
      <w:r>
        <w:rPr>
          <w:rFonts w:ascii="Arial" w:cs="Arial" w:eastAsia="Arial" w:hAnsi="Arial"/>
          <w:sz w:val="16"/>
          <w:szCs w:val="16"/>
          <w:color w:val="6D6E71"/>
        </w:rPr>
        <w:t>Appendix A: Amended and Restated Analog Devices, Inc. 2020 Equity Incentive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66" w:right="339" w:bottom="1440" w:gutter="0" w:footer="0" w:header="0"/>
          <w:type w:val="continuous"/>
        </w:sectPr>
      </w:pPr>
    </w:p>
    <w:bookmarkStart w:id="116" w:name="page117"/>
    <w:bookmarkEnd w:id="116"/>
    <w:p>
      <w:pPr>
        <w:ind w:right="1980"/>
        <w:spacing w:after="0" w:line="272" w:lineRule="auto"/>
        <w:rPr>
          <w:sz w:val="20"/>
          <w:szCs w:val="20"/>
          <w:color w:val="auto"/>
        </w:rPr>
      </w:pPr>
      <w:r>
        <w:rPr>
          <w:rFonts w:ascii="Arial" w:cs="Arial" w:eastAsia="Arial" w:hAnsi="Arial"/>
          <w:sz w:val="57"/>
          <w:szCs w:val="57"/>
          <w:color w:val="auto"/>
        </w:rPr>
        <w:t>Appendix B: Reconciliation of GAAP Measures to Non-GAAP Measures</w:t>
      </w:r>
    </w:p>
    <w:p>
      <w:pPr>
        <w:spacing w:after="0" w:line="317" w:lineRule="exact"/>
        <w:rPr>
          <w:sz w:val="20"/>
          <w:szCs w:val="20"/>
          <w:color w:val="auto"/>
        </w:rPr>
      </w:pPr>
    </w:p>
    <w:p>
      <w:pPr>
        <w:jc w:val="both"/>
        <w:ind w:right="20"/>
        <w:spacing w:after="0" w:line="268" w:lineRule="auto"/>
        <w:rPr>
          <w:sz w:val="20"/>
          <w:szCs w:val="20"/>
          <w:color w:val="auto"/>
        </w:rPr>
      </w:pPr>
      <w:r>
        <w:rPr>
          <w:rFonts w:ascii="Arial" w:cs="Arial" w:eastAsia="Arial" w:hAnsi="Arial"/>
          <w:sz w:val="18"/>
          <w:szCs w:val="18"/>
          <w:color w:val="auto"/>
        </w:rPr>
        <w:t>Non-GAAP financial measures included in the Proxy Statement are financial measures that are not in accordance with, nor an alternative to, generally accepted accounting principles (GAAP) and may be different from non-GAAP measures presented by other companies. In addition, these non-GAAP measures are not based on any comprehensive set of accounting rules or principles.</w:t>
      </w:r>
    </w:p>
    <w:p>
      <w:pPr>
        <w:spacing w:after="0" w:line="63" w:lineRule="exact"/>
        <w:rPr>
          <w:sz w:val="20"/>
          <w:szCs w:val="20"/>
          <w:color w:val="auto"/>
        </w:rPr>
      </w:pPr>
    </w:p>
    <w:p>
      <w:pPr>
        <w:ind w:right="140"/>
        <w:spacing w:after="0" w:line="255" w:lineRule="auto"/>
        <w:rPr>
          <w:sz w:val="20"/>
          <w:szCs w:val="20"/>
          <w:color w:val="auto"/>
        </w:rPr>
      </w:pPr>
      <w:r>
        <w:rPr>
          <w:rFonts w:ascii="Arial" w:cs="Arial" w:eastAsia="Arial" w:hAnsi="Arial"/>
          <w:sz w:val="18"/>
          <w:szCs w:val="18"/>
          <w:color w:val="auto"/>
        </w:rPr>
        <w:t>Management uses non-GAAP measures internally to evaluate ADI’s operating performance from continuing operations against past periods and to budget and allocate resources in future periods. These non-GAAP measures also assist management in evaluating ADI’s core business and trends across different reporting periods on a consistent basis. Management also uses these non-GAAP measures as the primary performance measurement when communicating with analysts and investors regarding ADI’s earnings results and outlook and believes that the presentation of these non-GAAP measures is useful to investors because it provides investors with the operating results that management uses to manage the company and enables investors and analysts to evaluate ADI’s core business. Management also believes that the non-GAAP liquidity measure free cash flow is useful both internally and to investors because it provides information about the amount of cash generated after capital expenditures that is then available to repay debt obligations, make investments and fund acquisitions, and for certain other activities.</w:t>
      </w:r>
    </w:p>
    <w:p>
      <w:pPr>
        <w:spacing w:after="0" w:line="73"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We believe that non-GAAP measures have material limitations in that they do not reflect all of the amounts associated with ADI’s results of operations as determined in accordance with GAAP and should not be considered in isolation from, or as a substitute for, ADI’s financial results presented in accordance with GAAP. ADI’s use of non-GAAP measures, and the underlying methodology when including or excluding certain items, is not necessarily an indication of the results of operations that may be expected in the future, or that ADI will not, in fact, record such items in future periods. Investors should consider the company’s non-GAAP financial measures in conjunction with the corresponding GAAP measures.</w:t>
      </w:r>
    </w:p>
    <w:p>
      <w:pPr>
        <w:spacing w:after="0" w:line="74" w:lineRule="exact"/>
        <w:rPr>
          <w:sz w:val="20"/>
          <w:szCs w:val="20"/>
          <w:color w:val="auto"/>
        </w:rPr>
      </w:pPr>
    </w:p>
    <w:p>
      <w:pPr>
        <w:ind w:right="640"/>
        <w:spacing w:after="0" w:line="287" w:lineRule="auto"/>
        <w:rPr>
          <w:sz w:val="20"/>
          <w:szCs w:val="20"/>
          <w:color w:val="auto"/>
        </w:rPr>
      </w:pPr>
      <w:r>
        <w:rPr>
          <w:rFonts w:ascii="Arial" w:cs="Arial" w:eastAsia="Arial" w:hAnsi="Arial"/>
          <w:sz w:val="18"/>
          <w:szCs w:val="18"/>
          <w:color w:val="0067B3"/>
        </w:rPr>
        <w:t xml:space="preserve">Free Cash Flow: </w:t>
      </w:r>
      <w:r>
        <w:rPr>
          <w:rFonts w:ascii="Arial" w:cs="Arial" w:eastAsia="Arial" w:hAnsi="Arial"/>
          <w:sz w:val="18"/>
          <w:szCs w:val="18"/>
          <w:color w:val="000000"/>
        </w:rPr>
        <w:t>Net cash provided by operating activities, determined in accordance with GAAP, less additions to property, plant and</w:t>
      </w:r>
      <w:r>
        <w:rPr>
          <w:rFonts w:ascii="Arial" w:cs="Arial" w:eastAsia="Arial" w:hAnsi="Arial"/>
          <w:sz w:val="18"/>
          <w:szCs w:val="18"/>
          <w:color w:val="0067B3"/>
        </w:rPr>
        <w:t xml:space="preserve"> </w:t>
      </w:r>
      <w:r>
        <w:rPr>
          <w:rFonts w:ascii="Arial" w:cs="Arial" w:eastAsia="Arial" w:hAnsi="Arial"/>
          <w:sz w:val="18"/>
          <w:szCs w:val="18"/>
          <w:color w:val="000000"/>
        </w:rPr>
        <w:t>equipment, net. Free cash flow revenue percentage represents free cash flow divided by revenue.</w:t>
      </w:r>
    </w:p>
    <w:p>
      <w:pPr>
        <w:spacing w:after="0" w:line="45" w:lineRule="exact"/>
        <w:rPr>
          <w:sz w:val="20"/>
          <w:szCs w:val="20"/>
          <w:color w:val="auto"/>
        </w:rPr>
      </w:pPr>
    </w:p>
    <w:p>
      <w:pPr>
        <w:ind w:right="280"/>
        <w:spacing w:after="0" w:line="262" w:lineRule="auto"/>
        <w:rPr>
          <w:sz w:val="20"/>
          <w:szCs w:val="20"/>
          <w:color w:val="auto"/>
        </w:rPr>
      </w:pPr>
      <w:r>
        <w:rPr>
          <w:rFonts w:ascii="Arial" w:cs="Arial" w:eastAsia="Arial" w:hAnsi="Arial"/>
          <w:sz w:val="18"/>
          <w:szCs w:val="18"/>
          <w:color w:val="0067B3"/>
        </w:rPr>
        <w:t xml:space="preserve">Acquisition Related Expenses: </w:t>
      </w:r>
      <w:r>
        <w:rPr>
          <w:rFonts w:ascii="Arial" w:cs="Arial" w:eastAsia="Arial" w:hAnsi="Arial"/>
          <w:sz w:val="18"/>
          <w:szCs w:val="18"/>
          <w:color w:val="000000"/>
        </w:rPr>
        <w:t>Expenses incurred as a result of current and prior period acquisitions and primarily include expenses</w:t>
      </w:r>
      <w:r>
        <w:rPr>
          <w:rFonts w:ascii="Arial" w:cs="Arial" w:eastAsia="Arial" w:hAnsi="Arial"/>
          <w:sz w:val="18"/>
          <w:szCs w:val="18"/>
          <w:color w:val="0067B3"/>
        </w:rPr>
        <w:t xml:space="preserve"> </w:t>
      </w:r>
      <w:r>
        <w:rPr>
          <w:rFonts w:ascii="Arial" w:cs="Arial" w:eastAsia="Arial" w:hAnsi="Arial"/>
          <w:sz w:val="18"/>
          <w:szCs w:val="18"/>
          <w:color w:val="000000"/>
        </w:rPr>
        <w:t>associated with the fair value adjustments to debt, property, plant and equipment and amortization of acquisition related intangibles, which include acquired intangibles such as purchased technology and customer relationships. We excluded these costs from our non-GAAP measures because they relate to specific transactions and are not reflective of our ongoing financial performance.</w:t>
      </w:r>
    </w:p>
    <w:p>
      <w:pPr>
        <w:spacing w:after="0" w:line="68" w:lineRule="exact"/>
        <w:rPr>
          <w:sz w:val="20"/>
          <w:szCs w:val="20"/>
          <w:color w:val="auto"/>
        </w:rPr>
      </w:pPr>
    </w:p>
    <w:p>
      <w:pPr>
        <w:ind w:right="20"/>
        <w:spacing w:after="0" w:line="262" w:lineRule="auto"/>
        <w:rPr>
          <w:sz w:val="20"/>
          <w:szCs w:val="20"/>
          <w:color w:val="auto"/>
        </w:rPr>
      </w:pPr>
      <w:r>
        <w:rPr>
          <w:rFonts w:ascii="Arial" w:cs="Arial" w:eastAsia="Arial" w:hAnsi="Arial"/>
          <w:sz w:val="18"/>
          <w:szCs w:val="18"/>
          <w:color w:val="0067B3"/>
        </w:rPr>
        <w:t xml:space="preserve">Special Charges, net: </w:t>
      </w:r>
      <w:r>
        <w:rPr>
          <w:rFonts w:ascii="Arial" w:cs="Arial" w:eastAsia="Arial" w:hAnsi="Arial"/>
          <w:sz w:val="18"/>
          <w:szCs w:val="18"/>
          <w:color w:val="000000"/>
        </w:rPr>
        <w:t>Expenses, net, incurred as part of the integration of the Maxim acquisition, in connection with facility closures,</w:t>
      </w:r>
      <w:r>
        <w:rPr>
          <w:rFonts w:ascii="Arial" w:cs="Arial" w:eastAsia="Arial" w:hAnsi="Arial"/>
          <w:sz w:val="18"/>
          <w:szCs w:val="18"/>
          <w:color w:val="0067B3"/>
        </w:rPr>
        <w:t xml:space="preserve"> </w:t>
      </w:r>
      <w:r>
        <w:rPr>
          <w:rFonts w:ascii="Arial" w:cs="Arial" w:eastAsia="Arial" w:hAnsi="Arial"/>
          <w:sz w:val="18"/>
          <w:szCs w:val="18"/>
          <w:color w:val="000000"/>
        </w:rPr>
        <w:t>consolidation of manufacturing facilities, severance, other accelerated stock-based compensation expense and other cost reduction efforts or reorganizational initiatives. We excluded these expenses from our non-GAAP measures because apart from ongoing expense savings as a result of such items, these expenses have no direct correlation to the operation of our business in the future.</w:t>
      </w:r>
    </w:p>
    <w:p>
      <w:pPr>
        <w:spacing w:after="0" w:line="68" w:lineRule="exact"/>
        <w:rPr>
          <w:sz w:val="20"/>
          <w:szCs w:val="20"/>
          <w:color w:val="auto"/>
        </w:rPr>
      </w:pPr>
    </w:p>
    <w:p>
      <w:pPr>
        <w:ind w:right="80"/>
        <w:spacing w:after="0" w:line="262" w:lineRule="auto"/>
        <w:rPr>
          <w:sz w:val="20"/>
          <w:szCs w:val="20"/>
          <w:color w:val="auto"/>
        </w:rPr>
      </w:pPr>
      <w:r>
        <w:rPr>
          <w:rFonts w:ascii="Arial" w:cs="Arial" w:eastAsia="Arial" w:hAnsi="Arial"/>
          <w:sz w:val="18"/>
          <w:szCs w:val="18"/>
          <w:color w:val="0067B3"/>
        </w:rPr>
        <w:t xml:space="preserve">Tax Related Items: </w:t>
      </w:r>
      <w:r>
        <w:rPr>
          <w:rFonts w:ascii="Arial" w:cs="Arial" w:eastAsia="Arial" w:hAnsi="Arial"/>
          <w:sz w:val="18"/>
          <w:szCs w:val="18"/>
          <w:color w:val="000000"/>
        </w:rPr>
        <w:t>Income tax effect of the non-GAAP items discussed above, deferred tax expense related to the remeasurement of Global</w:t>
      </w:r>
      <w:r>
        <w:rPr>
          <w:rFonts w:ascii="Arial" w:cs="Arial" w:eastAsia="Arial" w:hAnsi="Arial"/>
          <w:sz w:val="18"/>
          <w:szCs w:val="18"/>
          <w:color w:val="0067B3"/>
        </w:rPr>
        <w:t xml:space="preserve"> </w:t>
      </w:r>
      <w:r>
        <w:rPr>
          <w:rFonts w:ascii="Arial" w:cs="Arial" w:eastAsia="Arial" w:hAnsi="Arial"/>
          <w:sz w:val="18"/>
          <w:szCs w:val="18"/>
          <w:color w:val="000000"/>
        </w:rPr>
        <w:t>Intangible Low-Taxed Income-related deferred tax assets and liabilities attributable to the One Big Beautiful Bill Act and certain other income tax expenses associated with prior periods. We excluded the income tax effect of these tax related items from our non-GAAP measures because they are not associated with the tax expense on our current operating results.</w:t>
      </w:r>
    </w:p>
    <w:p>
      <w:pPr>
        <w:spacing w:after="0" w:line="200" w:lineRule="exact"/>
        <w:rPr>
          <w:sz w:val="20"/>
          <w:szCs w:val="20"/>
          <w:color w:val="auto"/>
        </w:rPr>
      </w:pP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278"/>
        </w:trPr>
        <w:tc>
          <w:tcPr>
            <w:tcW w:w="10740" w:type="dxa"/>
            <w:vAlign w:val="bottom"/>
          </w:tcPr>
          <w:p>
            <w:pPr>
              <w:ind w:left="8980"/>
              <w:spacing w:after="0"/>
              <w:rPr>
                <w:sz w:val="20"/>
                <w:szCs w:val="20"/>
                <w:color w:val="auto"/>
              </w:rPr>
            </w:pPr>
            <w:r>
              <w:rPr>
                <w:rFonts w:ascii="Arial" w:cs="Arial" w:eastAsia="Arial" w:hAnsi="Arial"/>
                <w:sz w:val="16"/>
                <w:szCs w:val="16"/>
                <w:color w:val="0067B3"/>
              </w:rPr>
              <w:t>2026 Proxy Statement</w:t>
            </w:r>
          </w:p>
        </w:tc>
        <w:tc>
          <w:tcPr>
            <w:tcW w:w="500" w:type="dxa"/>
            <w:vAlign w:val="bottom"/>
          </w:tcPr>
          <w:p>
            <w:pPr>
              <w:ind w:left="160"/>
              <w:spacing w:after="0"/>
              <w:rPr>
                <w:sz w:val="20"/>
                <w:szCs w:val="20"/>
                <w:color w:val="auto"/>
              </w:rPr>
            </w:pPr>
            <w:r>
              <w:rPr>
                <w:rFonts w:ascii="Arial" w:cs="Arial" w:eastAsia="Arial" w:hAnsi="Arial"/>
                <w:sz w:val="20"/>
                <w:szCs w:val="20"/>
                <w:b w:val="1"/>
                <w:bCs w:val="1"/>
                <w:color w:val="auto"/>
                <w:w w:val="99"/>
              </w:rPr>
              <w:t>B-1</w:t>
            </w:r>
          </w:p>
        </w:tc>
      </w:tr>
      <w:tr>
        <w:trPr>
          <w:trHeight w:val="333"/>
        </w:trPr>
        <w:tc>
          <w:tcPr>
            <w:tcW w:w="10740" w:type="dxa"/>
            <w:vAlign w:val="bottom"/>
            <w:tcBorders>
              <w:bottom w:val="single" w:sz="8" w:color="9A9A9A"/>
            </w:tcBorders>
          </w:tcPr>
          <w:p>
            <w:pPr>
              <w:spacing w:after="0"/>
              <w:rPr>
                <w:sz w:val="24"/>
                <w:szCs w:val="24"/>
                <w:color w:val="auto"/>
              </w:rPr>
            </w:pPr>
          </w:p>
        </w:tc>
        <w:tc>
          <w:tcPr>
            <w:tcW w:w="5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1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1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10" w:right="339" w:bottom="1440" w:gutter="0" w:footer="0" w:header="0"/>
        </w:sectPr>
      </w:pPr>
    </w:p>
    <w:bookmarkStart w:id="117" w:name="page118"/>
    <w:bookmarkEnd w:id="117"/>
    <w:p>
      <w:pPr>
        <w:spacing w:after="0"/>
        <w:rPr>
          <w:sz w:val="20"/>
          <w:szCs w:val="20"/>
          <w:color w:val="auto"/>
        </w:rPr>
      </w:pPr>
      <w:r>
        <w:rPr>
          <w:rFonts w:ascii="Arial" w:cs="Arial" w:eastAsia="Arial" w:hAnsi="Arial"/>
          <w:sz w:val="18"/>
          <w:szCs w:val="18"/>
          <w:b w:val="1"/>
          <w:bCs w:val="1"/>
          <w:color w:val="0067B3"/>
        </w:rPr>
        <w:t>Reconciliation of GAAP Measures to Non-GAAP Results (Unaudited)</w:t>
      </w:r>
    </w:p>
    <w:p>
      <w:pPr>
        <w:spacing w:after="0" w:line="162" w:lineRule="exact"/>
        <w:rPr>
          <w:sz w:val="20"/>
          <w:szCs w:val="20"/>
          <w:color w:val="auto"/>
        </w:rPr>
      </w:pPr>
    </w:p>
    <w:p>
      <w:pPr>
        <w:spacing w:after="0"/>
        <w:rPr>
          <w:sz w:val="20"/>
          <w:szCs w:val="20"/>
          <w:color w:val="auto"/>
        </w:rPr>
      </w:pPr>
      <w:r>
        <w:rPr>
          <w:rFonts w:ascii="Arial" w:cs="Arial" w:eastAsia="Arial" w:hAnsi="Arial"/>
          <w:sz w:val="16"/>
          <w:szCs w:val="16"/>
          <w:color w:val="auto"/>
        </w:rPr>
        <w:t>(In thousands, except per-share amounts)</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380" w:type="dxa"/>
            <w:vAlign w:val="bottom"/>
            <w:shd w:val="clear" w:color="auto" w:fill="0067B3"/>
          </w:tcPr>
          <w:p>
            <w:pPr>
              <w:spacing w:after="0"/>
              <w:rPr>
                <w:sz w:val="17"/>
                <w:szCs w:val="17"/>
                <w:color w:val="auto"/>
              </w:rPr>
            </w:pPr>
          </w:p>
        </w:tc>
        <w:tc>
          <w:tcPr>
            <w:tcW w:w="7760" w:type="dxa"/>
            <w:vAlign w:val="bottom"/>
            <w:shd w:val="clear" w:color="auto" w:fill="0067B3"/>
          </w:tcPr>
          <w:p>
            <w:pPr>
              <w:spacing w:after="0"/>
              <w:rPr>
                <w:sz w:val="17"/>
                <w:szCs w:val="17"/>
                <w:color w:val="auto"/>
              </w:rPr>
            </w:pPr>
          </w:p>
        </w:tc>
        <w:tc>
          <w:tcPr>
            <w:tcW w:w="3100" w:type="dxa"/>
            <w:vAlign w:val="bottom"/>
            <w:gridSpan w:val="2"/>
            <w:shd w:val="clear" w:color="auto" w:fill="0067B3"/>
          </w:tcPr>
          <w:p>
            <w:pPr>
              <w:jc w:val="center"/>
              <w:ind w:left="272"/>
              <w:spacing w:after="0"/>
              <w:rPr>
                <w:sz w:val="20"/>
                <w:szCs w:val="20"/>
                <w:color w:val="auto"/>
              </w:rPr>
            </w:pPr>
            <w:r>
              <w:rPr>
                <w:rFonts w:ascii="Arial" w:cs="Arial" w:eastAsia="Arial" w:hAnsi="Arial"/>
                <w:sz w:val="16"/>
                <w:szCs w:val="16"/>
                <w:b w:val="1"/>
                <w:bCs w:val="1"/>
                <w:color w:val="FFFFFF"/>
              </w:rPr>
              <w:t>Twelve months ended November 1,</w:t>
            </w:r>
          </w:p>
        </w:tc>
      </w:tr>
      <w:tr>
        <w:trPr>
          <w:trHeight w:val="224"/>
        </w:trPr>
        <w:tc>
          <w:tcPr>
            <w:tcW w:w="380" w:type="dxa"/>
            <w:vAlign w:val="bottom"/>
            <w:tcBorders>
              <w:bottom w:val="single" w:sz="8" w:color="0067B3"/>
            </w:tcBorders>
            <w:shd w:val="clear" w:color="auto" w:fill="0067B3"/>
          </w:tcPr>
          <w:p>
            <w:pPr>
              <w:spacing w:after="0"/>
              <w:rPr>
                <w:sz w:val="19"/>
                <w:szCs w:val="19"/>
                <w:color w:val="auto"/>
              </w:rPr>
            </w:pPr>
          </w:p>
        </w:tc>
        <w:tc>
          <w:tcPr>
            <w:tcW w:w="7760" w:type="dxa"/>
            <w:vAlign w:val="bottom"/>
            <w:tcBorders>
              <w:bottom w:val="single" w:sz="8" w:color="0067B3"/>
            </w:tcBorders>
            <w:shd w:val="clear" w:color="auto" w:fill="0067B3"/>
          </w:tcPr>
          <w:p>
            <w:pPr>
              <w:spacing w:after="0"/>
              <w:rPr>
                <w:sz w:val="19"/>
                <w:szCs w:val="19"/>
                <w:color w:val="auto"/>
              </w:rPr>
            </w:pPr>
          </w:p>
        </w:tc>
        <w:tc>
          <w:tcPr>
            <w:tcW w:w="1920" w:type="dxa"/>
            <w:vAlign w:val="bottom"/>
            <w:tcBorders>
              <w:bottom w:val="single" w:sz="8" w:color="0067B3"/>
            </w:tcBorders>
            <w:shd w:val="clear" w:color="auto" w:fill="0067B3"/>
          </w:tcPr>
          <w:p>
            <w:pPr>
              <w:spacing w:after="0"/>
              <w:rPr>
                <w:sz w:val="19"/>
                <w:szCs w:val="19"/>
                <w:color w:val="auto"/>
              </w:rPr>
            </w:pPr>
          </w:p>
        </w:tc>
        <w:tc>
          <w:tcPr>
            <w:tcW w:w="1180" w:type="dxa"/>
            <w:vAlign w:val="bottom"/>
            <w:tcBorders>
              <w:bottom w:val="single" w:sz="8" w:color="0067B3"/>
            </w:tcBorders>
            <w:shd w:val="clear" w:color="auto" w:fill="0067B3"/>
          </w:tcPr>
          <w:p>
            <w:pPr>
              <w:jc w:val="right"/>
              <w:spacing w:after="0"/>
              <w:rPr>
                <w:sz w:val="20"/>
                <w:szCs w:val="20"/>
                <w:color w:val="auto"/>
              </w:rPr>
            </w:pPr>
            <w:r>
              <w:rPr>
                <w:rFonts w:ascii="Arial" w:cs="Arial" w:eastAsia="Arial" w:hAnsi="Arial"/>
                <w:sz w:val="16"/>
                <w:szCs w:val="16"/>
                <w:b w:val="1"/>
                <w:bCs w:val="1"/>
                <w:color w:val="FFFFFF"/>
              </w:rPr>
              <w:t>2025</w:t>
            </w:r>
          </w:p>
        </w:tc>
      </w:tr>
      <w:tr>
        <w:trPr>
          <w:trHeight w:val="270"/>
        </w:trPr>
        <w:tc>
          <w:tcPr>
            <w:tcW w:w="8140" w:type="dxa"/>
            <w:vAlign w:val="bottom"/>
            <w:gridSpan w:val="2"/>
            <w:shd w:val="clear" w:color="auto" w:fill="E2E6F4"/>
          </w:tcPr>
          <w:p>
            <w:pPr>
              <w:ind w:left="20"/>
              <w:spacing w:after="0"/>
              <w:rPr>
                <w:sz w:val="20"/>
                <w:szCs w:val="20"/>
                <w:color w:val="auto"/>
              </w:rPr>
            </w:pPr>
            <w:r>
              <w:rPr>
                <w:rFonts w:ascii="Arial" w:cs="Arial" w:eastAsia="Arial" w:hAnsi="Arial"/>
                <w:sz w:val="18"/>
                <w:szCs w:val="18"/>
                <w:b w:val="1"/>
                <w:bCs w:val="1"/>
                <w:color w:val="auto"/>
              </w:rPr>
              <w:t>Gross margin</w:t>
            </w:r>
          </w:p>
        </w:tc>
        <w:tc>
          <w:tcPr>
            <w:tcW w:w="1920" w:type="dxa"/>
            <w:vAlign w:val="bottom"/>
            <w:shd w:val="clear" w:color="auto" w:fill="E2E6F4"/>
          </w:tcPr>
          <w:p>
            <w:pPr>
              <w:jc w:val="right"/>
              <w:spacing w:after="0"/>
              <w:rPr>
                <w:sz w:val="20"/>
                <w:szCs w:val="20"/>
                <w:color w:val="auto"/>
              </w:rPr>
            </w:pPr>
            <w:r>
              <w:rPr>
                <w:rFonts w:ascii="Arial" w:cs="Arial" w:eastAsia="Arial" w:hAnsi="Arial"/>
                <w:sz w:val="18"/>
                <w:szCs w:val="18"/>
                <w:b w:val="1"/>
                <w:bCs w:val="1"/>
                <w:color w:val="auto"/>
              </w:rPr>
              <w:t>$</w:t>
            </w:r>
          </w:p>
        </w:tc>
        <w:tc>
          <w:tcPr>
            <w:tcW w:w="1180" w:type="dxa"/>
            <w:vAlign w:val="bottom"/>
            <w:shd w:val="clear" w:color="auto" w:fill="E2E6F4"/>
          </w:tcPr>
          <w:p>
            <w:pPr>
              <w:jc w:val="right"/>
              <w:ind w:right="151"/>
              <w:spacing w:after="0"/>
              <w:rPr>
                <w:sz w:val="20"/>
                <w:szCs w:val="20"/>
                <w:color w:val="auto"/>
              </w:rPr>
            </w:pPr>
            <w:r>
              <w:rPr>
                <w:rFonts w:ascii="Arial" w:cs="Arial" w:eastAsia="Arial" w:hAnsi="Arial"/>
                <w:sz w:val="18"/>
                <w:szCs w:val="18"/>
                <w:b w:val="1"/>
                <w:bCs w:val="1"/>
                <w:color w:val="auto"/>
              </w:rPr>
              <w:t>6,773,478</w:t>
            </w:r>
          </w:p>
        </w:tc>
      </w:tr>
      <w:tr>
        <w:trPr>
          <w:trHeight w:val="247"/>
        </w:trPr>
        <w:tc>
          <w:tcPr>
            <w:tcW w:w="8140" w:type="dxa"/>
            <w:vAlign w:val="bottom"/>
            <w:gridSpan w:val="2"/>
          </w:tcPr>
          <w:p>
            <w:pPr>
              <w:ind w:left="220"/>
              <w:spacing w:after="0"/>
              <w:rPr>
                <w:sz w:val="20"/>
                <w:szCs w:val="20"/>
                <w:color w:val="auto"/>
              </w:rPr>
            </w:pPr>
            <w:r>
              <w:rPr>
                <w:rFonts w:ascii="Arial" w:cs="Arial" w:eastAsia="Arial" w:hAnsi="Arial"/>
                <w:sz w:val="18"/>
                <w:szCs w:val="18"/>
                <w:color w:val="auto"/>
              </w:rPr>
              <w:t>Gross margin percentage</w:t>
            </w:r>
          </w:p>
        </w:tc>
        <w:tc>
          <w:tcPr>
            <w:tcW w:w="192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61.5%</w:t>
            </w:r>
          </w:p>
        </w:tc>
      </w:tr>
      <w:tr>
        <w:trPr>
          <w:trHeight w:val="23"/>
        </w:trPr>
        <w:tc>
          <w:tcPr>
            <w:tcW w:w="380" w:type="dxa"/>
            <w:vAlign w:val="bottom"/>
          </w:tcPr>
          <w:p>
            <w:pPr>
              <w:spacing w:after="0"/>
              <w:rPr>
                <w:sz w:val="2"/>
                <w:szCs w:val="2"/>
                <w:color w:val="auto"/>
              </w:rPr>
            </w:pPr>
          </w:p>
        </w:tc>
        <w:tc>
          <w:tcPr>
            <w:tcW w:w="7760" w:type="dxa"/>
            <w:vAlign w:val="bottom"/>
          </w:tcPr>
          <w:p>
            <w:pPr>
              <w:spacing w:after="0"/>
              <w:rPr>
                <w:sz w:val="2"/>
                <w:szCs w:val="2"/>
                <w:color w:val="auto"/>
              </w:rPr>
            </w:pPr>
          </w:p>
        </w:tc>
        <w:tc>
          <w:tcPr>
            <w:tcW w:w="192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380" w:type="dxa"/>
            <w:vAlign w:val="bottom"/>
            <w:tcBorders>
              <w:bottom w:val="single" w:sz="8" w:color="E2E6F4"/>
            </w:tcBorders>
            <w:shd w:val="clear" w:color="auto" w:fill="E2E6F4"/>
          </w:tcPr>
          <w:p>
            <w:pPr>
              <w:spacing w:after="0"/>
              <w:rPr>
                <w:sz w:val="21"/>
                <w:szCs w:val="21"/>
                <w:color w:val="auto"/>
              </w:rPr>
            </w:pPr>
          </w:p>
        </w:tc>
        <w:tc>
          <w:tcPr>
            <w:tcW w:w="7760" w:type="dxa"/>
            <w:vAlign w:val="bottom"/>
            <w:tcBorders>
              <w:bottom w:val="single" w:sz="8" w:color="E2E6F4"/>
            </w:tcBorders>
            <w:shd w:val="clear" w:color="auto" w:fill="E2E6F4"/>
          </w:tcPr>
          <w:p>
            <w:pPr>
              <w:ind w:left="40"/>
              <w:spacing w:after="0"/>
              <w:rPr>
                <w:sz w:val="20"/>
                <w:szCs w:val="20"/>
                <w:color w:val="auto"/>
              </w:rPr>
            </w:pPr>
            <w:r>
              <w:rPr>
                <w:rFonts w:ascii="Arial" w:cs="Arial" w:eastAsia="Arial" w:hAnsi="Arial"/>
                <w:sz w:val="18"/>
                <w:szCs w:val="18"/>
                <w:color w:val="auto"/>
              </w:rPr>
              <w:t>Acquisition related expenses</w:t>
            </w:r>
          </w:p>
        </w:tc>
        <w:tc>
          <w:tcPr>
            <w:tcW w:w="1920" w:type="dxa"/>
            <w:vAlign w:val="bottom"/>
            <w:tcBorders>
              <w:bottom w:val="single" w:sz="8" w:color="E2E6F4"/>
            </w:tcBorders>
            <w:shd w:val="clear" w:color="auto" w:fill="E2E6F4"/>
          </w:tcPr>
          <w:p>
            <w:pPr>
              <w:spacing w:after="0"/>
              <w:rPr>
                <w:sz w:val="21"/>
                <w:szCs w:val="21"/>
                <w:color w:val="auto"/>
              </w:rPr>
            </w:pPr>
          </w:p>
        </w:tc>
        <w:tc>
          <w:tcPr>
            <w:tcW w:w="1180" w:type="dxa"/>
            <w:vAlign w:val="bottom"/>
            <w:tcBorders>
              <w:bottom w:val="single" w:sz="8" w:color="E2E6F4"/>
            </w:tcBorders>
            <w:shd w:val="clear" w:color="auto" w:fill="E2E6F4"/>
          </w:tcPr>
          <w:p>
            <w:pPr>
              <w:jc w:val="right"/>
              <w:ind w:right="151"/>
              <w:spacing w:after="0"/>
              <w:rPr>
                <w:sz w:val="20"/>
                <w:szCs w:val="20"/>
                <w:color w:val="auto"/>
              </w:rPr>
            </w:pPr>
            <w:r>
              <w:rPr>
                <w:rFonts w:ascii="Arial" w:cs="Arial" w:eastAsia="Arial" w:hAnsi="Arial"/>
                <w:sz w:val="18"/>
                <w:szCs w:val="18"/>
                <w:color w:val="auto"/>
              </w:rPr>
              <w:t>867,613</w:t>
            </w:r>
          </w:p>
        </w:tc>
      </w:tr>
      <w:tr>
        <w:trPr>
          <w:trHeight w:val="263"/>
        </w:trPr>
        <w:tc>
          <w:tcPr>
            <w:tcW w:w="8140" w:type="dxa"/>
            <w:vAlign w:val="bottom"/>
            <w:gridSpan w:val="2"/>
          </w:tcPr>
          <w:p>
            <w:pPr>
              <w:ind w:left="20"/>
              <w:spacing w:after="0"/>
              <w:rPr>
                <w:sz w:val="20"/>
                <w:szCs w:val="20"/>
                <w:color w:val="auto"/>
              </w:rPr>
            </w:pPr>
            <w:r>
              <w:rPr>
                <w:rFonts w:ascii="Arial" w:cs="Arial" w:eastAsia="Arial" w:hAnsi="Arial"/>
                <w:sz w:val="18"/>
                <w:szCs w:val="18"/>
                <w:b w:val="1"/>
                <w:bCs w:val="1"/>
                <w:color w:val="auto"/>
              </w:rPr>
              <w:t>Adjusted gross margin</w:t>
            </w:r>
          </w:p>
        </w:tc>
        <w:tc>
          <w:tcPr>
            <w:tcW w:w="192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180" w:type="dxa"/>
            <w:vAlign w:val="bottom"/>
          </w:tcPr>
          <w:p>
            <w:pPr>
              <w:jc w:val="right"/>
              <w:ind w:right="151"/>
              <w:spacing w:after="0"/>
              <w:rPr>
                <w:sz w:val="20"/>
                <w:szCs w:val="20"/>
                <w:color w:val="auto"/>
              </w:rPr>
            </w:pPr>
            <w:r>
              <w:rPr>
                <w:rFonts w:ascii="Arial" w:cs="Arial" w:eastAsia="Arial" w:hAnsi="Arial"/>
                <w:sz w:val="18"/>
                <w:szCs w:val="18"/>
                <w:b w:val="1"/>
                <w:bCs w:val="1"/>
                <w:color w:val="auto"/>
              </w:rPr>
              <w:t>7,641,091</w:t>
            </w:r>
          </w:p>
        </w:tc>
      </w:tr>
      <w:tr>
        <w:trPr>
          <w:trHeight w:val="258"/>
        </w:trPr>
        <w:tc>
          <w:tcPr>
            <w:tcW w:w="8140" w:type="dxa"/>
            <w:vAlign w:val="bottom"/>
            <w:tcBorders>
              <w:bottom w:val="single" w:sz="8" w:color="E2E6F4"/>
            </w:tcBorders>
            <w:gridSpan w:val="2"/>
            <w:shd w:val="clear" w:color="auto" w:fill="E2E6F4"/>
          </w:tcPr>
          <w:p>
            <w:pPr>
              <w:ind w:left="220"/>
              <w:spacing w:after="0"/>
              <w:rPr>
                <w:sz w:val="20"/>
                <w:szCs w:val="20"/>
                <w:color w:val="auto"/>
              </w:rPr>
            </w:pPr>
            <w:r>
              <w:rPr>
                <w:rFonts w:ascii="Arial" w:cs="Arial" w:eastAsia="Arial" w:hAnsi="Arial"/>
                <w:sz w:val="18"/>
                <w:szCs w:val="18"/>
                <w:color w:val="auto"/>
              </w:rPr>
              <w:t>Adjusted gross margin percentage</w:t>
            </w:r>
          </w:p>
        </w:tc>
        <w:tc>
          <w:tcPr>
            <w:tcW w:w="1920" w:type="dxa"/>
            <w:vAlign w:val="bottom"/>
            <w:tcBorders>
              <w:bottom w:val="single" w:sz="8" w:color="E2E6F4"/>
            </w:tcBorders>
            <w:shd w:val="clear" w:color="auto" w:fill="E2E6F4"/>
          </w:tcPr>
          <w:p>
            <w:pPr>
              <w:spacing w:after="0"/>
              <w:rPr>
                <w:sz w:val="22"/>
                <w:szCs w:val="22"/>
                <w:color w:val="auto"/>
              </w:rPr>
            </w:pPr>
          </w:p>
        </w:tc>
        <w:tc>
          <w:tcPr>
            <w:tcW w:w="1180" w:type="dxa"/>
            <w:vAlign w:val="bottom"/>
            <w:tcBorders>
              <w:bottom w:val="single" w:sz="8" w:color="E2E6F4"/>
            </w:tcBorders>
            <w:shd w:val="clear" w:color="auto" w:fill="E2E6F4"/>
          </w:tcPr>
          <w:p>
            <w:pPr>
              <w:jc w:val="right"/>
              <w:spacing w:after="0"/>
              <w:rPr>
                <w:sz w:val="20"/>
                <w:szCs w:val="20"/>
                <w:color w:val="auto"/>
              </w:rPr>
            </w:pPr>
            <w:r>
              <w:rPr>
                <w:rFonts w:ascii="Arial" w:cs="Arial" w:eastAsia="Arial" w:hAnsi="Arial"/>
                <w:sz w:val="18"/>
                <w:szCs w:val="18"/>
                <w:color w:val="auto"/>
              </w:rPr>
              <w:t>69.3%</w:t>
            </w:r>
          </w:p>
        </w:tc>
      </w:tr>
      <w:tr>
        <w:trPr>
          <w:trHeight w:val="263"/>
        </w:trPr>
        <w:tc>
          <w:tcPr>
            <w:tcW w:w="8140" w:type="dxa"/>
            <w:vAlign w:val="bottom"/>
            <w:gridSpan w:val="2"/>
          </w:tcPr>
          <w:p>
            <w:pPr>
              <w:ind w:left="20"/>
              <w:spacing w:after="0"/>
              <w:rPr>
                <w:sz w:val="20"/>
                <w:szCs w:val="20"/>
                <w:color w:val="auto"/>
              </w:rPr>
            </w:pPr>
            <w:r>
              <w:rPr>
                <w:rFonts w:ascii="Arial" w:cs="Arial" w:eastAsia="Arial" w:hAnsi="Arial"/>
                <w:sz w:val="18"/>
                <w:szCs w:val="18"/>
                <w:b w:val="1"/>
                <w:bCs w:val="1"/>
                <w:color w:val="auto"/>
              </w:rPr>
              <w:t>Operating income</w:t>
            </w:r>
          </w:p>
        </w:tc>
        <w:tc>
          <w:tcPr>
            <w:tcW w:w="192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180" w:type="dxa"/>
            <w:vAlign w:val="bottom"/>
          </w:tcPr>
          <w:p>
            <w:pPr>
              <w:jc w:val="right"/>
              <w:ind w:right="151"/>
              <w:spacing w:after="0"/>
              <w:rPr>
                <w:sz w:val="20"/>
                <w:szCs w:val="20"/>
                <w:color w:val="auto"/>
              </w:rPr>
            </w:pPr>
            <w:r>
              <w:rPr>
                <w:rFonts w:ascii="Arial" w:cs="Arial" w:eastAsia="Arial" w:hAnsi="Arial"/>
                <w:sz w:val="18"/>
                <w:szCs w:val="18"/>
                <w:b w:val="1"/>
                <w:bCs w:val="1"/>
                <w:color w:val="auto"/>
              </w:rPr>
              <w:t>2,932,496</w:t>
            </w:r>
          </w:p>
        </w:tc>
      </w:tr>
      <w:tr>
        <w:trPr>
          <w:trHeight w:val="258"/>
        </w:trPr>
        <w:tc>
          <w:tcPr>
            <w:tcW w:w="8140" w:type="dxa"/>
            <w:vAlign w:val="bottom"/>
            <w:tcBorders>
              <w:bottom w:val="single" w:sz="8" w:color="E2E6F4"/>
            </w:tcBorders>
            <w:gridSpan w:val="2"/>
            <w:shd w:val="clear" w:color="auto" w:fill="E2E6F4"/>
          </w:tcPr>
          <w:p>
            <w:pPr>
              <w:ind w:left="220"/>
              <w:spacing w:after="0"/>
              <w:rPr>
                <w:sz w:val="20"/>
                <w:szCs w:val="20"/>
                <w:color w:val="auto"/>
              </w:rPr>
            </w:pPr>
            <w:r>
              <w:rPr>
                <w:rFonts w:ascii="Arial" w:cs="Arial" w:eastAsia="Arial" w:hAnsi="Arial"/>
                <w:sz w:val="18"/>
                <w:szCs w:val="18"/>
                <w:color w:val="auto"/>
              </w:rPr>
              <w:t>Operating margin</w:t>
            </w:r>
          </w:p>
        </w:tc>
        <w:tc>
          <w:tcPr>
            <w:tcW w:w="1920" w:type="dxa"/>
            <w:vAlign w:val="bottom"/>
            <w:tcBorders>
              <w:bottom w:val="single" w:sz="8" w:color="E2E6F4"/>
            </w:tcBorders>
            <w:shd w:val="clear" w:color="auto" w:fill="E2E6F4"/>
          </w:tcPr>
          <w:p>
            <w:pPr>
              <w:spacing w:after="0"/>
              <w:rPr>
                <w:sz w:val="22"/>
                <w:szCs w:val="22"/>
                <w:color w:val="auto"/>
              </w:rPr>
            </w:pPr>
          </w:p>
        </w:tc>
        <w:tc>
          <w:tcPr>
            <w:tcW w:w="1180" w:type="dxa"/>
            <w:vAlign w:val="bottom"/>
            <w:tcBorders>
              <w:bottom w:val="single" w:sz="8" w:color="E2E6F4"/>
            </w:tcBorders>
            <w:shd w:val="clear" w:color="auto" w:fill="E2E6F4"/>
          </w:tcPr>
          <w:p>
            <w:pPr>
              <w:jc w:val="right"/>
              <w:spacing w:after="0"/>
              <w:rPr>
                <w:sz w:val="20"/>
                <w:szCs w:val="20"/>
                <w:color w:val="auto"/>
              </w:rPr>
            </w:pPr>
            <w:r>
              <w:rPr>
                <w:rFonts w:ascii="Arial" w:cs="Arial" w:eastAsia="Arial" w:hAnsi="Arial"/>
                <w:sz w:val="18"/>
                <w:szCs w:val="18"/>
                <w:color w:val="auto"/>
              </w:rPr>
              <w:t>26.6%</w:t>
            </w:r>
          </w:p>
        </w:tc>
      </w:tr>
      <w:tr>
        <w:trPr>
          <w:trHeight w:val="247"/>
        </w:trPr>
        <w:tc>
          <w:tcPr>
            <w:tcW w:w="380" w:type="dxa"/>
            <w:vAlign w:val="bottom"/>
          </w:tcPr>
          <w:p>
            <w:pPr>
              <w:spacing w:after="0"/>
              <w:rPr>
                <w:sz w:val="21"/>
                <w:szCs w:val="21"/>
                <w:color w:val="auto"/>
              </w:rPr>
            </w:pPr>
          </w:p>
        </w:tc>
        <w:tc>
          <w:tcPr>
            <w:tcW w:w="7760" w:type="dxa"/>
            <w:vAlign w:val="bottom"/>
          </w:tcPr>
          <w:p>
            <w:pPr>
              <w:ind w:left="40"/>
              <w:spacing w:after="0"/>
              <w:rPr>
                <w:sz w:val="20"/>
                <w:szCs w:val="20"/>
                <w:color w:val="auto"/>
              </w:rPr>
            </w:pPr>
            <w:r>
              <w:rPr>
                <w:rFonts w:ascii="Arial" w:cs="Arial" w:eastAsia="Arial" w:hAnsi="Arial"/>
                <w:sz w:val="18"/>
                <w:szCs w:val="18"/>
                <w:color w:val="auto"/>
              </w:rPr>
              <w:t>Acquisition related expenses</w:t>
            </w:r>
          </w:p>
        </w:tc>
        <w:tc>
          <w:tcPr>
            <w:tcW w:w="1920" w:type="dxa"/>
            <w:vAlign w:val="bottom"/>
          </w:tcPr>
          <w:p>
            <w:pPr>
              <w:spacing w:after="0"/>
              <w:rPr>
                <w:sz w:val="21"/>
                <w:szCs w:val="21"/>
                <w:color w:val="auto"/>
              </w:rPr>
            </w:pPr>
          </w:p>
        </w:tc>
        <w:tc>
          <w:tcPr>
            <w:tcW w:w="1180" w:type="dxa"/>
            <w:vAlign w:val="bottom"/>
          </w:tcPr>
          <w:p>
            <w:pPr>
              <w:jc w:val="right"/>
              <w:ind w:right="151"/>
              <w:spacing w:after="0"/>
              <w:rPr>
                <w:sz w:val="20"/>
                <w:szCs w:val="20"/>
                <w:color w:val="auto"/>
              </w:rPr>
            </w:pPr>
            <w:r>
              <w:rPr>
                <w:rFonts w:ascii="Arial" w:cs="Arial" w:eastAsia="Arial" w:hAnsi="Arial"/>
                <w:sz w:val="18"/>
                <w:szCs w:val="18"/>
                <w:color w:val="auto"/>
              </w:rPr>
              <w:t>1,619,671</w:t>
            </w:r>
          </w:p>
        </w:tc>
      </w:tr>
      <w:tr>
        <w:trPr>
          <w:trHeight w:val="23"/>
        </w:trPr>
        <w:tc>
          <w:tcPr>
            <w:tcW w:w="380" w:type="dxa"/>
            <w:vAlign w:val="bottom"/>
          </w:tcPr>
          <w:p>
            <w:pPr>
              <w:spacing w:after="0"/>
              <w:rPr>
                <w:sz w:val="2"/>
                <w:szCs w:val="2"/>
                <w:color w:val="auto"/>
              </w:rPr>
            </w:pPr>
          </w:p>
        </w:tc>
        <w:tc>
          <w:tcPr>
            <w:tcW w:w="7760" w:type="dxa"/>
            <w:vAlign w:val="bottom"/>
          </w:tcPr>
          <w:p>
            <w:pPr>
              <w:spacing w:after="0"/>
              <w:rPr>
                <w:sz w:val="2"/>
                <w:szCs w:val="2"/>
                <w:color w:val="auto"/>
              </w:rPr>
            </w:pPr>
          </w:p>
        </w:tc>
        <w:tc>
          <w:tcPr>
            <w:tcW w:w="192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380" w:type="dxa"/>
            <w:vAlign w:val="bottom"/>
            <w:tcBorders>
              <w:bottom w:val="single" w:sz="8" w:color="E2E6F4"/>
            </w:tcBorders>
            <w:shd w:val="clear" w:color="auto" w:fill="E2E6F4"/>
          </w:tcPr>
          <w:p>
            <w:pPr>
              <w:spacing w:after="0"/>
              <w:rPr>
                <w:sz w:val="21"/>
                <w:szCs w:val="21"/>
                <w:color w:val="auto"/>
              </w:rPr>
            </w:pPr>
          </w:p>
        </w:tc>
        <w:tc>
          <w:tcPr>
            <w:tcW w:w="7760" w:type="dxa"/>
            <w:vAlign w:val="bottom"/>
            <w:tcBorders>
              <w:bottom w:val="single" w:sz="8" w:color="E2E6F4"/>
            </w:tcBorders>
            <w:shd w:val="clear" w:color="auto" w:fill="E2E6F4"/>
          </w:tcPr>
          <w:p>
            <w:pPr>
              <w:ind w:left="40"/>
              <w:spacing w:after="0"/>
              <w:rPr>
                <w:sz w:val="20"/>
                <w:szCs w:val="20"/>
                <w:color w:val="auto"/>
              </w:rPr>
            </w:pPr>
            <w:r>
              <w:rPr>
                <w:rFonts w:ascii="Arial" w:cs="Arial" w:eastAsia="Arial" w:hAnsi="Arial"/>
                <w:sz w:val="18"/>
                <w:szCs w:val="18"/>
                <w:color w:val="auto"/>
              </w:rPr>
              <w:t>Special charges, net</w:t>
            </w:r>
          </w:p>
        </w:tc>
        <w:tc>
          <w:tcPr>
            <w:tcW w:w="1920" w:type="dxa"/>
            <w:vAlign w:val="bottom"/>
            <w:tcBorders>
              <w:bottom w:val="single" w:sz="8" w:color="E2E6F4"/>
            </w:tcBorders>
            <w:shd w:val="clear" w:color="auto" w:fill="E2E6F4"/>
          </w:tcPr>
          <w:p>
            <w:pPr>
              <w:spacing w:after="0"/>
              <w:rPr>
                <w:sz w:val="21"/>
                <w:szCs w:val="21"/>
                <w:color w:val="auto"/>
              </w:rPr>
            </w:pPr>
          </w:p>
        </w:tc>
        <w:tc>
          <w:tcPr>
            <w:tcW w:w="1180" w:type="dxa"/>
            <w:vAlign w:val="bottom"/>
            <w:tcBorders>
              <w:bottom w:val="single" w:sz="8" w:color="E2E6F4"/>
            </w:tcBorders>
            <w:shd w:val="clear" w:color="auto" w:fill="E2E6F4"/>
          </w:tcPr>
          <w:p>
            <w:pPr>
              <w:jc w:val="right"/>
              <w:ind w:right="151"/>
              <w:spacing w:after="0"/>
              <w:rPr>
                <w:sz w:val="20"/>
                <w:szCs w:val="20"/>
                <w:color w:val="auto"/>
              </w:rPr>
            </w:pPr>
            <w:r>
              <w:rPr>
                <w:rFonts w:ascii="Arial" w:cs="Arial" w:eastAsia="Arial" w:hAnsi="Arial"/>
                <w:sz w:val="18"/>
                <w:szCs w:val="18"/>
                <w:color w:val="auto"/>
              </w:rPr>
              <w:t>69,980</w:t>
            </w:r>
          </w:p>
        </w:tc>
      </w:tr>
      <w:tr>
        <w:trPr>
          <w:trHeight w:val="263"/>
        </w:trPr>
        <w:tc>
          <w:tcPr>
            <w:tcW w:w="8140" w:type="dxa"/>
            <w:vAlign w:val="bottom"/>
            <w:gridSpan w:val="2"/>
          </w:tcPr>
          <w:p>
            <w:pPr>
              <w:ind w:left="20"/>
              <w:spacing w:after="0"/>
              <w:rPr>
                <w:sz w:val="20"/>
                <w:szCs w:val="20"/>
                <w:color w:val="auto"/>
              </w:rPr>
            </w:pPr>
            <w:r>
              <w:rPr>
                <w:rFonts w:ascii="Arial" w:cs="Arial" w:eastAsia="Arial" w:hAnsi="Arial"/>
                <w:sz w:val="18"/>
                <w:szCs w:val="18"/>
                <w:b w:val="1"/>
                <w:bCs w:val="1"/>
                <w:color w:val="auto"/>
              </w:rPr>
              <w:t>Adjusted operating income</w:t>
            </w:r>
          </w:p>
        </w:tc>
        <w:tc>
          <w:tcPr>
            <w:tcW w:w="192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180" w:type="dxa"/>
            <w:vAlign w:val="bottom"/>
          </w:tcPr>
          <w:p>
            <w:pPr>
              <w:jc w:val="right"/>
              <w:ind w:right="151"/>
              <w:spacing w:after="0"/>
              <w:rPr>
                <w:sz w:val="20"/>
                <w:szCs w:val="20"/>
                <w:color w:val="auto"/>
              </w:rPr>
            </w:pPr>
            <w:r>
              <w:rPr>
                <w:rFonts w:ascii="Arial" w:cs="Arial" w:eastAsia="Arial" w:hAnsi="Arial"/>
                <w:sz w:val="18"/>
                <w:szCs w:val="18"/>
                <w:b w:val="1"/>
                <w:bCs w:val="1"/>
                <w:color w:val="auto"/>
              </w:rPr>
              <w:t>4,622,147</w:t>
            </w:r>
          </w:p>
        </w:tc>
      </w:tr>
      <w:tr>
        <w:trPr>
          <w:trHeight w:val="258"/>
        </w:trPr>
        <w:tc>
          <w:tcPr>
            <w:tcW w:w="8140" w:type="dxa"/>
            <w:vAlign w:val="bottom"/>
            <w:tcBorders>
              <w:bottom w:val="single" w:sz="8" w:color="E2E6F4"/>
            </w:tcBorders>
            <w:gridSpan w:val="2"/>
            <w:shd w:val="clear" w:color="auto" w:fill="E2E6F4"/>
          </w:tcPr>
          <w:p>
            <w:pPr>
              <w:ind w:left="220"/>
              <w:spacing w:after="0"/>
              <w:rPr>
                <w:sz w:val="20"/>
                <w:szCs w:val="20"/>
                <w:color w:val="auto"/>
              </w:rPr>
            </w:pPr>
            <w:r>
              <w:rPr>
                <w:rFonts w:ascii="Arial" w:cs="Arial" w:eastAsia="Arial" w:hAnsi="Arial"/>
                <w:sz w:val="18"/>
                <w:szCs w:val="18"/>
                <w:color w:val="auto"/>
              </w:rPr>
              <w:t>Adjusted operating margin</w:t>
            </w:r>
          </w:p>
        </w:tc>
        <w:tc>
          <w:tcPr>
            <w:tcW w:w="1920" w:type="dxa"/>
            <w:vAlign w:val="bottom"/>
            <w:tcBorders>
              <w:bottom w:val="single" w:sz="8" w:color="E2E6F4"/>
            </w:tcBorders>
            <w:shd w:val="clear" w:color="auto" w:fill="E2E6F4"/>
          </w:tcPr>
          <w:p>
            <w:pPr>
              <w:spacing w:after="0"/>
              <w:rPr>
                <w:sz w:val="22"/>
                <w:szCs w:val="22"/>
                <w:color w:val="auto"/>
              </w:rPr>
            </w:pPr>
          </w:p>
        </w:tc>
        <w:tc>
          <w:tcPr>
            <w:tcW w:w="1180" w:type="dxa"/>
            <w:vAlign w:val="bottom"/>
            <w:tcBorders>
              <w:bottom w:val="single" w:sz="8" w:color="E2E6F4"/>
            </w:tcBorders>
            <w:shd w:val="clear" w:color="auto" w:fill="E2E6F4"/>
          </w:tcPr>
          <w:p>
            <w:pPr>
              <w:jc w:val="right"/>
              <w:spacing w:after="0"/>
              <w:rPr>
                <w:sz w:val="20"/>
                <w:szCs w:val="20"/>
                <w:color w:val="auto"/>
              </w:rPr>
            </w:pPr>
            <w:r>
              <w:rPr>
                <w:rFonts w:ascii="Arial" w:cs="Arial" w:eastAsia="Arial" w:hAnsi="Arial"/>
                <w:sz w:val="18"/>
                <w:szCs w:val="18"/>
                <w:color w:val="auto"/>
              </w:rPr>
              <w:t>41.9%</w:t>
            </w:r>
          </w:p>
        </w:tc>
      </w:tr>
      <w:tr>
        <w:trPr>
          <w:trHeight w:val="263"/>
        </w:trPr>
        <w:tc>
          <w:tcPr>
            <w:tcW w:w="8140" w:type="dxa"/>
            <w:vAlign w:val="bottom"/>
            <w:gridSpan w:val="2"/>
          </w:tcPr>
          <w:p>
            <w:pPr>
              <w:ind w:left="20"/>
              <w:spacing w:after="0"/>
              <w:rPr>
                <w:sz w:val="20"/>
                <w:szCs w:val="20"/>
                <w:color w:val="auto"/>
              </w:rPr>
            </w:pPr>
            <w:r>
              <w:rPr>
                <w:rFonts w:ascii="Arial" w:cs="Arial" w:eastAsia="Arial" w:hAnsi="Arial"/>
                <w:sz w:val="18"/>
                <w:szCs w:val="18"/>
                <w:b w:val="1"/>
                <w:bCs w:val="1"/>
                <w:color w:val="auto"/>
              </w:rPr>
              <w:t>Diluted EPS</w:t>
            </w:r>
          </w:p>
        </w:tc>
        <w:tc>
          <w:tcPr>
            <w:tcW w:w="192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180" w:type="dxa"/>
            <w:vAlign w:val="bottom"/>
          </w:tcPr>
          <w:p>
            <w:pPr>
              <w:jc w:val="right"/>
              <w:ind w:right="151"/>
              <w:spacing w:after="0"/>
              <w:rPr>
                <w:sz w:val="20"/>
                <w:szCs w:val="20"/>
                <w:color w:val="auto"/>
              </w:rPr>
            </w:pPr>
            <w:r>
              <w:rPr>
                <w:rFonts w:ascii="Arial" w:cs="Arial" w:eastAsia="Arial" w:hAnsi="Arial"/>
                <w:sz w:val="18"/>
                <w:szCs w:val="18"/>
                <w:b w:val="1"/>
                <w:bCs w:val="1"/>
                <w:color w:val="auto"/>
              </w:rPr>
              <w:t>4.56</w:t>
            </w:r>
          </w:p>
        </w:tc>
      </w:tr>
      <w:tr>
        <w:trPr>
          <w:trHeight w:val="258"/>
        </w:trPr>
        <w:tc>
          <w:tcPr>
            <w:tcW w:w="380" w:type="dxa"/>
            <w:vAlign w:val="bottom"/>
            <w:tcBorders>
              <w:bottom w:val="single" w:sz="8" w:color="E2E6F4"/>
            </w:tcBorders>
            <w:shd w:val="clear" w:color="auto" w:fill="E2E6F4"/>
          </w:tcPr>
          <w:p>
            <w:pPr>
              <w:spacing w:after="0"/>
              <w:rPr>
                <w:sz w:val="22"/>
                <w:szCs w:val="22"/>
                <w:color w:val="auto"/>
              </w:rPr>
            </w:pPr>
          </w:p>
        </w:tc>
        <w:tc>
          <w:tcPr>
            <w:tcW w:w="7760" w:type="dxa"/>
            <w:vAlign w:val="bottom"/>
            <w:tcBorders>
              <w:bottom w:val="single" w:sz="8" w:color="E2E6F4"/>
            </w:tcBorders>
            <w:shd w:val="clear" w:color="auto" w:fill="E2E6F4"/>
          </w:tcPr>
          <w:p>
            <w:pPr>
              <w:ind w:left="40"/>
              <w:spacing w:after="0"/>
              <w:rPr>
                <w:sz w:val="20"/>
                <w:szCs w:val="20"/>
                <w:color w:val="auto"/>
              </w:rPr>
            </w:pPr>
            <w:r>
              <w:rPr>
                <w:rFonts w:ascii="Arial" w:cs="Arial" w:eastAsia="Arial" w:hAnsi="Arial"/>
                <w:sz w:val="18"/>
                <w:szCs w:val="18"/>
                <w:color w:val="auto"/>
              </w:rPr>
              <w:t>Acquisition related expenses</w:t>
            </w:r>
          </w:p>
        </w:tc>
        <w:tc>
          <w:tcPr>
            <w:tcW w:w="1920" w:type="dxa"/>
            <w:vAlign w:val="bottom"/>
            <w:tcBorders>
              <w:bottom w:val="single" w:sz="8" w:color="E2E6F4"/>
            </w:tcBorders>
            <w:shd w:val="clear" w:color="auto" w:fill="E2E6F4"/>
          </w:tcPr>
          <w:p>
            <w:pPr>
              <w:spacing w:after="0"/>
              <w:rPr>
                <w:sz w:val="22"/>
                <w:szCs w:val="22"/>
                <w:color w:val="auto"/>
              </w:rPr>
            </w:pPr>
          </w:p>
        </w:tc>
        <w:tc>
          <w:tcPr>
            <w:tcW w:w="1180" w:type="dxa"/>
            <w:vAlign w:val="bottom"/>
            <w:tcBorders>
              <w:bottom w:val="single" w:sz="8" w:color="E2E6F4"/>
            </w:tcBorders>
            <w:shd w:val="clear" w:color="auto" w:fill="E2E6F4"/>
          </w:tcPr>
          <w:p>
            <w:pPr>
              <w:jc w:val="right"/>
              <w:ind w:right="151"/>
              <w:spacing w:after="0"/>
              <w:rPr>
                <w:sz w:val="20"/>
                <w:szCs w:val="20"/>
                <w:color w:val="auto"/>
              </w:rPr>
            </w:pPr>
            <w:r>
              <w:rPr>
                <w:rFonts w:ascii="Arial" w:cs="Arial" w:eastAsia="Arial" w:hAnsi="Arial"/>
                <w:sz w:val="18"/>
                <w:szCs w:val="18"/>
                <w:color w:val="auto"/>
              </w:rPr>
              <w:t>3.24</w:t>
            </w:r>
          </w:p>
        </w:tc>
      </w:tr>
      <w:tr>
        <w:trPr>
          <w:trHeight w:val="247"/>
        </w:trPr>
        <w:tc>
          <w:tcPr>
            <w:tcW w:w="380" w:type="dxa"/>
            <w:vAlign w:val="bottom"/>
          </w:tcPr>
          <w:p>
            <w:pPr>
              <w:spacing w:after="0"/>
              <w:rPr>
                <w:sz w:val="21"/>
                <w:szCs w:val="21"/>
                <w:color w:val="auto"/>
              </w:rPr>
            </w:pPr>
          </w:p>
        </w:tc>
        <w:tc>
          <w:tcPr>
            <w:tcW w:w="7760" w:type="dxa"/>
            <w:vAlign w:val="bottom"/>
          </w:tcPr>
          <w:p>
            <w:pPr>
              <w:ind w:left="40"/>
              <w:spacing w:after="0"/>
              <w:rPr>
                <w:sz w:val="20"/>
                <w:szCs w:val="20"/>
                <w:color w:val="auto"/>
              </w:rPr>
            </w:pPr>
            <w:r>
              <w:rPr>
                <w:rFonts w:ascii="Arial" w:cs="Arial" w:eastAsia="Arial" w:hAnsi="Arial"/>
                <w:sz w:val="18"/>
                <w:szCs w:val="18"/>
                <w:color w:val="auto"/>
              </w:rPr>
              <w:t>Special charges, net</w:t>
            </w:r>
          </w:p>
        </w:tc>
        <w:tc>
          <w:tcPr>
            <w:tcW w:w="1920" w:type="dxa"/>
            <w:vAlign w:val="bottom"/>
          </w:tcPr>
          <w:p>
            <w:pPr>
              <w:spacing w:after="0"/>
              <w:rPr>
                <w:sz w:val="21"/>
                <w:szCs w:val="21"/>
                <w:color w:val="auto"/>
              </w:rPr>
            </w:pPr>
          </w:p>
        </w:tc>
        <w:tc>
          <w:tcPr>
            <w:tcW w:w="1180" w:type="dxa"/>
            <w:vAlign w:val="bottom"/>
          </w:tcPr>
          <w:p>
            <w:pPr>
              <w:jc w:val="right"/>
              <w:ind w:right="151"/>
              <w:spacing w:after="0"/>
              <w:rPr>
                <w:sz w:val="20"/>
                <w:szCs w:val="20"/>
                <w:color w:val="auto"/>
              </w:rPr>
            </w:pPr>
            <w:r>
              <w:rPr>
                <w:rFonts w:ascii="Arial" w:cs="Arial" w:eastAsia="Arial" w:hAnsi="Arial"/>
                <w:sz w:val="18"/>
                <w:szCs w:val="18"/>
                <w:color w:val="auto"/>
              </w:rPr>
              <w:t>0.14</w:t>
            </w:r>
          </w:p>
        </w:tc>
      </w:tr>
      <w:tr>
        <w:trPr>
          <w:trHeight w:val="23"/>
        </w:trPr>
        <w:tc>
          <w:tcPr>
            <w:tcW w:w="380" w:type="dxa"/>
            <w:vAlign w:val="bottom"/>
          </w:tcPr>
          <w:p>
            <w:pPr>
              <w:spacing w:after="0"/>
              <w:rPr>
                <w:sz w:val="2"/>
                <w:szCs w:val="2"/>
                <w:color w:val="auto"/>
              </w:rPr>
            </w:pPr>
          </w:p>
        </w:tc>
        <w:tc>
          <w:tcPr>
            <w:tcW w:w="7760" w:type="dxa"/>
            <w:vAlign w:val="bottom"/>
          </w:tcPr>
          <w:p>
            <w:pPr>
              <w:spacing w:after="0"/>
              <w:rPr>
                <w:sz w:val="2"/>
                <w:szCs w:val="2"/>
                <w:color w:val="auto"/>
              </w:rPr>
            </w:pPr>
          </w:p>
        </w:tc>
        <w:tc>
          <w:tcPr>
            <w:tcW w:w="192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380" w:type="dxa"/>
            <w:vAlign w:val="bottom"/>
            <w:tcBorders>
              <w:bottom w:val="single" w:sz="8" w:color="E2E6F4"/>
            </w:tcBorders>
            <w:shd w:val="clear" w:color="auto" w:fill="E2E6F4"/>
          </w:tcPr>
          <w:p>
            <w:pPr>
              <w:spacing w:after="0"/>
              <w:rPr>
                <w:sz w:val="21"/>
                <w:szCs w:val="21"/>
                <w:color w:val="auto"/>
              </w:rPr>
            </w:pPr>
          </w:p>
        </w:tc>
        <w:tc>
          <w:tcPr>
            <w:tcW w:w="7760" w:type="dxa"/>
            <w:vAlign w:val="bottom"/>
            <w:tcBorders>
              <w:bottom w:val="single" w:sz="8" w:color="E2E6F4"/>
            </w:tcBorders>
            <w:shd w:val="clear" w:color="auto" w:fill="E2E6F4"/>
          </w:tcPr>
          <w:p>
            <w:pPr>
              <w:ind w:left="40"/>
              <w:spacing w:after="0"/>
              <w:rPr>
                <w:sz w:val="20"/>
                <w:szCs w:val="20"/>
                <w:color w:val="auto"/>
              </w:rPr>
            </w:pPr>
            <w:r>
              <w:rPr>
                <w:rFonts w:ascii="Arial" w:cs="Arial" w:eastAsia="Arial" w:hAnsi="Arial"/>
                <w:sz w:val="18"/>
                <w:szCs w:val="18"/>
                <w:color w:val="auto"/>
              </w:rPr>
              <w:t>Tax related items</w:t>
            </w:r>
          </w:p>
        </w:tc>
        <w:tc>
          <w:tcPr>
            <w:tcW w:w="1920" w:type="dxa"/>
            <w:vAlign w:val="bottom"/>
            <w:tcBorders>
              <w:bottom w:val="single" w:sz="8" w:color="E2E6F4"/>
            </w:tcBorders>
            <w:shd w:val="clear" w:color="auto" w:fill="E2E6F4"/>
          </w:tcPr>
          <w:p>
            <w:pPr>
              <w:spacing w:after="0"/>
              <w:rPr>
                <w:sz w:val="21"/>
                <w:szCs w:val="21"/>
                <w:color w:val="auto"/>
              </w:rPr>
            </w:pPr>
          </w:p>
        </w:tc>
        <w:tc>
          <w:tcPr>
            <w:tcW w:w="1180" w:type="dxa"/>
            <w:vAlign w:val="bottom"/>
            <w:tcBorders>
              <w:bottom w:val="single" w:sz="8" w:color="E2E6F4"/>
            </w:tcBorders>
            <w:shd w:val="clear" w:color="auto" w:fill="E2E6F4"/>
          </w:tcPr>
          <w:p>
            <w:pPr>
              <w:jc w:val="right"/>
              <w:ind w:right="91"/>
              <w:spacing w:after="0"/>
              <w:rPr>
                <w:sz w:val="20"/>
                <w:szCs w:val="20"/>
                <w:color w:val="auto"/>
              </w:rPr>
            </w:pPr>
            <w:r>
              <w:rPr>
                <w:rFonts w:ascii="Arial" w:cs="Arial" w:eastAsia="Arial" w:hAnsi="Arial"/>
                <w:sz w:val="18"/>
                <w:szCs w:val="18"/>
                <w:color w:val="auto"/>
              </w:rPr>
              <w:t>(0.16)</w:t>
            </w:r>
          </w:p>
        </w:tc>
      </w:tr>
      <w:tr>
        <w:trPr>
          <w:trHeight w:val="263"/>
        </w:trPr>
        <w:tc>
          <w:tcPr>
            <w:tcW w:w="8140" w:type="dxa"/>
            <w:vAlign w:val="bottom"/>
            <w:tcBorders>
              <w:bottom w:val="single" w:sz="8" w:color="0067B3"/>
            </w:tcBorders>
            <w:gridSpan w:val="2"/>
          </w:tcPr>
          <w:p>
            <w:pPr>
              <w:ind w:left="20"/>
              <w:spacing w:after="0"/>
              <w:rPr>
                <w:sz w:val="20"/>
                <w:szCs w:val="20"/>
                <w:color w:val="auto"/>
              </w:rPr>
            </w:pPr>
            <w:r>
              <w:rPr>
                <w:rFonts w:ascii="Arial" w:cs="Arial" w:eastAsia="Arial" w:hAnsi="Arial"/>
                <w:sz w:val="18"/>
                <w:szCs w:val="18"/>
                <w:b w:val="1"/>
                <w:bCs w:val="1"/>
                <w:color w:val="auto"/>
              </w:rPr>
              <w:t>Adjusted diluted EPS</w:t>
            </w:r>
          </w:p>
        </w:tc>
        <w:tc>
          <w:tcPr>
            <w:tcW w:w="1920" w:type="dxa"/>
            <w:vAlign w:val="bottom"/>
            <w:tcBorders>
              <w:bottom w:val="single" w:sz="8" w:color="0067B3"/>
            </w:tcBorders>
          </w:tcPr>
          <w:p>
            <w:pPr>
              <w:jc w:val="right"/>
              <w:spacing w:after="0"/>
              <w:rPr>
                <w:sz w:val="20"/>
                <w:szCs w:val="20"/>
                <w:color w:val="auto"/>
              </w:rPr>
            </w:pPr>
            <w:r>
              <w:rPr>
                <w:rFonts w:ascii="Arial" w:cs="Arial" w:eastAsia="Arial" w:hAnsi="Arial"/>
                <w:sz w:val="18"/>
                <w:szCs w:val="18"/>
                <w:b w:val="1"/>
                <w:bCs w:val="1"/>
                <w:color w:val="auto"/>
              </w:rPr>
              <w:t>$</w:t>
            </w:r>
          </w:p>
        </w:tc>
        <w:tc>
          <w:tcPr>
            <w:tcW w:w="1180" w:type="dxa"/>
            <w:vAlign w:val="bottom"/>
            <w:tcBorders>
              <w:bottom w:val="single" w:sz="8" w:color="0067B3"/>
            </w:tcBorders>
          </w:tcPr>
          <w:p>
            <w:pPr>
              <w:jc w:val="right"/>
              <w:ind w:right="151"/>
              <w:spacing w:after="0"/>
              <w:rPr>
                <w:sz w:val="20"/>
                <w:szCs w:val="20"/>
                <w:color w:val="auto"/>
              </w:rPr>
            </w:pPr>
            <w:r>
              <w:rPr>
                <w:rFonts w:ascii="Arial" w:cs="Arial" w:eastAsia="Arial" w:hAnsi="Arial"/>
                <w:sz w:val="18"/>
                <w:szCs w:val="18"/>
                <w:b w:val="1"/>
                <w:bCs w:val="1"/>
                <w:color w:val="auto"/>
              </w:rPr>
              <w:t>7.79</w:t>
            </w:r>
          </w:p>
        </w:tc>
      </w:tr>
      <w:tr>
        <w:trPr>
          <w:trHeight w:val="457"/>
        </w:trPr>
        <w:tc>
          <w:tcPr>
            <w:tcW w:w="8140" w:type="dxa"/>
            <w:vAlign w:val="bottom"/>
            <w:gridSpan w:val="2"/>
          </w:tcPr>
          <w:p>
            <w:pPr>
              <w:spacing w:after="0"/>
              <w:rPr>
                <w:sz w:val="20"/>
                <w:szCs w:val="20"/>
                <w:color w:val="auto"/>
              </w:rPr>
            </w:pPr>
            <w:r>
              <w:rPr>
                <w:rFonts w:ascii="Arial" w:cs="Arial" w:eastAsia="Arial" w:hAnsi="Arial"/>
                <w:sz w:val="18"/>
                <w:szCs w:val="18"/>
                <w:b w:val="1"/>
                <w:bCs w:val="1"/>
                <w:color w:val="0067B3"/>
              </w:rPr>
              <w:t>Reconciliation of Net Cash Provided by Operating Activities to Free Cash Flow (Unaudited)</w:t>
            </w:r>
          </w:p>
        </w:tc>
        <w:tc>
          <w:tcPr>
            <w:tcW w:w="1920" w:type="dxa"/>
            <w:vAlign w:val="bottom"/>
          </w:tcPr>
          <w:p>
            <w:pPr>
              <w:spacing w:after="0"/>
              <w:rPr>
                <w:sz w:val="24"/>
                <w:szCs w:val="24"/>
                <w:color w:val="auto"/>
              </w:rPr>
            </w:pPr>
          </w:p>
        </w:tc>
        <w:tc>
          <w:tcPr>
            <w:tcW w:w="1180" w:type="dxa"/>
            <w:vAlign w:val="bottom"/>
          </w:tcPr>
          <w:p>
            <w:pPr>
              <w:spacing w:after="0"/>
              <w:rPr>
                <w:sz w:val="24"/>
                <w:szCs w:val="24"/>
                <w:color w:val="auto"/>
              </w:rPr>
            </w:pPr>
          </w:p>
        </w:tc>
      </w:tr>
      <w:tr>
        <w:trPr>
          <w:trHeight w:val="337"/>
        </w:trPr>
        <w:tc>
          <w:tcPr>
            <w:tcW w:w="8140" w:type="dxa"/>
            <w:vAlign w:val="bottom"/>
            <w:gridSpan w:val="2"/>
          </w:tcPr>
          <w:p>
            <w:pPr>
              <w:spacing w:after="0"/>
              <w:rPr>
                <w:sz w:val="20"/>
                <w:szCs w:val="20"/>
                <w:color w:val="auto"/>
              </w:rPr>
            </w:pPr>
            <w:r>
              <w:rPr>
                <w:rFonts w:ascii="Arial" w:cs="Arial" w:eastAsia="Arial" w:hAnsi="Arial"/>
                <w:sz w:val="16"/>
                <w:szCs w:val="16"/>
                <w:color w:val="auto"/>
              </w:rPr>
              <w:t>(In thousands)</w:t>
            </w:r>
          </w:p>
        </w:tc>
        <w:tc>
          <w:tcPr>
            <w:tcW w:w="1920" w:type="dxa"/>
            <w:vAlign w:val="bottom"/>
          </w:tcPr>
          <w:p>
            <w:pPr>
              <w:spacing w:after="0"/>
              <w:rPr>
                <w:sz w:val="24"/>
                <w:szCs w:val="24"/>
                <w:color w:val="auto"/>
              </w:rPr>
            </w:pPr>
          </w:p>
        </w:tc>
        <w:tc>
          <w:tcPr>
            <w:tcW w:w="1180" w:type="dxa"/>
            <w:vAlign w:val="bottom"/>
          </w:tcPr>
          <w:p>
            <w:pPr>
              <w:spacing w:after="0"/>
              <w:rPr>
                <w:sz w:val="24"/>
                <w:szCs w:val="24"/>
                <w:color w:val="auto"/>
              </w:rPr>
            </w:pPr>
          </w:p>
        </w:tc>
      </w:tr>
      <w:tr>
        <w:trPr>
          <w:trHeight w:val="124"/>
        </w:trPr>
        <w:tc>
          <w:tcPr>
            <w:tcW w:w="380" w:type="dxa"/>
            <w:vAlign w:val="bottom"/>
          </w:tcPr>
          <w:p>
            <w:pPr>
              <w:spacing w:after="0"/>
              <w:rPr>
                <w:sz w:val="10"/>
                <w:szCs w:val="10"/>
                <w:color w:val="auto"/>
              </w:rPr>
            </w:pPr>
          </w:p>
        </w:tc>
        <w:tc>
          <w:tcPr>
            <w:tcW w:w="7760" w:type="dxa"/>
            <w:vAlign w:val="bottom"/>
          </w:tcPr>
          <w:p>
            <w:pPr>
              <w:spacing w:after="0"/>
              <w:rPr>
                <w:sz w:val="10"/>
                <w:szCs w:val="10"/>
                <w:color w:val="auto"/>
              </w:rPr>
            </w:pPr>
          </w:p>
        </w:tc>
        <w:tc>
          <w:tcPr>
            <w:tcW w:w="3100" w:type="dxa"/>
            <w:vAlign w:val="bottom"/>
            <w:gridSpan w:val="2"/>
          </w:tcPr>
          <w:p>
            <w:pPr>
              <w:spacing w:after="0"/>
              <w:rPr>
                <w:sz w:val="10"/>
                <w:szCs w:val="10"/>
                <w:color w:val="auto"/>
              </w:rPr>
            </w:pPr>
          </w:p>
        </w:tc>
      </w:tr>
      <w:tr>
        <w:trPr>
          <w:trHeight w:val="215"/>
        </w:trPr>
        <w:tc>
          <w:tcPr>
            <w:tcW w:w="380" w:type="dxa"/>
            <w:vAlign w:val="bottom"/>
            <w:shd w:val="clear" w:color="auto" w:fill="0067B3"/>
          </w:tcPr>
          <w:p>
            <w:pPr>
              <w:spacing w:after="0"/>
              <w:rPr>
                <w:sz w:val="18"/>
                <w:szCs w:val="18"/>
                <w:color w:val="auto"/>
              </w:rPr>
            </w:pPr>
          </w:p>
        </w:tc>
        <w:tc>
          <w:tcPr>
            <w:tcW w:w="7760" w:type="dxa"/>
            <w:vAlign w:val="bottom"/>
            <w:shd w:val="clear" w:color="auto" w:fill="0067B3"/>
          </w:tcPr>
          <w:p>
            <w:pPr>
              <w:spacing w:after="0"/>
              <w:rPr>
                <w:sz w:val="18"/>
                <w:szCs w:val="18"/>
                <w:color w:val="auto"/>
              </w:rPr>
            </w:pPr>
          </w:p>
        </w:tc>
        <w:tc>
          <w:tcPr>
            <w:tcW w:w="3100" w:type="dxa"/>
            <w:vAlign w:val="bottom"/>
            <w:gridSpan w:val="2"/>
            <w:shd w:val="clear" w:color="auto" w:fill="0067B3"/>
          </w:tcPr>
          <w:p>
            <w:pPr>
              <w:jc w:val="center"/>
              <w:ind w:left="272"/>
              <w:spacing w:after="0"/>
              <w:rPr>
                <w:sz w:val="20"/>
                <w:szCs w:val="20"/>
                <w:color w:val="auto"/>
              </w:rPr>
            </w:pPr>
            <w:r>
              <w:rPr>
                <w:rFonts w:ascii="Arial" w:cs="Arial" w:eastAsia="Arial" w:hAnsi="Arial"/>
                <w:sz w:val="16"/>
                <w:szCs w:val="16"/>
                <w:b w:val="1"/>
                <w:bCs w:val="1"/>
                <w:color w:val="FFFFFF"/>
              </w:rPr>
              <w:t>Twelve months ended November 1,</w:t>
            </w:r>
          </w:p>
        </w:tc>
      </w:tr>
      <w:tr>
        <w:trPr>
          <w:trHeight w:val="230"/>
        </w:trPr>
        <w:tc>
          <w:tcPr>
            <w:tcW w:w="380" w:type="dxa"/>
            <w:vAlign w:val="bottom"/>
            <w:shd w:val="clear" w:color="auto" w:fill="0067B3"/>
          </w:tcPr>
          <w:p>
            <w:pPr>
              <w:spacing w:after="0"/>
              <w:rPr>
                <w:sz w:val="20"/>
                <w:szCs w:val="20"/>
                <w:color w:val="auto"/>
              </w:rPr>
            </w:pPr>
          </w:p>
        </w:tc>
        <w:tc>
          <w:tcPr>
            <w:tcW w:w="7760" w:type="dxa"/>
            <w:vAlign w:val="bottom"/>
            <w:shd w:val="clear" w:color="auto" w:fill="0067B3"/>
          </w:tcPr>
          <w:p>
            <w:pPr>
              <w:spacing w:after="0"/>
              <w:rPr>
                <w:sz w:val="20"/>
                <w:szCs w:val="20"/>
                <w:color w:val="auto"/>
              </w:rPr>
            </w:pPr>
          </w:p>
        </w:tc>
        <w:tc>
          <w:tcPr>
            <w:tcW w:w="1920" w:type="dxa"/>
            <w:vAlign w:val="bottom"/>
            <w:shd w:val="clear" w:color="auto" w:fill="0067B3"/>
          </w:tcPr>
          <w:p>
            <w:pPr>
              <w:spacing w:after="0"/>
              <w:rPr>
                <w:sz w:val="20"/>
                <w:szCs w:val="20"/>
                <w:color w:val="auto"/>
              </w:rPr>
            </w:pPr>
          </w:p>
        </w:tc>
        <w:tc>
          <w:tcPr>
            <w:tcW w:w="1180" w:type="dxa"/>
            <w:vAlign w:val="bottom"/>
            <w:shd w:val="clear" w:color="auto" w:fill="0067B3"/>
          </w:tcPr>
          <w:p>
            <w:pPr>
              <w:jc w:val="right"/>
              <w:spacing w:after="0"/>
              <w:rPr>
                <w:sz w:val="20"/>
                <w:szCs w:val="20"/>
                <w:color w:val="auto"/>
              </w:rPr>
            </w:pPr>
            <w:r>
              <w:rPr>
                <w:rFonts w:ascii="Arial" w:cs="Arial" w:eastAsia="Arial" w:hAnsi="Arial"/>
                <w:sz w:val="16"/>
                <w:szCs w:val="16"/>
                <w:b w:val="1"/>
                <w:bCs w:val="1"/>
                <w:color w:val="FFFFFF"/>
              </w:rPr>
              <w:t>2025</w:t>
            </w:r>
          </w:p>
        </w:tc>
      </w:tr>
      <w:tr>
        <w:trPr>
          <w:trHeight w:val="250"/>
        </w:trPr>
        <w:tc>
          <w:tcPr>
            <w:tcW w:w="8140" w:type="dxa"/>
            <w:vAlign w:val="bottom"/>
            <w:tcBorders>
              <w:bottom w:val="single" w:sz="8" w:color="E2E6F4"/>
            </w:tcBorders>
            <w:gridSpan w:val="2"/>
            <w:shd w:val="clear" w:color="auto" w:fill="E2E6F4"/>
          </w:tcPr>
          <w:p>
            <w:pPr>
              <w:ind w:left="20"/>
              <w:spacing w:after="0"/>
              <w:rPr>
                <w:sz w:val="20"/>
                <w:szCs w:val="20"/>
                <w:color w:val="auto"/>
              </w:rPr>
            </w:pPr>
            <w:r>
              <w:rPr>
                <w:rFonts w:ascii="Arial" w:cs="Arial" w:eastAsia="Arial" w:hAnsi="Arial"/>
                <w:sz w:val="18"/>
                <w:szCs w:val="18"/>
                <w:color w:val="auto"/>
              </w:rPr>
              <w:t>Revenue</w:t>
            </w:r>
          </w:p>
        </w:tc>
        <w:tc>
          <w:tcPr>
            <w:tcW w:w="1920" w:type="dxa"/>
            <w:vAlign w:val="bottom"/>
            <w:tcBorders>
              <w:bottom w:val="single" w:sz="8" w:color="E2E6F4"/>
            </w:tcBorders>
            <w:shd w:val="clear" w:color="auto" w:fill="E2E6F4"/>
          </w:tcPr>
          <w:p>
            <w:pPr>
              <w:jc w:val="center"/>
              <w:ind w:left="1452"/>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E2E6F4"/>
            </w:tcBorders>
            <w:shd w:val="clear" w:color="auto" w:fill="E2E6F4"/>
          </w:tcPr>
          <w:p>
            <w:pPr>
              <w:jc w:val="right"/>
              <w:ind w:right="151"/>
              <w:spacing w:after="0"/>
              <w:rPr>
                <w:sz w:val="20"/>
                <w:szCs w:val="20"/>
                <w:color w:val="auto"/>
              </w:rPr>
            </w:pPr>
            <w:r>
              <w:rPr>
                <w:rFonts w:ascii="Arial" w:cs="Arial" w:eastAsia="Arial" w:hAnsi="Arial"/>
                <w:sz w:val="18"/>
                <w:szCs w:val="18"/>
                <w:color w:val="auto"/>
              </w:rPr>
              <w:t>11,019,707</w:t>
            </w:r>
          </w:p>
        </w:tc>
      </w:tr>
      <w:tr>
        <w:trPr>
          <w:trHeight w:val="263"/>
        </w:trPr>
        <w:tc>
          <w:tcPr>
            <w:tcW w:w="8140" w:type="dxa"/>
            <w:vAlign w:val="bottom"/>
            <w:gridSpan w:val="2"/>
          </w:tcPr>
          <w:p>
            <w:pPr>
              <w:ind w:left="20"/>
              <w:spacing w:after="0"/>
              <w:rPr>
                <w:sz w:val="20"/>
                <w:szCs w:val="20"/>
                <w:color w:val="auto"/>
              </w:rPr>
            </w:pPr>
            <w:r>
              <w:rPr>
                <w:rFonts w:ascii="Arial" w:cs="Arial" w:eastAsia="Arial" w:hAnsi="Arial"/>
                <w:sz w:val="18"/>
                <w:szCs w:val="18"/>
                <w:b w:val="1"/>
                <w:bCs w:val="1"/>
                <w:color w:val="auto"/>
              </w:rPr>
              <w:t>Net cash provided by operating activities</w:t>
            </w:r>
          </w:p>
        </w:tc>
        <w:tc>
          <w:tcPr>
            <w:tcW w:w="1920" w:type="dxa"/>
            <w:vAlign w:val="bottom"/>
          </w:tcPr>
          <w:p>
            <w:pPr>
              <w:jc w:val="center"/>
              <w:ind w:left="1452"/>
              <w:spacing w:after="0"/>
              <w:rPr>
                <w:sz w:val="20"/>
                <w:szCs w:val="20"/>
                <w:color w:val="auto"/>
              </w:rPr>
            </w:pPr>
            <w:r>
              <w:rPr>
                <w:rFonts w:ascii="Arial" w:cs="Arial" w:eastAsia="Arial" w:hAnsi="Arial"/>
                <w:sz w:val="18"/>
                <w:szCs w:val="18"/>
                <w:b w:val="1"/>
                <w:bCs w:val="1"/>
                <w:color w:val="auto"/>
                <w:w w:val="99"/>
              </w:rPr>
              <w:t>$</w:t>
            </w:r>
          </w:p>
        </w:tc>
        <w:tc>
          <w:tcPr>
            <w:tcW w:w="1180" w:type="dxa"/>
            <w:vAlign w:val="bottom"/>
          </w:tcPr>
          <w:p>
            <w:pPr>
              <w:jc w:val="right"/>
              <w:ind w:right="151"/>
              <w:spacing w:after="0"/>
              <w:rPr>
                <w:sz w:val="20"/>
                <w:szCs w:val="20"/>
                <w:color w:val="auto"/>
              </w:rPr>
            </w:pPr>
            <w:r>
              <w:rPr>
                <w:rFonts w:ascii="Arial" w:cs="Arial" w:eastAsia="Arial" w:hAnsi="Arial"/>
                <w:sz w:val="18"/>
                <w:szCs w:val="18"/>
                <w:b w:val="1"/>
                <w:bCs w:val="1"/>
                <w:color w:val="auto"/>
              </w:rPr>
              <w:t>4,812,202</w:t>
            </w:r>
          </w:p>
        </w:tc>
      </w:tr>
      <w:tr>
        <w:trPr>
          <w:trHeight w:val="258"/>
        </w:trPr>
        <w:tc>
          <w:tcPr>
            <w:tcW w:w="8140" w:type="dxa"/>
            <w:vAlign w:val="bottom"/>
            <w:tcBorders>
              <w:bottom w:val="single" w:sz="8" w:color="E2E6F4"/>
            </w:tcBorders>
            <w:gridSpan w:val="2"/>
            <w:shd w:val="clear" w:color="auto" w:fill="E2E6F4"/>
          </w:tcPr>
          <w:p>
            <w:pPr>
              <w:ind w:left="20"/>
              <w:spacing w:after="0"/>
              <w:rPr>
                <w:sz w:val="20"/>
                <w:szCs w:val="20"/>
                <w:color w:val="auto"/>
              </w:rPr>
            </w:pPr>
            <w:r>
              <w:rPr>
                <w:rFonts w:ascii="Arial" w:cs="Arial" w:eastAsia="Arial" w:hAnsi="Arial"/>
                <w:sz w:val="18"/>
                <w:szCs w:val="18"/>
                <w:color w:val="auto"/>
              </w:rPr>
              <w:t>% of revenue</w:t>
            </w:r>
          </w:p>
        </w:tc>
        <w:tc>
          <w:tcPr>
            <w:tcW w:w="1920" w:type="dxa"/>
            <w:vAlign w:val="bottom"/>
            <w:tcBorders>
              <w:bottom w:val="single" w:sz="8" w:color="E2E6F4"/>
            </w:tcBorders>
            <w:shd w:val="clear" w:color="auto" w:fill="E2E6F4"/>
          </w:tcPr>
          <w:p>
            <w:pPr>
              <w:spacing w:after="0"/>
              <w:rPr>
                <w:sz w:val="22"/>
                <w:szCs w:val="22"/>
                <w:color w:val="auto"/>
              </w:rPr>
            </w:pPr>
          </w:p>
        </w:tc>
        <w:tc>
          <w:tcPr>
            <w:tcW w:w="1180" w:type="dxa"/>
            <w:vAlign w:val="bottom"/>
            <w:tcBorders>
              <w:bottom w:val="single" w:sz="8" w:color="E2E6F4"/>
            </w:tcBorders>
            <w:shd w:val="clear" w:color="auto" w:fill="E2E6F4"/>
          </w:tcPr>
          <w:p>
            <w:pPr>
              <w:jc w:val="right"/>
              <w:spacing w:after="0"/>
              <w:rPr>
                <w:sz w:val="20"/>
                <w:szCs w:val="20"/>
                <w:color w:val="auto"/>
              </w:rPr>
            </w:pPr>
            <w:r>
              <w:rPr>
                <w:rFonts w:ascii="Arial" w:cs="Arial" w:eastAsia="Arial" w:hAnsi="Arial"/>
                <w:sz w:val="18"/>
                <w:szCs w:val="18"/>
                <w:color w:val="auto"/>
              </w:rPr>
              <w:t>44%</w:t>
            </w:r>
          </w:p>
        </w:tc>
      </w:tr>
      <w:tr>
        <w:trPr>
          <w:trHeight w:val="247"/>
        </w:trPr>
        <w:tc>
          <w:tcPr>
            <w:tcW w:w="8140" w:type="dxa"/>
            <w:vAlign w:val="bottom"/>
            <w:gridSpan w:val="2"/>
          </w:tcPr>
          <w:p>
            <w:pPr>
              <w:ind w:left="20"/>
              <w:spacing w:after="0"/>
              <w:rPr>
                <w:sz w:val="20"/>
                <w:szCs w:val="20"/>
                <w:color w:val="auto"/>
              </w:rPr>
            </w:pPr>
            <w:r>
              <w:rPr>
                <w:rFonts w:ascii="Arial" w:cs="Arial" w:eastAsia="Arial" w:hAnsi="Arial"/>
                <w:sz w:val="18"/>
                <w:szCs w:val="18"/>
                <w:color w:val="auto"/>
              </w:rPr>
              <w:t>Capital expenditures</w:t>
            </w:r>
          </w:p>
        </w:tc>
        <w:tc>
          <w:tcPr>
            <w:tcW w:w="1920" w:type="dxa"/>
            <w:vAlign w:val="bottom"/>
          </w:tcPr>
          <w:p>
            <w:pPr>
              <w:jc w:val="center"/>
              <w:ind w:left="1452"/>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91"/>
              <w:spacing w:after="0"/>
              <w:rPr>
                <w:sz w:val="20"/>
                <w:szCs w:val="20"/>
                <w:color w:val="auto"/>
              </w:rPr>
            </w:pPr>
            <w:r>
              <w:rPr>
                <w:rFonts w:ascii="Arial" w:cs="Arial" w:eastAsia="Arial" w:hAnsi="Arial"/>
                <w:sz w:val="18"/>
                <w:szCs w:val="18"/>
                <w:color w:val="auto"/>
              </w:rPr>
              <w:t>(533,552)</w:t>
            </w:r>
          </w:p>
        </w:tc>
      </w:tr>
      <w:tr>
        <w:trPr>
          <w:trHeight w:val="23"/>
        </w:trPr>
        <w:tc>
          <w:tcPr>
            <w:tcW w:w="8140" w:type="dxa"/>
            <w:vAlign w:val="bottom"/>
            <w:gridSpan w:val="2"/>
          </w:tcPr>
          <w:p>
            <w:pPr>
              <w:spacing w:after="0"/>
              <w:rPr>
                <w:sz w:val="2"/>
                <w:szCs w:val="2"/>
                <w:color w:val="auto"/>
              </w:rPr>
            </w:pPr>
          </w:p>
        </w:tc>
        <w:tc>
          <w:tcPr>
            <w:tcW w:w="192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70"/>
        </w:trPr>
        <w:tc>
          <w:tcPr>
            <w:tcW w:w="8140" w:type="dxa"/>
            <w:vAlign w:val="bottom"/>
            <w:gridSpan w:val="2"/>
            <w:shd w:val="clear" w:color="auto" w:fill="E2E6F4"/>
          </w:tcPr>
          <w:p>
            <w:pPr>
              <w:ind w:left="20"/>
              <w:spacing w:after="0"/>
              <w:rPr>
                <w:sz w:val="20"/>
                <w:szCs w:val="20"/>
                <w:color w:val="auto"/>
              </w:rPr>
            </w:pPr>
            <w:r>
              <w:rPr>
                <w:rFonts w:ascii="Arial" w:cs="Arial" w:eastAsia="Arial" w:hAnsi="Arial"/>
                <w:sz w:val="18"/>
                <w:szCs w:val="18"/>
                <w:b w:val="1"/>
                <w:bCs w:val="1"/>
                <w:color w:val="auto"/>
              </w:rPr>
              <w:t>Free cash flow</w:t>
            </w:r>
            <w:r>
              <w:rPr>
                <w:rFonts w:ascii="Arial" w:cs="Arial" w:eastAsia="Arial" w:hAnsi="Arial"/>
                <w:sz w:val="23"/>
                <w:szCs w:val="23"/>
                <w:b w:val="1"/>
                <w:bCs w:val="1"/>
                <w:color w:val="auto"/>
                <w:vertAlign w:val="superscript"/>
              </w:rPr>
              <w:t>(1)</w:t>
            </w:r>
          </w:p>
        </w:tc>
        <w:tc>
          <w:tcPr>
            <w:tcW w:w="1920" w:type="dxa"/>
            <w:vAlign w:val="bottom"/>
            <w:shd w:val="clear" w:color="auto" w:fill="E2E6F4"/>
          </w:tcPr>
          <w:p>
            <w:pPr>
              <w:jc w:val="center"/>
              <w:ind w:left="1452"/>
              <w:spacing w:after="0"/>
              <w:rPr>
                <w:sz w:val="20"/>
                <w:szCs w:val="20"/>
                <w:color w:val="auto"/>
              </w:rPr>
            </w:pPr>
            <w:r>
              <w:rPr>
                <w:rFonts w:ascii="Arial" w:cs="Arial" w:eastAsia="Arial" w:hAnsi="Arial"/>
                <w:sz w:val="18"/>
                <w:szCs w:val="18"/>
                <w:b w:val="1"/>
                <w:bCs w:val="1"/>
                <w:color w:val="auto"/>
                <w:w w:val="99"/>
              </w:rPr>
              <w:t>$</w:t>
            </w:r>
          </w:p>
        </w:tc>
        <w:tc>
          <w:tcPr>
            <w:tcW w:w="1180" w:type="dxa"/>
            <w:vAlign w:val="bottom"/>
            <w:shd w:val="clear" w:color="auto" w:fill="E2E6F4"/>
          </w:tcPr>
          <w:p>
            <w:pPr>
              <w:jc w:val="right"/>
              <w:ind w:right="151"/>
              <w:spacing w:after="0"/>
              <w:rPr>
                <w:sz w:val="20"/>
                <w:szCs w:val="20"/>
                <w:color w:val="auto"/>
              </w:rPr>
            </w:pPr>
            <w:r>
              <w:rPr>
                <w:rFonts w:ascii="Arial" w:cs="Arial" w:eastAsia="Arial" w:hAnsi="Arial"/>
                <w:sz w:val="18"/>
                <w:szCs w:val="18"/>
                <w:b w:val="1"/>
                <w:bCs w:val="1"/>
                <w:color w:val="auto"/>
              </w:rPr>
              <w:t>4,278,650</w:t>
            </w:r>
          </w:p>
        </w:tc>
      </w:tr>
      <w:tr>
        <w:trPr>
          <w:trHeight w:val="247"/>
        </w:trPr>
        <w:tc>
          <w:tcPr>
            <w:tcW w:w="8140" w:type="dxa"/>
            <w:vAlign w:val="bottom"/>
            <w:gridSpan w:val="2"/>
          </w:tcPr>
          <w:p>
            <w:pPr>
              <w:ind w:left="20"/>
              <w:spacing w:after="0"/>
              <w:rPr>
                <w:sz w:val="20"/>
                <w:szCs w:val="20"/>
                <w:color w:val="auto"/>
              </w:rPr>
            </w:pPr>
            <w:r>
              <w:rPr>
                <w:rFonts w:ascii="Arial" w:cs="Arial" w:eastAsia="Arial" w:hAnsi="Arial"/>
                <w:sz w:val="18"/>
                <w:szCs w:val="18"/>
                <w:color w:val="auto"/>
              </w:rPr>
              <w:t>% of revenue</w:t>
            </w:r>
          </w:p>
        </w:tc>
        <w:tc>
          <w:tcPr>
            <w:tcW w:w="192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39%</w:t>
            </w:r>
          </w:p>
        </w:tc>
      </w:tr>
      <w:tr>
        <w:trPr>
          <w:trHeight w:val="23"/>
        </w:trPr>
        <w:tc>
          <w:tcPr>
            <w:tcW w:w="8140" w:type="dxa"/>
            <w:vAlign w:val="bottom"/>
            <w:tcBorders>
              <w:bottom w:val="single" w:sz="8" w:color="0067B3"/>
            </w:tcBorders>
            <w:gridSpan w:val="2"/>
          </w:tcPr>
          <w:p>
            <w:pPr>
              <w:spacing w:after="0"/>
              <w:rPr>
                <w:sz w:val="2"/>
                <w:szCs w:val="2"/>
                <w:color w:val="auto"/>
              </w:rPr>
            </w:pPr>
          </w:p>
        </w:tc>
        <w:tc>
          <w:tcPr>
            <w:tcW w:w="1920" w:type="dxa"/>
            <w:vAlign w:val="bottom"/>
            <w:tcBorders>
              <w:bottom w:val="single" w:sz="8" w:color="0067B3"/>
            </w:tcBorders>
          </w:tcPr>
          <w:p>
            <w:pPr>
              <w:spacing w:after="0"/>
              <w:rPr>
                <w:sz w:val="2"/>
                <w:szCs w:val="2"/>
                <w:color w:val="auto"/>
              </w:rPr>
            </w:pPr>
          </w:p>
        </w:tc>
        <w:tc>
          <w:tcPr>
            <w:tcW w:w="1180" w:type="dxa"/>
            <w:vAlign w:val="bottom"/>
            <w:tcBorders>
              <w:bottom w:val="single" w:sz="8" w:color="0067B3"/>
            </w:tcBorders>
          </w:tcPr>
          <w:p>
            <w:pPr>
              <w:spacing w:after="0"/>
              <w:rPr>
                <w:sz w:val="2"/>
                <w:szCs w:val="2"/>
                <w:color w:val="auto"/>
              </w:rPr>
            </w:pPr>
          </w:p>
        </w:tc>
      </w:tr>
      <w:tr>
        <w:trPr>
          <w:trHeight w:val="467"/>
        </w:trPr>
        <w:tc>
          <w:tcPr>
            <w:tcW w:w="8140" w:type="dxa"/>
            <w:vAlign w:val="bottom"/>
            <w:gridSpan w:val="2"/>
          </w:tcPr>
          <w:p>
            <w:pPr>
              <w:spacing w:after="0"/>
              <w:rPr>
                <w:sz w:val="20"/>
                <w:szCs w:val="20"/>
                <w:color w:val="auto"/>
              </w:rPr>
            </w:pPr>
            <w:r>
              <w:rPr>
                <w:rFonts w:ascii="Arial" w:cs="Arial" w:eastAsia="Arial" w:hAnsi="Arial"/>
                <w:sz w:val="21"/>
                <w:szCs w:val="21"/>
                <w:color w:val="auto"/>
                <w:vertAlign w:val="superscript"/>
              </w:rPr>
              <w:t>(1)</w:t>
            </w:r>
            <w:r>
              <w:rPr>
                <w:rFonts w:ascii="Arial" w:cs="Arial" w:eastAsia="Arial" w:hAnsi="Arial"/>
                <w:sz w:val="16"/>
                <w:szCs w:val="16"/>
                <w:color w:val="auto"/>
              </w:rPr>
              <w:t xml:space="preserve">  Free cash flow is defined as net cash provided by operating activities, less capital expenditures.</w:t>
            </w:r>
          </w:p>
        </w:tc>
        <w:tc>
          <w:tcPr>
            <w:tcW w:w="1920" w:type="dxa"/>
            <w:vAlign w:val="bottom"/>
          </w:tcPr>
          <w:p>
            <w:pPr>
              <w:spacing w:after="0"/>
              <w:rPr>
                <w:sz w:val="24"/>
                <w:szCs w:val="24"/>
                <w:color w:val="auto"/>
              </w:rPr>
            </w:pPr>
          </w:p>
        </w:tc>
        <w:tc>
          <w:tcPr>
            <w:tcW w:w="1180" w:type="dxa"/>
            <w:vAlign w:val="bottom"/>
          </w:tcPr>
          <w:p>
            <w:pPr>
              <w:spacing w:after="0"/>
              <w:rPr>
                <w:sz w:val="24"/>
                <w:szCs w:val="24"/>
                <w:color w:val="auto"/>
              </w:rPr>
            </w:pPr>
          </w:p>
        </w:tc>
      </w:tr>
      <w:tr>
        <w:trPr>
          <w:trHeight w:val="631"/>
        </w:trPr>
        <w:tc>
          <w:tcPr>
            <w:tcW w:w="380" w:type="dxa"/>
            <w:vAlign w:val="bottom"/>
          </w:tcPr>
          <w:p>
            <w:pPr>
              <w:ind w:left="20"/>
              <w:spacing w:after="0"/>
              <w:rPr>
                <w:sz w:val="20"/>
                <w:szCs w:val="20"/>
                <w:color w:val="auto"/>
              </w:rPr>
            </w:pPr>
            <w:r>
              <w:rPr>
                <w:rFonts w:ascii="Arial" w:cs="Arial" w:eastAsia="Arial" w:hAnsi="Arial"/>
                <w:sz w:val="20"/>
                <w:szCs w:val="20"/>
                <w:b w:val="1"/>
                <w:bCs w:val="1"/>
                <w:color w:val="auto"/>
              </w:rPr>
              <w:t>B-2</w:t>
            </w:r>
          </w:p>
        </w:tc>
        <w:tc>
          <w:tcPr>
            <w:tcW w:w="7760" w:type="dxa"/>
            <w:vAlign w:val="bottom"/>
          </w:tcPr>
          <w:p>
            <w:pPr>
              <w:ind w:left="260"/>
              <w:spacing w:after="0"/>
              <w:rPr>
                <w:sz w:val="20"/>
                <w:szCs w:val="20"/>
                <w:color w:val="auto"/>
              </w:rPr>
            </w:pPr>
            <w:r>
              <w:rPr>
                <w:rFonts w:ascii="Arial" w:cs="Arial" w:eastAsia="Arial" w:hAnsi="Arial"/>
                <w:sz w:val="16"/>
                <w:szCs w:val="16"/>
                <w:color w:val="6D6E71"/>
              </w:rPr>
              <w:t>Appendix B: Reconciliation of GAAP Measures to Non-GAAP Measures</w:t>
            </w:r>
          </w:p>
        </w:tc>
        <w:tc>
          <w:tcPr>
            <w:tcW w:w="1920" w:type="dxa"/>
            <w:vAlign w:val="bottom"/>
          </w:tcPr>
          <w:p>
            <w:pPr>
              <w:spacing w:after="0"/>
              <w:rPr>
                <w:sz w:val="24"/>
                <w:szCs w:val="24"/>
                <w:color w:val="auto"/>
              </w:rPr>
            </w:pPr>
          </w:p>
        </w:tc>
        <w:tc>
          <w:tcPr>
            <w:tcW w:w="1180" w:type="dxa"/>
            <w:vAlign w:val="bottom"/>
          </w:tcPr>
          <w:p>
            <w:pPr>
              <w:spacing w:after="0"/>
              <w:rPr>
                <w:sz w:val="24"/>
                <w:szCs w:val="24"/>
                <w:color w:val="auto"/>
              </w:rPr>
            </w:pPr>
          </w:p>
        </w:tc>
      </w:tr>
      <w:tr>
        <w:trPr>
          <w:trHeight w:val="319"/>
        </w:trPr>
        <w:tc>
          <w:tcPr>
            <w:tcW w:w="380" w:type="dxa"/>
            <w:vAlign w:val="bottom"/>
            <w:tcBorders>
              <w:bottom w:val="single" w:sz="8" w:color="9A9A9A"/>
            </w:tcBorders>
          </w:tcPr>
          <w:p>
            <w:pPr>
              <w:spacing w:after="0"/>
              <w:rPr>
                <w:sz w:val="24"/>
                <w:szCs w:val="24"/>
                <w:color w:val="auto"/>
              </w:rPr>
            </w:pPr>
          </w:p>
        </w:tc>
        <w:tc>
          <w:tcPr>
            <w:tcW w:w="7760" w:type="dxa"/>
            <w:vAlign w:val="bottom"/>
            <w:tcBorders>
              <w:bottom w:val="single" w:sz="8" w:color="9A9A9A"/>
            </w:tcBorders>
          </w:tcPr>
          <w:p>
            <w:pPr>
              <w:spacing w:after="0"/>
              <w:rPr>
                <w:sz w:val="24"/>
                <w:szCs w:val="24"/>
                <w:color w:val="auto"/>
              </w:rPr>
            </w:pPr>
          </w:p>
        </w:tc>
        <w:tc>
          <w:tcPr>
            <w:tcW w:w="1920" w:type="dxa"/>
            <w:vAlign w:val="bottom"/>
            <w:tcBorders>
              <w:bottom w:val="single" w:sz="8" w:color="9A9A9A"/>
            </w:tcBorders>
          </w:tcPr>
          <w:p>
            <w:pPr>
              <w:spacing w:after="0"/>
              <w:rPr>
                <w:sz w:val="24"/>
                <w:szCs w:val="24"/>
                <w:color w:val="auto"/>
              </w:rPr>
            </w:pPr>
          </w:p>
        </w:tc>
        <w:tc>
          <w:tcPr>
            <w:tcW w:w="11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1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1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06" w:right="339" w:bottom="1440" w:gutter="0" w:footer="0" w:header="0"/>
        </w:sectPr>
      </w:pPr>
    </w:p>
    <w:bookmarkStart w:id="118" w:name="page119"/>
    <w:bookmarkEnd w:id="118"/>
    <w:p>
      <w:pPr>
        <w:spacing w:after="0"/>
        <w:rPr>
          <w:sz w:val="20"/>
          <w:szCs w:val="20"/>
          <w:color w:val="auto"/>
        </w:rPr>
      </w:pPr>
      <w:r>
        <w:rPr>
          <w:rFonts w:ascii="Arial" w:cs="Arial" w:eastAsia="Arial" w:hAnsi="Arial"/>
          <w:sz w:val="58"/>
          <w:szCs w:val="58"/>
          <w:color w:val="auto"/>
        </w:rPr>
        <w:t>Helpful Resources</w:t>
      </w:r>
    </w:p>
    <w:p>
      <w:pPr>
        <w:spacing w:after="0" w:line="200" w:lineRule="exact"/>
        <w:rPr>
          <w:sz w:val="20"/>
          <w:szCs w:val="20"/>
          <w:color w:val="auto"/>
        </w:rPr>
      </w:pPr>
    </w:p>
    <w:p>
      <w:pPr>
        <w:spacing w:after="0" w:line="287" w:lineRule="exact"/>
        <w:rPr>
          <w:sz w:val="20"/>
          <w:szCs w:val="20"/>
          <w:color w:val="auto"/>
        </w:rPr>
      </w:pPr>
    </w:p>
    <w:p>
      <w:pPr>
        <w:spacing w:after="0"/>
        <w:rPr>
          <w:sz w:val="20"/>
          <w:szCs w:val="20"/>
          <w:color w:val="auto"/>
        </w:rPr>
      </w:pPr>
      <w:r>
        <w:rPr>
          <w:rFonts w:ascii="Arial" w:cs="Arial" w:eastAsia="Arial" w:hAnsi="Arial"/>
          <w:sz w:val="23"/>
          <w:szCs w:val="23"/>
          <w:b w:val="1"/>
          <w:bCs w:val="1"/>
          <w:color w:val="auto"/>
        </w:rPr>
        <w:t>Annual Meeting</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color w:val="auto"/>
        </w:rPr>
        <w:t>Proxy Statement &amp; Annual Report: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0067B3"/>
        </w:rPr>
        <w:t>https://investor.analog.com/financial-info/annual-reports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Voting Your Proxy via the Internet Before the Annual Meeting:</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0067B3"/>
        </w:rPr>
        <w:t>www.proxyvote.com</w:t>
      </w:r>
    </w:p>
    <w:p>
      <w:pPr>
        <w:spacing w:after="0" w:line="170" w:lineRule="exact"/>
        <w:rPr>
          <w:sz w:val="20"/>
          <w:szCs w:val="20"/>
          <w:color w:val="auto"/>
        </w:rPr>
      </w:pPr>
    </w:p>
    <w:p>
      <w:pPr>
        <w:spacing w:after="0"/>
        <w:rPr>
          <w:sz w:val="20"/>
          <w:szCs w:val="20"/>
          <w:color w:val="auto"/>
        </w:rPr>
      </w:pPr>
      <w:r>
        <w:rPr>
          <w:rFonts w:ascii="Arial" w:cs="Arial" w:eastAsia="Arial" w:hAnsi="Arial"/>
          <w:sz w:val="23"/>
          <w:szCs w:val="23"/>
          <w:b w:val="1"/>
          <w:bCs w:val="1"/>
          <w:color w:val="auto"/>
        </w:rPr>
        <w:t>Board of Directors</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color w:val="0067B3"/>
        </w:rPr>
        <w:t>https://investor.analog.com/governance/board-of-directors</w:t>
      </w:r>
    </w:p>
    <w:p>
      <w:pPr>
        <w:spacing w:after="0" w:line="170" w:lineRule="exact"/>
        <w:rPr>
          <w:sz w:val="20"/>
          <w:szCs w:val="20"/>
          <w:color w:val="auto"/>
        </w:rPr>
      </w:pPr>
    </w:p>
    <w:p>
      <w:pPr>
        <w:spacing w:after="0"/>
        <w:rPr>
          <w:sz w:val="20"/>
          <w:szCs w:val="20"/>
          <w:color w:val="auto"/>
        </w:rPr>
      </w:pPr>
      <w:r>
        <w:rPr>
          <w:rFonts w:ascii="Arial" w:cs="Arial" w:eastAsia="Arial" w:hAnsi="Arial"/>
          <w:sz w:val="23"/>
          <w:szCs w:val="23"/>
          <w:b w:val="1"/>
          <w:bCs w:val="1"/>
          <w:color w:val="auto"/>
        </w:rPr>
        <w:t>Investor Relations</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color w:val="0067B3"/>
        </w:rPr>
        <w:t>https://investor.analog.com/</w:t>
      </w:r>
    </w:p>
    <w:p>
      <w:pPr>
        <w:spacing w:after="0" w:line="170" w:lineRule="exact"/>
        <w:rPr>
          <w:sz w:val="20"/>
          <w:szCs w:val="20"/>
          <w:color w:val="auto"/>
        </w:rPr>
      </w:pPr>
    </w:p>
    <w:p>
      <w:pPr>
        <w:spacing w:after="0"/>
        <w:rPr>
          <w:sz w:val="20"/>
          <w:szCs w:val="20"/>
          <w:color w:val="auto"/>
        </w:rPr>
      </w:pPr>
      <w:r>
        <w:rPr>
          <w:rFonts w:ascii="Arial" w:cs="Arial" w:eastAsia="Arial" w:hAnsi="Arial"/>
          <w:sz w:val="23"/>
          <w:szCs w:val="23"/>
          <w:b w:val="1"/>
          <w:bCs w:val="1"/>
          <w:color w:val="auto"/>
        </w:rPr>
        <w:t>Environment, Social, and Governance</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color w:val="0067B3"/>
        </w:rPr>
        <w:t>https://www.analog.com/en/company/environment-social-governance.html</w:t>
      </w:r>
    </w:p>
    <w:p>
      <w:pPr>
        <w:spacing w:after="0" w:line="184" w:lineRule="exact"/>
        <w:rPr>
          <w:sz w:val="20"/>
          <w:szCs w:val="20"/>
          <w:color w:val="auto"/>
        </w:rPr>
      </w:pPr>
    </w:p>
    <w:p>
      <w:pPr>
        <w:spacing w:after="0"/>
        <w:rPr>
          <w:sz w:val="20"/>
          <w:szCs w:val="20"/>
          <w:color w:val="auto"/>
        </w:rPr>
      </w:pPr>
      <w:r>
        <w:rPr>
          <w:rFonts w:ascii="Arial" w:cs="Arial" w:eastAsia="Arial" w:hAnsi="Arial"/>
          <w:sz w:val="23"/>
          <w:szCs w:val="23"/>
          <w:b w:val="1"/>
          <w:bCs w:val="1"/>
          <w:color w:val="auto"/>
        </w:rPr>
        <w:t>ESG Report</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color w:val="0067B3"/>
        </w:rPr>
        <w:t>https://www.analog.com/media/en/company-csr/2024-esg-report.pdf</w:t>
      </w:r>
    </w:p>
    <w:p>
      <w:pPr>
        <w:spacing w:after="0" w:line="117" w:lineRule="exact"/>
        <w:rPr>
          <w:sz w:val="20"/>
          <w:szCs w:val="20"/>
          <w:color w:val="auto"/>
        </w:rPr>
      </w:pPr>
    </w:p>
    <w:p>
      <w:pPr>
        <w:spacing w:after="0"/>
        <w:rPr>
          <w:sz w:val="20"/>
          <w:szCs w:val="20"/>
          <w:color w:val="auto"/>
        </w:rPr>
      </w:pPr>
      <w:r>
        <w:rPr>
          <w:rFonts w:ascii="Arial" w:cs="Arial" w:eastAsia="Arial" w:hAnsi="Arial"/>
          <w:sz w:val="17"/>
          <w:szCs w:val="17"/>
          <w:color w:val="auto"/>
        </w:rPr>
        <w:t>Web links are provided for convenience only, and the content on the referenced websites does not constitute a part of this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689610</wp:posOffset>
            </wp:positionV>
            <wp:extent cx="7157720" cy="42545"/>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00"/>
          </w:cols>
          <w:pgMar w:left="320" w:top="910" w:right="479" w:bottom="1440" w:gutter="0" w:footer="0" w:header="0"/>
        </w:sectPr>
      </w:pPr>
    </w:p>
    <w:bookmarkStart w:id="119" w:name="page120"/>
    <w:bookmarkEnd w:id="119"/>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7880985</wp:posOffset>
            </wp:positionV>
            <wp:extent cx="1731645" cy="762635"/>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19">
                      <a:clrChange>
                        <a:clrFrom>
                          <a:srgbClr val="FFFFFF"/>
                        </a:clrFrom>
                        <a:clrTo>
                          <a:srgbClr val="FFFFFF">
                            <a:alpha val="0"/>
                          </a:srgbClr>
                        </a:clrTo>
                      </a:clrChange>
                      <a:extLst>
                        <a:ext uri="{28A0092B-C50C-407E-A947-70E740481C1C}"/>
                      </a:extLst>
                    </a:blip>
                    <a:srcRect/>
                    <a:stretch>
                      <a:fillRect/>
                    </a:stretch>
                  </pic:blipFill>
                  <pic:spPr bwMode="auto">
                    <a:xfrm>
                      <a:off x="0" y="0"/>
                      <a:ext cx="1731645" cy="762635"/>
                    </a:xfrm>
                    <a:prstGeom prst="rect">
                      <a:avLst/>
                    </a:prstGeom>
                    <a:noFill/>
                  </pic:spPr>
                </pic:pic>
              </a:graphicData>
            </a:graphic>
          </wp:anchor>
        </w:drawing>
        <w:drawing>
          <wp:anchor simplePos="0" relativeHeight="251657728" behindDoc="1" locked="0" layoutInCell="0" allowOverlap="1">
            <wp:simplePos x="0" y="0"/>
            <wp:positionH relativeFrom="page">
              <wp:posOffset>5797550</wp:posOffset>
            </wp:positionH>
            <wp:positionV relativeFrom="page">
              <wp:posOffset>7949565</wp:posOffset>
            </wp:positionV>
            <wp:extent cx="1474470" cy="668655"/>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20">
                      <a:clrChange>
                        <a:clrFrom>
                          <a:srgbClr val="FFFFFF"/>
                        </a:clrFrom>
                        <a:clrTo>
                          <a:srgbClr val="FFFFFF">
                            <a:alpha val="0"/>
                          </a:srgbClr>
                        </a:clrTo>
                      </a:clrChange>
                      <a:extLst>
                        <a:ext uri="{28A0092B-C50C-407E-A947-70E740481C1C}"/>
                      </a:extLst>
                    </a:blip>
                    <a:srcRect/>
                    <a:stretch>
                      <a:fillRect/>
                    </a:stretch>
                  </pic:blipFill>
                  <pic:spPr bwMode="auto">
                    <a:xfrm>
                      <a:off x="0" y="0"/>
                      <a:ext cx="1474470" cy="668655"/>
                    </a:xfrm>
                    <a:prstGeom prst="rect">
                      <a:avLst/>
                    </a:prstGeom>
                    <a:noFill/>
                  </pic:spPr>
                </pic:pic>
              </a:graphicData>
            </a:graphic>
          </wp:anchor>
        </w:drawing>
        <w:drawing>
          <wp:anchor simplePos="0" relativeHeight="251657728" behindDoc="1" locked="0" layoutInCell="0" allowOverlap="1">
            <wp:simplePos x="0" y="0"/>
            <wp:positionH relativeFrom="page">
              <wp:posOffset>6534785</wp:posOffset>
            </wp:positionH>
            <wp:positionV relativeFrom="page">
              <wp:posOffset>8747125</wp:posOffset>
            </wp:positionV>
            <wp:extent cx="737235" cy="317500"/>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21">
                      <a:clrChange>
                        <a:clrFrom>
                          <a:srgbClr val="FFFFFF"/>
                        </a:clrFrom>
                        <a:clrTo>
                          <a:srgbClr val="FFFFFF">
                            <a:alpha val="0"/>
                          </a:srgbClr>
                        </a:clrTo>
                      </a:clrChange>
                      <a:extLst>
                        <a:ext uri="{28A0092B-C50C-407E-A947-70E740481C1C}"/>
                      </a:extLst>
                    </a:blip>
                    <a:srcRect/>
                    <a:stretch>
                      <a:fillRect/>
                    </a:stretch>
                  </pic:blipFill>
                  <pic:spPr bwMode="auto">
                    <a:xfrm>
                      <a:off x="0" y="0"/>
                      <a:ext cx="737235" cy="3175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Arial" w:cs="Arial" w:eastAsia="Arial" w:hAnsi="Arial"/>
          <w:sz w:val="18"/>
          <w:szCs w:val="18"/>
          <w:color w:val="auto"/>
        </w:rPr>
        <w:t>One Analog Way</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Wilmington, MA 01887</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0067B3"/>
        </w:rPr>
        <w:t>www.analog.com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662305</wp:posOffset>
            </wp:positionV>
            <wp:extent cx="7157720" cy="42545"/>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440" w:right="1440" w:bottom="1440" w:gutter="0" w:footer="0" w:header="0"/>
        </w:sectPr>
      </w:pPr>
    </w:p>
    <w:bookmarkStart w:id="120" w:name="page121"/>
    <w:bookmarkEnd w:id="12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311785</wp:posOffset>
            </wp:positionV>
            <wp:extent cx="7157720" cy="9211310"/>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23">
                      <a:extLst>
                        <a:ext uri="{28A0092B-C50C-407E-A947-70E740481C1C}"/>
                      </a:extLst>
                    </a:blip>
                    <a:srcRect/>
                    <a:stretch>
                      <a:fillRect/>
                    </a:stretch>
                  </pic:blipFill>
                  <pic:spPr bwMode="auto">
                    <a:xfrm>
                      <a:off x="0" y="0"/>
                      <a:ext cx="7157720" cy="92113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1" w:name="page122"/>
    <w:bookmarkEnd w:id="12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276860</wp:posOffset>
            </wp:positionH>
            <wp:positionV relativeFrom="page">
              <wp:posOffset>311785</wp:posOffset>
            </wp:positionV>
            <wp:extent cx="6995160" cy="9052560"/>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24">
                      <a:clrChange>
                        <a:clrFrom>
                          <a:srgbClr val="FFFFFF"/>
                        </a:clrFrom>
                        <a:clrTo>
                          <a:srgbClr val="FFFFFF">
                            <a:alpha val="0"/>
                          </a:srgbClr>
                        </a:clrTo>
                      </a:clrChange>
                      <a:extLst>
                        <a:ext uri="{28A0092B-C50C-407E-A947-70E740481C1C}"/>
                      </a:extLst>
                    </a:blip>
                    <a:srcRect/>
                    <a:stretch>
                      <a:fillRect/>
                    </a:stretch>
                  </pic:blipFill>
                  <pic:spPr bwMode="auto">
                    <a:xfrm>
                      <a:off x="0" y="0"/>
                      <a:ext cx="6995160" cy="9052560"/>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 w:name="Wingdings">
    <w:panose1 w:val="05000000000000000000"/>
    <w:charset w:val="00"/>
    <w:family w:val="auto"/>
    <w:pitch w:val="variable"/>
    <w:sig w:usb0="00000000" w:usb1="00000000" w:usb2="00000000" w:usb3="00000000" w:csb0="80000000" w:csb1="00000000"/>
  </w:font>
</w:fonts>
</file>

<file path=word/numbering.xml><?xml version="1.0" encoding="utf-8"?>
<w:numbering xmlns:w="http://schemas.openxmlformats.org/wordprocessingml/2006/main">
  <w:abstractNum w:abstractNumId="0">
    <w:nsid w:val="288F1A34"/>
    <w:multiLevelType w:val="hybridMultilevel"/>
    <w:lvl w:ilvl="0">
      <w:lvlJc w:val="left"/>
      <w:lvlText w:val="☐"/>
      <w:numFmt w:val="bullet"/>
      <w:start w:val="1"/>
    </w:lvl>
  </w:abstractNum>
  <w:abstractNum w:abstractNumId="1">
    <w:nsid w:val="2A155DBC"/>
    <w:multiLevelType w:val="hybridMultilevel"/>
    <w:lvl w:ilvl="0">
      <w:lvlJc w:val="left"/>
      <w:lvlText w:val="☑"/>
      <w:numFmt w:val="bullet"/>
      <w:start w:val="1"/>
    </w:lvl>
  </w:abstractNum>
  <w:abstractNum w:abstractNumId="2">
    <w:nsid w:val="1D9F6E5F"/>
    <w:multiLevelType w:val="hybridMultilevel"/>
    <w:lvl w:ilvl="0">
      <w:lvlJc w:val="left"/>
      <w:lvlText w:val="☐"/>
      <w:numFmt w:val="bullet"/>
      <w:start w:val="1"/>
    </w:lvl>
  </w:abstractNum>
  <w:abstractNum w:abstractNumId="3">
    <w:nsid w:val="97E1B4E"/>
    <w:multiLevelType w:val="hybridMultilevel"/>
    <w:lvl w:ilvl="0">
      <w:lvlJc w:val="left"/>
      <w:lvlText w:val="☑"/>
      <w:numFmt w:val="bullet"/>
      <w:start w:val="1"/>
    </w:lvl>
  </w:abstractNum>
  <w:abstractNum w:abstractNumId="4">
    <w:nsid w:val="51088277"/>
    <w:multiLevelType w:val="hybridMultilevel"/>
    <w:lvl w:ilvl="0">
      <w:lvlJc w:val="left"/>
      <w:lvlText w:val="☐"/>
      <w:numFmt w:val="bullet"/>
      <w:start w:val="1"/>
    </w:lvl>
  </w:abstractNum>
  <w:abstractNum w:abstractNumId="5">
    <w:nsid w:val="1CA0C5FA"/>
    <w:multiLevelType w:val="hybridMultilevel"/>
    <w:lvl w:ilvl="0">
      <w:lvlJc w:val="left"/>
      <w:lvlText w:val="%1."/>
      <w:numFmt w:val="decimal"/>
      <w:start w:val="1"/>
    </w:lvl>
  </w:abstractNum>
  <w:abstractNum w:abstractNumId="6">
    <w:nsid w:val="53584BCB"/>
    <w:multiLevelType w:val="hybridMultilevel"/>
    <w:lvl w:ilvl="0">
      <w:lvlJc w:val="left"/>
      <w:lvlText w:val="(%1)"/>
      <w:numFmt w:val="decimal"/>
      <w:start w:val="1"/>
    </w:lvl>
  </w:abstractNum>
  <w:abstractNum w:abstractNumId="7">
    <w:nsid w:val="415E286C"/>
    <w:multiLevelType w:val="hybridMultilevel"/>
    <w:lvl w:ilvl="0">
      <w:lvlJc w:val="left"/>
      <w:lvlText w:val="*"/>
      <w:numFmt w:val="bullet"/>
      <w:start w:val="1"/>
    </w:lvl>
  </w:abstractNum>
  <w:abstractNum w:abstractNumId="8">
    <w:nsid w:val="7C58FD05"/>
    <w:multiLevelType w:val="hybridMultilevel"/>
    <w:lvl w:ilvl="0">
      <w:lvlJc w:val="left"/>
      <w:lvlText w:val="(%1)"/>
      <w:numFmt w:val="decimal"/>
      <w:start w:val="1"/>
    </w:lvl>
  </w:abstractNum>
  <w:abstractNum w:abstractNumId="9">
    <w:nsid w:val="23D86AAC"/>
    <w:multiLevelType w:val="hybridMultilevel"/>
    <w:lvl w:ilvl="0">
      <w:lvlJc w:val="left"/>
      <w:lvlText w:val="2"/>
      <w:numFmt w:val="bullet"/>
      <w:start w:val="1"/>
    </w:lvl>
  </w:abstractNum>
  <w:abstractNum w:abstractNumId="10">
    <w:nsid w:val="45E6D486"/>
    <w:multiLevelType w:val="hybridMultilevel"/>
    <w:lvl w:ilvl="0">
      <w:lvlJc w:val="left"/>
      <w:lvlText w:val="ü"/>
      <w:numFmt w:val="bullet"/>
      <w:start w:val="1"/>
    </w:lvl>
  </w:abstractNum>
  <w:abstractNum w:abstractNumId="11">
    <w:nsid w:val="5C10FE21"/>
    <w:multiLevelType w:val="hybridMultilevel"/>
    <w:lvl w:ilvl="0">
      <w:lvlJc w:val="left"/>
      <w:lvlText w:val="4"/>
      <w:numFmt w:val="bullet"/>
      <w:start w:val="1"/>
    </w:lvl>
  </w:abstractNum>
  <w:abstractNum w:abstractNumId="12">
    <w:nsid w:val="E7FFA2B"/>
    <w:multiLevelType w:val="hybridMultilevel"/>
    <w:lvl w:ilvl="0">
      <w:lvlJc w:val="left"/>
      <w:lvlText w:val="u"/>
      <w:numFmt w:val="bullet"/>
      <w:start w:val="1"/>
    </w:lvl>
  </w:abstractNum>
  <w:abstractNum w:abstractNumId="13">
    <w:nsid w:val="3C5991AA"/>
    <w:multiLevelType w:val="hybridMultilevel"/>
    <w:lvl w:ilvl="0">
      <w:lvlJc w:val="left"/>
      <w:lvlText w:val="u"/>
      <w:numFmt w:val="bullet"/>
      <w:start w:val="1"/>
    </w:lvl>
  </w:abstractNum>
  <w:abstractNum w:abstractNumId="14">
    <w:nsid w:val="4BD8591A"/>
    <w:multiLevelType w:val="hybridMultilevel"/>
    <w:lvl w:ilvl="0">
      <w:lvlJc w:val="left"/>
      <w:lvlText w:val="u"/>
      <w:numFmt w:val="bullet"/>
      <w:start w:val="1"/>
    </w:lvl>
  </w:abstractNum>
  <w:abstractNum w:abstractNumId="15">
    <w:nsid w:val="78DF6A55"/>
    <w:multiLevelType w:val="hybridMultilevel"/>
    <w:lvl w:ilvl="0">
      <w:lvlJc w:val="left"/>
      <w:lvlText w:val="u"/>
      <w:numFmt w:val="bullet"/>
      <w:start w:val="1"/>
    </w:lvl>
  </w:abstractNum>
  <w:abstractNum w:abstractNumId="16">
    <w:nsid w:val="39B7AAA2"/>
    <w:multiLevelType w:val="hybridMultilevel"/>
    <w:lvl w:ilvl="0">
      <w:lvlJc w:val="left"/>
      <w:lvlText w:val="6"/>
      <w:numFmt w:val="bullet"/>
      <w:start w:val="1"/>
    </w:lvl>
  </w:abstractNum>
  <w:abstractNum w:abstractNumId="17">
    <w:nsid w:val="2B0D8DBE"/>
    <w:multiLevelType w:val="hybridMultilevel"/>
    <w:lvl w:ilvl="0">
      <w:lvlJc w:val="left"/>
      <w:lvlText w:val="u"/>
      <w:numFmt w:val="bullet"/>
      <w:start w:val="1"/>
    </w:lvl>
  </w:abstractNum>
  <w:abstractNum w:abstractNumId="18">
    <w:nsid w:val="6C80EC70"/>
    <w:multiLevelType w:val="hybridMultilevel"/>
    <w:lvl w:ilvl="0">
      <w:lvlJc w:val="left"/>
      <w:lvlText w:val="u"/>
      <w:numFmt w:val="bullet"/>
      <w:start w:val="1"/>
    </w:lvl>
  </w:abstractNum>
  <w:abstractNum w:abstractNumId="19">
    <w:nsid w:val="379E21B5"/>
    <w:multiLevelType w:val="hybridMultilevel"/>
    <w:lvl w:ilvl="0">
      <w:lvlJc w:val="left"/>
      <w:lvlText w:val="u"/>
      <w:numFmt w:val="bullet"/>
      <w:start w:val="1"/>
    </w:lvl>
  </w:abstractNum>
  <w:abstractNum w:abstractNumId="20">
    <w:nsid w:val="69E373"/>
    <w:multiLevelType w:val="hybridMultilevel"/>
    <w:lvl w:ilvl="0">
      <w:lvlJc w:val="left"/>
      <w:lvlText w:val="u"/>
      <w:numFmt w:val="bullet"/>
      <w:start w:val="1"/>
    </w:lvl>
  </w:abstractNum>
  <w:abstractNum w:abstractNumId="21">
    <w:nsid w:val="2C27173B"/>
    <w:multiLevelType w:val="hybridMultilevel"/>
    <w:lvl w:ilvl="0">
      <w:lvlJc w:val="left"/>
      <w:lvlText w:val="8"/>
      <w:numFmt w:val="bullet"/>
      <w:start w:val="1"/>
    </w:lvl>
  </w:abstractNum>
  <w:abstractNum w:abstractNumId="22">
    <w:nsid w:val="4C9B0904"/>
    <w:multiLevelType w:val="hybridMultilevel"/>
    <w:lvl w:ilvl="0">
      <w:lvlJc w:val="left"/>
      <w:lvlText w:val="%1"/>
      <w:numFmt w:val="decimal"/>
      <w:start w:val="10"/>
    </w:lvl>
  </w:abstractNum>
  <w:abstractNum w:abstractNumId="23">
    <w:nsid w:val="6AA7B75C"/>
    <w:multiLevelType w:val="hybridMultilevel"/>
    <w:lvl w:ilvl="0">
      <w:lvlJc w:val="left"/>
      <w:lvlText w:val="%1"/>
      <w:numFmt w:val="decimal"/>
      <w:start w:val="12"/>
    </w:lvl>
  </w:abstractNum>
  <w:abstractNum w:abstractNumId="24">
    <w:nsid w:val="1DF029D3"/>
    <w:multiLevelType w:val="hybridMultilevel"/>
    <w:lvl w:ilvl="0">
      <w:lvlJc w:val="left"/>
      <w:lvlText w:val="%1"/>
      <w:numFmt w:val="decimal"/>
      <w:start w:val="14"/>
    </w:lvl>
  </w:abstractNum>
  <w:abstractNum w:abstractNumId="25">
    <w:nsid w:val="5675FF36"/>
    <w:multiLevelType w:val="hybridMultilevel"/>
    <w:lvl w:ilvl="0">
      <w:lvlJc w:val="left"/>
      <w:lvlText w:val="%1"/>
      <w:numFmt w:val="decimal"/>
      <w:start w:val="16"/>
    </w:lvl>
  </w:abstractNum>
  <w:abstractNum w:abstractNumId="26">
    <w:nsid w:val="3DD15094"/>
    <w:multiLevelType w:val="hybridMultilevel"/>
    <w:lvl w:ilvl="0">
      <w:lvlJc w:val="left"/>
      <w:lvlText w:val="%1"/>
      <w:numFmt w:val="decimal"/>
      <w:start w:val="18"/>
    </w:lvl>
  </w:abstractNum>
  <w:abstractNum w:abstractNumId="27">
    <w:nsid w:val="3DB012B3"/>
    <w:multiLevelType w:val="hybridMultilevel"/>
    <w:lvl w:ilvl="0">
      <w:lvlJc w:val="left"/>
      <w:lvlText w:val="%1"/>
      <w:numFmt w:val="decimal"/>
      <w:start w:val="20"/>
    </w:lvl>
  </w:abstractNum>
  <w:abstractNum w:abstractNumId="28">
    <w:nsid w:val="2708C9AF"/>
    <w:multiLevelType w:val="hybridMultilevel"/>
    <w:lvl w:ilvl="0">
      <w:lvlJc w:val="left"/>
      <w:lvlText w:val="u"/>
      <w:numFmt w:val="bullet"/>
      <w:start w:val="1"/>
    </w:lvl>
  </w:abstractNum>
  <w:abstractNum w:abstractNumId="29">
    <w:nsid w:val="5B25ACE2"/>
    <w:multiLevelType w:val="hybridMultilevel"/>
    <w:lvl w:ilvl="0">
      <w:lvlJc w:val="left"/>
      <w:lvlText w:val="%1"/>
      <w:numFmt w:val="decimal"/>
      <w:start w:val="22"/>
    </w:lvl>
  </w:abstractNum>
  <w:abstractNum w:abstractNumId="30">
    <w:nsid w:val="175DFCF0"/>
    <w:multiLevelType w:val="hybridMultilevel"/>
    <w:lvl w:ilvl="0">
      <w:lvlJc w:val="left"/>
      <w:lvlText w:val="u"/>
      <w:numFmt w:val="bullet"/>
      <w:start w:val="1"/>
    </w:lvl>
  </w:abstractNum>
  <w:abstractNum w:abstractNumId="31">
    <w:nsid w:val="4F97E3E4"/>
    <w:multiLevelType w:val="hybridMultilevel"/>
    <w:lvl w:ilvl="0">
      <w:lvlJc w:val="left"/>
      <w:lvlText w:val="u"/>
      <w:numFmt w:val="bullet"/>
      <w:start w:val="1"/>
    </w:lvl>
  </w:abstractNum>
  <w:abstractNum w:abstractNumId="32">
    <w:nsid w:val="53B0A9E"/>
    <w:multiLevelType w:val="hybridMultilevel"/>
    <w:lvl w:ilvl="0">
      <w:lvlJc w:val="left"/>
      <w:lvlText w:val="%1"/>
      <w:numFmt w:val="decimal"/>
      <w:start w:val="24"/>
    </w:lvl>
  </w:abstractNum>
  <w:abstractNum w:abstractNumId="33">
    <w:nsid w:val="34FD6B4F"/>
    <w:multiLevelType w:val="hybridMultilevel"/>
    <w:lvl w:ilvl="0">
      <w:lvlJc w:val="left"/>
      <w:lvlText w:val="u"/>
      <w:numFmt w:val="bullet"/>
      <w:start w:val="1"/>
    </w:lvl>
  </w:abstractNum>
  <w:abstractNum w:abstractNumId="34">
    <w:nsid w:val="5915FF32"/>
    <w:multiLevelType w:val="hybridMultilevel"/>
    <w:lvl w:ilvl="0">
      <w:lvlJc w:val="left"/>
      <w:lvlText w:val="u"/>
      <w:numFmt w:val="bullet"/>
      <w:start w:val="1"/>
    </w:lvl>
  </w:abstractNum>
  <w:abstractNum w:abstractNumId="35">
    <w:nsid w:val="56438D15"/>
    <w:multiLevelType w:val="hybridMultilevel"/>
    <w:lvl w:ilvl="0">
      <w:lvlJc w:val="left"/>
      <w:lvlText w:val="(%1)"/>
      <w:numFmt w:val="decimal"/>
      <w:start w:val="1"/>
    </w:lvl>
  </w:abstractNum>
  <w:abstractNum w:abstractNumId="36">
    <w:nsid w:val="519E3149"/>
    <w:multiLevelType w:val="hybridMultilevel"/>
    <w:lvl w:ilvl="0">
      <w:lvlJc w:val="left"/>
      <w:lvlText w:val="u"/>
      <w:numFmt w:val="bullet"/>
      <w:start w:val="1"/>
    </w:lvl>
  </w:abstractNum>
  <w:abstractNum w:abstractNumId="37">
    <w:nsid w:val="2C6E4AFD"/>
    <w:multiLevelType w:val="hybridMultilevel"/>
    <w:lvl w:ilvl="0">
      <w:lvlJc w:val="left"/>
      <w:lvlText w:val="(%1)"/>
      <w:numFmt w:val="decimal"/>
      <w:start w:val="1"/>
    </w:lvl>
  </w:abstractNum>
  <w:abstractNum w:abstractNumId="38">
    <w:nsid w:val="17A1B582"/>
    <w:multiLevelType w:val="hybridMultilevel"/>
    <w:lvl w:ilvl="0">
      <w:lvlJc w:val="left"/>
      <w:lvlText w:val="%1"/>
      <w:numFmt w:val="decimal"/>
      <w:start w:val="26"/>
    </w:lvl>
  </w:abstractNum>
  <w:abstractNum w:abstractNumId="39">
    <w:nsid w:val="4DF72E4E"/>
    <w:multiLevelType w:val="hybridMultilevel"/>
    <w:lvl w:ilvl="0">
      <w:lvlJc w:val="left"/>
      <w:lvlText w:val="u"/>
      <w:numFmt w:val="bullet"/>
      <w:start w:val="1"/>
    </w:lvl>
  </w:abstractNum>
  <w:abstractNum w:abstractNumId="40">
    <w:nsid w:val="5046B5A9"/>
    <w:multiLevelType w:val="hybridMultilevel"/>
    <w:lvl w:ilvl="0">
      <w:lvlJc w:val="left"/>
      <w:lvlText w:val="u"/>
      <w:numFmt w:val="bullet"/>
      <w:start w:val="1"/>
    </w:lvl>
  </w:abstractNum>
  <w:abstractNum w:abstractNumId="41">
    <w:nsid w:val="5D888A08"/>
    <w:multiLevelType w:val="hybridMultilevel"/>
    <w:lvl w:ilvl="0">
      <w:lvlJc w:val="left"/>
      <w:lvlText w:val="u"/>
      <w:numFmt w:val="bullet"/>
      <w:start w:val="1"/>
    </w:lvl>
  </w:abstractNum>
  <w:abstractNum w:abstractNumId="42">
    <w:nsid w:val="2A082C70"/>
    <w:multiLevelType w:val="hybridMultilevel"/>
    <w:lvl w:ilvl="0">
      <w:lvlJc w:val="left"/>
      <w:lvlText w:val="u"/>
      <w:numFmt w:val="bullet"/>
      <w:start w:val="1"/>
    </w:lvl>
  </w:abstractNum>
  <w:abstractNum w:abstractNumId="43">
    <w:nsid w:val="5EC6AFD4"/>
    <w:multiLevelType w:val="hybridMultilevel"/>
    <w:lvl w:ilvl="0">
      <w:lvlJc w:val="left"/>
      <w:lvlText w:val="u"/>
      <w:numFmt w:val="bullet"/>
      <w:start w:val="1"/>
    </w:lvl>
  </w:abstractNum>
  <w:abstractNum w:abstractNumId="44">
    <w:nsid w:val="19E21BB2"/>
    <w:multiLevelType w:val="hybridMultilevel"/>
    <w:lvl w:ilvl="0">
      <w:lvlJc w:val="left"/>
      <w:lvlText w:val="u"/>
      <w:numFmt w:val="bullet"/>
      <w:start w:val="1"/>
    </w:lvl>
  </w:abstractNum>
  <w:abstractNum w:abstractNumId="45">
    <w:nsid w:val="75E0858A"/>
    <w:multiLevelType w:val="hybridMultilevel"/>
    <w:lvl w:ilvl="0">
      <w:lvlJc w:val="left"/>
      <w:lvlText w:val="u"/>
      <w:numFmt w:val="bullet"/>
      <w:start w:val="1"/>
    </w:lvl>
  </w:abstractNum>
  <w:abstractNum w:abstractNumId="46">
    <w:nsid w:val="57A61A29"/>
    <w:multiLevelType w:val="hybridMultilevel"/>
    <w:lvl w:ilvl="0">
      <w:lvlJc w:val="left"/>
      <w:lvlText w:val="u"/>
      <w:numFmt w:val="bullet"/>
      <w:start w:val="1"/>
    </w:lvl>
  </w:abstractNum>
  <w:abstractNum w:abstractNumId="47">
    <w:nsid w:val="5399C654"/>
    <w:multiLevelType w:val="hybridMultilevel"/>
    <w:lvl w:ilvl="0">
      <w:lvlJc w:val="left"/>
      <w:lvlText w:val="u"/>
      <w:numFmt w:val="bullet"/>
      <w:start w:val="1"/>
    </w:lvl>
  </w:abstractNum>
  <w:abstractNum w:abstractNumId="48">
    <w:nsid w:val="20EE1348"/>
    <w:multiLevelType w:val="hybridMultilevel"/>
    <w:lvl w:ilvl="0">
      <w:lvlJc w:val="left"/>
      <w:lvlText w:val="%1"/>
      <w:numFmt w:val="decimal"/>
      <w:start w:val="28"/>
    </w:lvl>
  </w:abstractNum>
  <w:abstractNum w:abstractNumId="49">
    <w:nsid w:val="4427069A"/>
    <w:multiLevelType w:val="hybridMultilevel"/>
    <w:lvl w:ilvl="0">
      <w:lvlJc w:val="left"/>
      <w:lvlText w:val="u"/>
      <w:numFmt w:val="bullet"/>
      <w:start w:val="1"/>
    </w:lvl>
  </w:abstractNum>
  <w:abstractNum w:abstractNumId="50">
    <w:nsid w:val="B37E80A"/>
    <w:multiLevelType w:val="hybridMultilevel"/>
    <w:lvl w:ilvl="0">
      <w:lvlJc w:val="left"/>
      <w:lvlText w:val="%1"/>
      <w:numFmt w:val="decimal"/>
      <w:start w:val="30"/>
    </w:lvl>
  </w:abstractNum>
  <w:abstractNum w:abstractNumId="51">
    <w:nsid w:val="2157F6BC"/>
    <w:multiLevelType w:val="hybridMultilevel"/>
    <w:lvl w:ilvl="0">
      <w:lvlJc w:val="left"/>
      <w:lvlText w:val="u"/>
      <w:numFmt w:val="bullet"/>
      <w:start w:val="1"/>
    </w:lvl>
  </w:abstractNum>
  <w:abstractNum w:abstractNumId="52">
    <w:nsid w:val="704E1DD5"/>
    <w:multiLevelType w:val="hybridMultilevel"/>
    <w:lvl w:ilvl="0">
      <w:lvlJc w:val="left"/>
      <w:lvlText w:val="u"/>
      <w:numFmt w:val="bullet"/>
      <w:start w:val="1"/>
    </w:lvl>
  </w:abstractNum>
  <w:abstractNum w:abstractNumId="53">
    <w:nsid w:val="57D2F10E"/>
    <w:multiLevelType w:val="hybridMultilevel"/>
    <w:lvl w:ilvl="0">
      <w:lvlJc w:val="left"/>
      <w:lvlText w:val="u"/>
      <w:numFmt w:val="bullet"/>
      <w:start w:val="1"/>
    </w:lvl>
  </w:abstractNum>
  <w:abstractNum w:abstractNumId="54">
    <w:nsid w:val="BFFAE18"/>
    <w:multiLevelType w:val="hybridMultilevel"/>
    <w:lvl w:ilvl="0">
      <w:lvlJc w:val="left"/>
      <w:lvlText w:val="u"/>
      <w:numFmt w:val="bullet"/>
      <w:start w:val="1"/>
    </w:lvl>
  </w:abstractNum>
  <w:abstractNum w:abstractNumId="55">
    <w:nsid w:val="E3E47A8"/>
    <w:multiLevelType w:val="hybridMultilevel"/>
    <w:lvl w:ilvl="0">
      <w:lvlJc w:val="left"/>
      <w:lvlText w:val="u"/>
      <w:numFmt w:val="bullet"/>
      <w:start w:val="1"/>
    </w:lvl>
  </w:abstractNum>
  <w:abstractNum w:abstractNumId="56">
    <w:nsid w:val="2E48F044"/>
    <w:multiLevelType w:val="hybridMultilevel"/>
    <w:lvl w:ilvl="0">
      <w:lvlJc w:val="left"/>
      <w:lvlText w:val="u"/>
      <w:numFmt w:val="bullet"/>
      <w:start w:val="1"/>
    </w:lvl>
  </w:abstractNum>
  <w:abstractNum w:abstractNumId="57">
    <w:nsid w:val="49D0FEAC"/>
    <w:multiLevelType w:val="hybridMultilevel"/>
    <w:lvl w:ilvl="0">
      <w:lvlJc w:val="left"/>
      <w:lvlText w:val="u"/>
      <w:numFmt w:val="bullet"/>
      <w:start w:val="1"/>
    </w:lvl>
  </w:abstractNum>
  <w:abstractNum w:abstractNumId="58">
    <w:nsid w:val="4BEE5A5B"/>
    <w:multiLevelType w:val="hybridMultilevel"/>
    <w:lvl w:ilvl="0">
      <w:lvlJc w:val="left"/>
      <w:lvlText w:val="u"/>
      <w:numFmt w:val="bullet"/>
      <w:start w:val="1"/>
    </w:lvl>
  </w:abstractNum>
  <w:abstractNum w:abstractNumId="59">
    <w:nsid w:val="5551B9F3"/>
    <w:multiLevelType w:val="hybridMultilevel"/>
    <w:lvl w:ilvl="0">
      <w:lvlJc w:val="left"/>
      <w:lvlText w:val="u"/>
      <w:numFmt w:val="bullet"/>
      <w:start w:val="1"/>
    </w:lvl>
  </w:abstractNum>
  <w:abstractNum w:abstractNumId="60">
    <w:nsid w:val="24F6AB8E"/>
    <w:multiLevelType w:val="hybridMultilevel"/>
    <w:lvl w:ilvl="0">
      <w:lvlJc w:val="left"/>
      <w:lvlText w:val="u"/>
      <w:numFmt w:val="bullet"/>
      <w:start w:val="1"/>
    </w:lvl>
  </w:abstractNum>
  <w:abstractNum w:abstractNumId="61">
    <w:nsid w:val="634C574C"/>
    <w:multiLevelType w:val="hybridMultilevel"/>
    <w:lvl w:ilvl="0">
      <w:lvlJc w:val="left"/>
      <w:lvlText w:val="u"/>
      <w:numFmt w:val="bullet"/>
      <w:start w:val="1"/>
    </w:lvl>
  </w:abstractNum>
  <w:abstractNum w:abstractNumId="62">
    <w:nsid w:val="24E99DD7"/>
    <w:multiLevelType w:val="hybridMultilevel"/>
    <w:lvl w:ilvl="0">
      <w:lvlJc w:val="left"/>
      <w:lvlText w:val="%1"/>
      <w:numFmt w:val="decimal"/>
      <w:start w:val="32"/>
    </w:lvl>
  </w:abstractNum>
  <w:abstractNum w:abstractNumId="63">
    <w:nsid w:val="2A31B62D"/>
    <w:multiLevelType w:val="hybridMultilevel"/>
    <w:lvl w:ilvl="0">
      <w:lvlJc w:val="left"/>
      <w:lvlText w:val="u"/>
      <w:numFmt w:val="bullet"/>
      <w:start w:val="1"/>
    </w:lvl>
  </w:abstractNum>
  <w:abstractNum w:abstractNumId="64">
    <w:nsid w:val="1849C29B"/>
    <w:multiLevelType w:val="hybridMultilevel"/>
    <w:lvl w:ilvl="0">
      <w:lvlJc w:val="left"/>
      <w:lvlText w:val="u"/>
      <w:numFmt w:val="bullet"/>
      <w:start w:val="1"/>
    </w:lvl>
  </w:abstractNum>
  <w:abstractNum w:abstractNumId="65">
    <w:nsid w:val="7DFF9D09"/>
    <w:multiLevelType w:val="hybridMultilevel"/>
    <w:lvl w:ilvl="0">
      <w:lvlJc w:val="left"/>
      <w:lvlText w:val="u"/>
      <w:numFmt w:val="bullet"/>
      <w:start w:val="1"/>
    </w:lvl>
  </w:abstractNum>
  <w:abstractNum w:abstractNumId="66">
    <w:nsid w:val="754342"/>
    <w:multiLevelType w:val="hybridMultilevel"/>
    <w:lvl w:ilvl="0">
      <w:lvlJc w:val="left"/>
      <w:lvlText w:val="%1"/>
      <w:numFmt w:val="decimal"/>
      <w:start w:val="34"/>
    </w:lvl>
  </w:abstractNum>
  <w:abstractNum w:abstractNumId="67">
    <w:nsid w:val="69E7F3E5"/>
    <w:multiLevelType w:val="hybridMultilevel"/>
    <w:lvl w:ilvl="0">
      <w:lvlJc w:val="left"/>
      <w:lvlText w:val="(%1)"/>
      <w:numFmt w:val="decimal"/>
      <w:start w:val="1"/>
    </w:lvl>
  </w:abstractNum>
  <w:abstractNum w:abstractNumId="68">
    <w:nsid w:val="2A6DE806"/>
    <w:multiLevelType w:val="hybridMultilevel"/>
    <w:lvl w:ilvl="0">
      <w:lvlJc w:val="left"/>
      <w:lvlText w:val="(%1)"/>
      <w:numFmt w:val="decimal"/>
      <w:start w:val="1"/>
    </w:lvl>
  </w:abstractNum>
  <w:abstractNum w:abstractNumId="69">
    <w:nsid w:val="1816F8C4"/>
    <w:multiLevelType w:val="hybridMultilevel"/>
    <w:lvl w:ilvl="0">
      <w:lvlJc w:val="left"/>
      <w:lvlText w:val="%1"/>
      <w:numFmt w:val="decimal"/>
      <w:start w:val="1"/>
    </w:lvl>
    <w:lvl w:ilvl="1">
      <w:lvlJc w:val="left"/>
      <w:lvlText w:val="(%2)"/>
      <w:numFmt w:val="lowerLetter"/>
      <w:start w:val="1"/>
    </w:lvl>
  </w:abstractNum>
  <w:abstractNum w:abstractNumId="70">
    <w:nsid w:val="37DF2233"/>
    <w:multiLevelType w:val="hybridMultilevel"/>
    <w:lvl w:ilvl="0">
      <w:lvlJc w:val="left"/>
      <w:lvlText w:val="(%1)"/>
      <w:numFmt w:val="decimal"/>
      <w:start w:val="5"/>
    </w:lvl>
    <w:lvl w:ilvl="1">
      <w:lvlJc w:val="left"/>
      <w:lvlText w:val="%2"/>
      <w:numFmt w:val="lowerLetter"/>
      <w:start w:val="1"/>
    </w:lvl>
  </w:abstractNum>
  <w:abstractNum w:abstractNumId="71">
    <w:nsid w:val="7AB49DAF"/>
    <w:multiLevelType w:val="hybridMultilevel"/>
    <w:lvl w:ilvl="0">
      <w:lvlJc w:val="left"/>
      <w:lvlText w:val="%1"/>
      <w:numFmt w:val="decimal"/>
      <w:start w:val="36"/>
    </w:lvl>
  </w:abstractNum>
  <w:abstractNum w:abstractNumId="72">
    <w:nsid w:val="759F82CD"/>
    <w:multiLevelType w:val="hybridMultilevel"/>
    <w:lvl w:ilvl="0">
      <w:lvlJc w:val="left"/>
      <w:lvlText w:val="(%1)"/>
      <w:numFmt w:val="decimal"/>
      <w:start w:val="1"/>
    </w:lvl>
  </w:abstractNum>
  <w:abstractNum w:abstractNumId="73">
    <w:nsid w:val="61E74EA3"/>
    <w:multiLevelType w:val="hybridMultilevel"/>
    <w:lvl w:ilvl="0">
      <w:lvlJc w:val="left"/>
      <w:lvlText w:val="u"/>
      <w:numFmt w:val="bullet"/>
      <w:start w:val="1"/>
    </w:lvl>
  </w:abstractNum>
  <w:abstractNum w:abstractNumId="74">
    <w:nsid w:val="597B4D84"/>
    <w:multiLevelType w:val="hybridMultilevel"/>
    <w:lvl w:ilvl="0">
      <w:lvlJc w:val="left"/>
      <w:lvlText w:val="%1"/>
      <w:numFmt w:val="decimal"/>
      <w:start w:val="38"/>
    </w:lvl>
  </w:abstractNum>
  <w:abstractNum w:abstractNumId="75">
    <w:nsid w:val="F819E7F"/>
    <w:multiLevelType w:val="hybridMultilevel"/>
    <w:lvl w:ilvl="0">
      <w:lvlJc w:val="left"/>
      <w:lvlText w:val="%1"/>
      <w:numFmt w:val="decimal"/>
      <w:start w:val="40"/>
    </w:lvl>
  </w:abstractNum>
  <w:abstractNum w:abstractNumId="76">
    <w:nsid w:val="57C7D42D"/>
    <w:multiLevelType w:val="hybridMultilevel"/>
    <w:lvl w:ilvl="0">
      <w:lvlJc w:val="left"/>
      <w:lvlText w:val="*"/>
      <w:numFmt w:val="bullet"/>
      <w:start w:val="1"/>
    </w:lvl>
  </w:abstractNum>
  <w:abstractNum w:abstractNumId="77">
    <w:nsid w:val="312167AD"/>
    <w:multiLevelType w:val="hybridMultilevel"/>
    <w:lvl w:ilvl="0">
      <w:lvlJc w:val="left"/>
      <w:lvlText w:val="%1"/>
      <w:numFmt w:val="decimal"/>
      <w:start w:val="42"/>
    </w:lvl>
  </w:abstractNum>
  <w:abstractNum w:abstractNumId="78">
    <w:nsid w:val="631B64D4"/>
    <w:multiLevelType w:val="hybridMultilevel"/>
    <w:lvl w:ilvl="0">
      <w:lvlJc w:val="left"/>
      <w:lvlText w:val="u"/>
      <w:numFmt w:val="bullet"/>
      <w:start w:val="1"/>
    </w:lvl>
  </w:abstractNum>
  <w:abstractNum w:abstractNumId="79">
    <w:nsid w:val="78B5E776"/>
    <w:multiLevelType w:val="hybridMultilevel"/>
    <w:lvl w:ilvl="0">
      <w:lvlJc w:val="left"/>
      <w:lvlText w:val="u"/>
      <w:numFmt w:val="bullet"/>
      <w:start w:val="1"/>
    </w:lvl>
  </w:abstractNum>
  <w:abstractNum w:abstractNumId="80">
    <w:nsid w:val="75486E47"/>
    <w:multiLevelType w:val="hybridMultilevel"/>
    <w:lvl w:ilvl="0">
      <w:lvlJc w:val="left"/>
      <w:lvlText w:val="u"/>
      <w:numFmt w:val="bullet"/>
      <w:start w:val="1"/>
    </w:lvl>
  </w:abstractNum>
  <w:abstractNum w:abstractNumId="81">
    <w:nsid w:val="6E534CDE"/>
    <w:multiLevelType w:val="hybridMultilevel"/>
    <w:lvl w:ilvl="0">
      <w:lvlJc w:val="left"/>
      <w:lvlText w:val="(%1)"/>
      <w:numFmt w:val="decimal"/>
      <w:start w:val="1"/>
    </w:lvl>
  </w:abstractNum>
  <w:abstractNum w:abstractNumId="82">
    <w:nsid w:val="1A0DDE32"/>
    <w:multiLevelType w:val="hybridMultilevel"/>
    <w:lvl w:ilvl="0">
      <w:lvlJc w:val="left"/>
      <w:lvlText w:val="u"/>
      <w:numFmt w:val="bullet"/>
      <w:start w:val="1"/>
    </w:lvl>
  </w:abstractNum>
  <w:abstractNum w:abstractNumId="83">
    <w:nsid w:val="65968C1C"/>
    <w:multiLevelType w:val="hybridMultilevel"/>
    <w:lvl w:ilvl="0">
      <w:lvlJc w:val="left"/>
      <w:lvlText w:val="u"/>
      <w:numFmt w:val="bullet"/>
      <w:start w:val="1"/>
    </w:lvl>
  </w:abstractNum>
  <w:abstractNum w:abstractNumId="84">
    <w:nsid w:val="46263DEC"/>
    <w:multiLevelType w:val="hybridMultilevel"/>
    <w:lvl w:ilvl="0">
      <w:lvlJc w:val="left"/>
      <w:lvlText w:val="u"/>
      <w:numFmt w:val="bullet"/>
      <w:start w:val="1"/>
    </w:lvl>
  </w:abstractNum>
  <w:abstractNum w:abstractNumId="85">
    <w:nsid w:val="260D8C4A"/>
    <w:multiLevelType w:val="hybridMultilevel"/>
    <w:lvl w:ilvl="0">
      <w:lvlJc w:val="left"/>
      <w:lvlText w:val="u"/>
      <w:numFmt w:val="bullet"/>
      <w:start w:val="1"/>
    </w:lvl>
  </w:abstractNum>
  <w:abstractNum w:abstractNumId="86">
    <w:nsid w:val="73D4D3C4"/>
    <w:multiLevelType w:val="hybridMultilevel"/>
    <w:lvl w:ilvl="0">
      <w:lvlJc w:val="left"/>
      <w:lvlText w:val="u"/>
      <w:numFmt w:val="bullet"/>
      <w:start w:val="1"/>
    </w:lvl>
  </w:abstractNum>
  <w:abstractNum w:abstractNumId="87">
    <w:nsid w:val="746F2E30"/>
    <w:multiLevelType w:val="hybridMultilevel"/>
    <w:lvl w:ilvl="0">
      <w:lvlJc w:val="left"/>
      <w:lvlText w:val="%1"/>
      <w:numFmt w:val="decimal"/>
      <w:start w:val="44"/>
    </w:lvl>
  </w:abstractNum>
  <w:abstractNum w:abstractNumId="88">
    <w:nsid w:val="6FDE8AF6"/>
    <w:multiLevelType w:val="hybridMultilevel"/>
    <w:lvl w:ilvl="0">
      <w:lvlJc w:val="left"/>
      <w:lvlText w:val="u"/>
      <w:numFmt w:val="bullet"/>
      <w:start w:val="1"/>
    </w:lvl>
  </w:abstractNum>
  <w:abstractNum w:abstractNumId="89">
    <w:nsid w:val="3FC32E20"/>
    <w:multiLevelType w:val="hybridMultilevel"/>
    <w:lvl w:ilvl="0">
      <w:lvlJc w:val="left"/>
      <w:lvlText w:val="(%1)"/>
      <w:numFmt w:val="decimal"/>
      <w:start w:val="1"/>
    </w:lvl>
  </w:abstractNum>
  <w:abstractNum w:abstractNumId="90">
    <w:nsid w:val="49C0E823"/>
    <w:multiLevelType w:val="hybridMultilevel"/>
    <w:lvl w:ilvl="0">
      <w:lvlJc w:val="left"/>
      <w:lvlText w:val="u"/>
      <w:numFmt w:val="bullet"/>
      <w:start w:val="1"/>
    </w:lvl>
  </w:abstractNum>
  <w:abstractNum w:abstractNumId="91">
    <w:nsid w:val="14D53685"/>
    <w:multiLevelType w:val="hybridMultilevel"/>
    <w:lvl w:ilvl="0">
      <w:lvlJc w:val="left"/>
      <w:lvlText w:val="u"/>
      <w:numFmt w:val="bullet"/>
      <w:start w:val="1"/>
    </w:lvl>
  </w:abstractNum>
  <w:abstractNum w:abstractNumId="92">
    <w:nsid w:val="230F856C"/>
    <w:multiLevelType w:val="hybridMultilevel"/>
    <w:lvl w:ilvl="0">
      <w:lvlJc w:val="left"/>
      <w:lvlText w:val="u"/>
      <w:numFmt w:val="bullet"/>
      <w:start w:val="1"/>
    </w:lvl>
  </w:abstractNum>
  <w:abstractNum w:abstractNumId="93">
    <w:nsid w:val="6EAA85FB"/>
    <w:multiLevelType w:val="hybridMultilevel"/>
    <w:lvl w:ilvl="0">
      <w:lvlJc w:val="left"/>
      <w:lvlText w:val="u"/>
      <w:numFmt w:val="bullet"/>
      <w:start w:val="1"/>
    </w:lvl>
  </w:abstractNum>
  <w:abstractNum w:abstractNumId="94">
    <w:nsid w:val="3F06ECB2"/>
    <w:multiLevelType w:val="hybridMultilevel"/>
    <w:lvl w:ilvl="0">
      <w:lvlJc w:val="left"/>
      <w:lvlText w:val="%1"/>
      <w:numFmt w:val="decimal"/>
      <w:start w:val="46"/>
    </w:lvl>
  </w:abstractNum>
  <w:abstractNum w:abstractNumId="95">
    <w:nsid w:val="3B594807"/>
    <w:multiLevelType w:val="hybridMultilevel"/>
    <w:lvl w:ilvl="0">
      <w:lvlJc w:val="left"/>
      <w:lvlText w:val="(%1)"/>
      <w:numFmt w:val="decimal"/>
      <w:start w:val="1"/>
    </w:lvl>
  </w:abstractNum>
  <w:abstractNum w:abstractNumId="96">
    <w:nsid w:val="6CAA2304"/>
    <w:multiLevelType w:val="hybridMultilevel"/>
    <w:lvl w:ilvl="0">
      <w:lvlJc w:val="left"/>
      <w:lvlText w:val="(%1)"/>
      <w:numFmt w:val="decimal"/>
      <w:start w:val="1"/>
    </w:lvl>
  </w:abstractNum>
  <w:abstractNum w:abstractNumId="97">
    <w:nsid w:val="3F7C2FF4"/>
    <w:multiLevelType w:val="hybridMultilevel"/>
    <w:lvl w:ilvl="0">
      <w:lvlJc w:val="left"/>
      <w:lvlText w:val="%1"/>
      <w:numFmt w:val="decimal"/>
      <w:start w:val="48"/>
    </w:lvl>
  </w:abstractNum>
  <w:abstractNum w:abstractNumId="98">
    <w:nsid w:val="25413BEC"/>
    <w:multiLevelType w:val="hybridMultilevel"/>
    <w:lvl w:ilvl="0">
      <w:lvlJc w:val="left"/>
      <w:lvlText w:val="(%1)"/>
      <w:numFmt w:val="decimal"/>
      <w:start w:val="1"/>
    </w:lvl>
  </w:abstractNum>
  <w:abstractNum w:abstractNumId="99">
    <w:nsid w:val="17180B0B"/>
    <w:multiLevelType w:val="hybridMultilevel"/>
    <w:lvl w:ilvl="0">
      <w:lvlJc w:val="left"/>
      <w:lvlText w:val="%1"/>
      <w:numFmt w:val="decimal"/>
      <w:start w:val="50"/>
    </w:lvl>
  </w:abstractNum>
  <w:abstractNum w:abstractNumId="100">
    <w:nsid w:val="579328B9"/>
    <w:multiLevelType w:val="hybridMultilevel"/>
    <w:lvl w:ilvl="0">
      <w:lvlJc w:val="left"/>
      <w:lvlText w:val="%1"/>
      <w:numFmt w:val="decimal"/>
      <w:start w:val="52"/>
    </w:lvl>
  </w:abstractNum>
  <w:abstractNum w:abstractNumId="101">
    <w:nsid w:val="5D205E20"/>
    <w:multiLevelType w:val="hybridMultilevel"/>
    <w:lvl w:ilvl="0">
      <w:lvlJc w:val="left"/>
      <w:lvlText w:val="%1"/>
      <w:numFmt w:val="decimal"/>
      <w:start w:val="54"/>
    </w:lvl>
  </w:abstractNum>
  <w:abstractNum w:abstractNumId="102">
    <w:nsid w:val="11CCA8BA"/>
    <w:multiLevelType w:val="hybridMultilevel"/>
    <w:lvl w:ilvl="0">
      <w:lvlJc w:val="left"/>
      <w:lvlText w:val="u"/>
      <w:numFmt w:val="bullet"/>
      <w:start w:val="1"/>
    </w:lvl>
  </w:abstractNum>
  <w:abstractNum w:abstractNumId="103">
    <w:nsid w:val="4D32AB86"/>
    <w:multiLevelType w:val="hybridMultilevel"/>
    <w:lvl w:ilvl="0">
      <w:lvlJc w:val="left"/>
      <w:lvlText w:val="u"/>
      <w:numFmt w:val="bullet"/>
      <w:start w:val="1"/>
    </w:lvl>
  </w:abstractNum>
  <w:abstractNum w:abstractNumId="104">
    <w:nsid w:val="3F07ACC3"/>
    <w:multiLevelType w:val="hybridMultilevel"/>
    <w:lvl w:ilvl="0">
      <w:lvlJc w:val="left"/>
      <w:lvlText w:val="%1"/>
      <w:numFmt w:val="decimal"/>
      <w:start w:val="56"/>
    </w:lvl>
  </w:abstractNum>
  <w:abstractNum w:abstractNumId="105">
    <w:nsid w:val="6B47F63E"/>
    <w:multiLevelType w:val="hybridMultilevel"/>
    <w:lvl w:ilvl="0">
      <w:lvlJc w:val="left"/>
      <w:lvlText w:val="(%1)"/>
      <w:numFmt w:val="lowerRoman"/>
      <w:start w:val="4"/>
    </w:lvl>
  </w:abstractNum>
  <w:abstractNum w:abstractNumId="106">
    <w:nsid w:val="5CB44A05"/>
    <w:multiLevelType w:val="hybridMultilevel"/>
    <w:lvl w:ilvl="0">
      <w:lvlJc w:val="left"/>
      <w:lvlText w:val="%1"/>
      <w:numFmt w:val="decimal"/>
      <w:start w:val="58"/>
    </w:lvl>
  </w:abstractNum>
  <w:abstractNum w:abstractNumId="107">
    <w:nsid w:val="16CF80F1"/>
    <w:multiLevelType w:val="hybridMultilevel"/>
    <w:lvl w:ilvl="0">
      <w:lvlJc w:val="left"/>
      <w:lvlText w:val="(%1)"/>
      <w:numFmt w:val="decimal"/>
      <w:start w:val="1"/>
    </w:lvl>
  </w:abstractNum>
  <w:abstractNum w:abstractNumId="108">
    <w:nsid w:val="1C695DEC"/>
    <w:multiLevelType w:val="hybridMultilevel"/>
    <w:lvl w:ilvl="0">
      <w:lvlJc w:val="left"/>
      <w:lvlText w:val="(%1)"/>
      <w:numFmt w:val="decimal"/>
      <w:start w:val="3"/>
    </w:lvl>
  </w:abstractNum>
  <w:abstractNum w:abstractNumId="109">
    <w:nsid w:val="3FCFAED9"/>
    <w:multiLevelType w:val="hybridMultilevel"/>
    <w:lvl w:ilvl="0">
      <w:lvlJc w:val="left"/>
      <w:lvlText w:val="%1"/>
      <w:numFmt w:val="decimal"/>
      <w:start w:val="1"/>
    </w:lvl>
    <w:lvl w:ilvl="1">
      <w:lvlJc w:val="left"/>
      <w:lvlText w:val="(%2)"/>
      <w:numFmt w:val="lowerLetter"/>
      <w:start w:val="1"/>
    </w:lvl>
  </w:abstractNum>
  <w:abstractNum w:abstractNumId="110">
    <w:nsid w:val="F856867"/>
    <w:multiLevelType w:val="hybridMultilevel"/>
    <w:lvl w:ilvl="0">
      <w:lvlJc w:val="left"/>
      <w:lvlText w:val="(%1)"/>
      <w:numFmt w:val="decimal"/>
      <w:start w:val="5"/>
    </w:lvl>
    <w:lvl w:ilvl="1">
      <w:lvlJc w:val="left"/>
      <w:lvlText w:val="%2"/>
      <w:numFmt w:val="lowerLetter"/>
      <w:start w:val="1"/>
    </w:lvl>
  </w:abstractNum>
  <w:abstractNum w:abstractNumId="111">
    <w:nsid w:val="11B1CC33"/>
    <w:multiLevelType w:val="hybridMultilevel"/>
    <w:lvl w:ilvl="0">
      <w:lvlJc w:val="left"/>
      <w:lvlText w:val="%1"/>
      <w:numFmt w:val="decimal"/>
      <w:start w:val="60"/>
    </w:lvl>
  </w:abstractNum>
  <w:abstractNum w:abstractNumId="112">
    <w:nsid w:val="2E22FBB7"/>
    <w:multiLevelType w:val="hybridMultilevel"/>
    <w:lvl w:ilvl="0">
      <w:lvlJc w:val="left"/>
      <w:lvlText w:val="(%1)"/>
      <w:numFmt w:val="decimal"/>
      <w:start w:val="1"/>
    </w:lvl>
  </w:abstractNum>
  <w:abstractNum w:abstractNumId="113">
    <w:nsid w:val="29934699"/>
    <w:multiLevelType w:val="hybridMultilevel"/>
    <w:lvl w:ilvl="0">
      <w:lvlJc w:val="left"/>
      <w:lvlText w:val="(%1)"/>
      <w:numFmt w:val="decimal"/>
      <w:start w:val="2"/>
    </w:lvl>
  </w:abstractNum>
  <w:abstractNum w:abstractNumId="114">
    <w:nsid w:val="77485850"/>
    <w:multiLevelType w:val="hybridMultilevel"/>
    <w:lvl w:ilvl="0">
      <w:lvlJc w:val="left"/>
      <w:lvlText w:val="%1"/>
      <w:numFmt w:val="decimal"/>
      <w:start w:val="62"/>
    </w:lvl>
  </w:abstractNum>
  <w:abstractNum w:abstractNumId="115">
    <w:nsid w:val="744939A3"/>
    <w:multiLevelType w:val="hybridMultilevel"/>
    <w:lvl w:ilvl="0">
      <w:lvlJc w:val="left"/>
      <w:lvlText w:val="(%1)"/>
      <w:numFmt w:val="decimal"/>
      <w:start w:val="1"/>
    </w:lvl>
  </w:abstractNum>
  <w:abstractNum w:abstractNumId="116">
    <w:nsid w:val="4FA0D2E3"/>
    <w:multiLevelType w:val="hybridMultilevel"/>
    <w:lvl w:ilvl="0">
      <w:lvlJc w:val="left"/>
      <w:lvlText w:val="(%1)"/>
      <w:numFmt w:val="decimal"/>
      <w:start w:val="3"/>
    </w:lvl>
  </w:abstractNum>
  <w:abstractNum w:abstractNumId="117">
    <w:nsid w:val="6B1D2C14"/>
    <w:multiLevelType w:val="hybridMultilevel"/>
    <w:lvl w:ilvl="0">
      <w:lvlJc w:val="left"/>
      <w:lvlText w:val="(%1)"/>
      <w:numFmt w:val="decimal"/>
      <w:start w:val="1"/>
    </w:lvl>
  </w:abstractNum>
  <w:abstractNum w:abstractNumId="118">
    <w:nsid w:val="68B867D3"/>
    <w:multiLevelType w:val="hybridMultilevel"/>
    <w:lvl w:ilvl="0">
      <w:lvlJc w:val="left"/>
      <w:lvlText w:val="%1"/>
      <w:numFmt w:val="decimal"/>
      <w:start w:val="64"/>
    </w:lvl>
  </w:abstractNum>
  <w:abstractNum w:abstractNumId="119">
    <w:nsid w:val="3F7F5DD9"/>
    <w:multiLevelType w:val="hybridMultilevel"/>
    <w:lvl w:ilvl="0">
      <w:lvlJc w:val="left"/>
      <w:lvlText w:val="(%1)"/>
      <w:numFmt w:val="decimal"/>
      <w:start w:val="1"/>
    </w:lvl>
  </w:abstractNum>
  <w:abstractNum w:abstractNumId="120">
    <w:nsid w:val="2AE05A34"/>
    <w:multiLevelType w:val="hybridMultilevel"/>
    <w:lvl w:ilvl="0">
      <w:lvlJc w:val="left"/>
      <w:lvlText w:val="(%1)"/>
      <w:numFmt w:val="decimal"/>
      <w:start w:val="1"/>
    </w:lvl>
  </w:abstractNum>
  <w:abstractNum w:abstractNumId="121">
    <w:nsid w:val="32794FF7"/>
    <w:multiLevelType w:val="hybridMultilevel"/>
    <w:lvl w:ilvl="0">
      <w:lvlJc w:val="left"/>
      <w:lvlText w:val="u"/>
      <w:numFmt w:val="bullet"/>
      <w:start w:val="1"/>
    </w:lvl>
  </w:abstractNum>
  <w:abstractNum w:abstractNumId="122">
    <w:nsid w:val="5454945E"/>
    <w:multiLevelType w:val="hybridMultilevel"/>
    <w:lvl w:ilvl="0">
      <w:lvlJc w:val="left"/>
      <w:lvlText w:val="u"/>
      <w:numFmt w:val="bullet"/>
      <w:start w:val="1"/>
    </w:lvl>
  </w:abstractNum>
  <w:abstractNum w:abstractNumId="123">
    <w:nsid w:val="4DEFDFA0"/>
    <w:multiLevelType w:val="hybridMultilevel"/>
    <w:lvl w:ilvl="0">
      <w:lvlJc w:val="left"/>
      <w:lvlText w:val="u"/>
      <w:numFmt w:val="bullet"/>
      <w:start w:val="1"/>
    </w:lvl>
  </w:abstractNum>
  <w:abstractNum w:abstractNumId="124">
    <w:nsid w:val="2123D5F2"/>
    <w:multiLevelType w:val="hybridMultilevel"/>
    <w:lvl w:ilvl="0">
      <w:lvlJc w:val="left"/>
      <w:lvlText w:val="%1"/>
      <w:numFmt w:val="decimal"/>
      <w:start w:val="66"/>
    </w:lvl>
  </w:abstractNum>
  <w:abstractNum w:abstractNumId="125">
    <w:nsid w:val="135B8110"/>
    <w:multiLevelType w:val="hybridMultilevel"/>
    <w:lvl w:ilvl="0">
      <w:lvlJc w:val="left"/>
      <w:lvlText w:val="(%1)"/>
      <w:numFmt w:val="decimal"/>
      <w:start w:val="1"/>
    </w:lvl>
  </w:abstractNum>
  <w:abstractNum w:abstractNumId="126">
    <w:nsid w:val="94927A8"/>
    <w:multiLevelType w:val="hybridMultilevel"/>
    <w:lvl w:ilvl="0">
      <w:lvlJc w:val="left"/>
      <w:lvlText w:val="u"/>
      <w:numFmt w:val="bullet"/>
      <w:start w:val="1"/>
    </w:lvl>
  </w:abstractNum>
  <w:abstractNum w:abstractNumId="127">
    <w:nsid w:val="DCDF8F6"/>
    <w:multiLevelType w:val="hybridMultilevel"/>
    <w:lvl w:ilvl="0">
      <w:lvlJc w:val="left"/>
      <w:lvlText w:val="%1"/>
      <w:numFmt w:val="decimal"/>
      <w:start w:val="68"/>
    </w:lvl>
  </w:abstractNum>
  <w:abstractNum w:abstractNumId="128">
    <w:nsid w:val="52D7B105"/>
    <w:multiLevelType w:val="hybridMultilevel"/>
    <w:lvl w:ilvl="0">
      <w:lvlJc w:val="left"/>
      <w:lvlText w:val="(%1)"/>
      <w:numFmt w:val="decimal"/>
      <w:start w:val="1"/>
    </w:lvl>
  </w:abstractNum>
  <w:abstractNum w:abstractNumId="129">
    <w:nsid w:val="2E8A6394"/>
    <w:multiLevelType w:val="hybridMultilevel"/>
    <w:lvl w:ilvl="0">
      <w:lvlJc w:val="left"/>
      <w:lvlText w:val="(%1)"/>
      <w:numFmt w:val="decimal"/>
      <w:start w:val="3"/>
    </w:lvl>
  </w:abstractNum>
  <w:abstractNum w:abstractNumId="130">
    <w:nsid w:val="24E60401"/>
    <w:multiLevelType w:val="hybridMultilevel"/>
    <w:lvl w:ilvl="0">
      <w:lvlJc w:val="left"/>
      <w:lvlText w:val="u"/>
      <w:numFmt w:val="bullet"/>
      <w:start w:val="1"/>
    </w:lvl>
  </w:abstractNum>
  <w:abstractNum w:abstractNumId="131">
    <w:nsid w:val="2A6AD9BE"/>
    <w:multiLevelType w:val="hybridMultilevel"/>
    <w:lvl w:ilvl="0">
      <w:lvlJc w:val="left"/>
      <w:lvlText w:val="*"/>
      <w:numFmt w:val="bullet"/>
      <w:start w:val="1"/>
    </w:lvl>
  </w:abstractNum>
  <w:abstractNum w:abstractNumId="132">
    <w:nsid w:val="BAAC1B4"/>
    <w:multiLevelType w:val="hybridMultilevel"/>
    <w:lvl w:ilvl="0">
      <w:lvlJc w:val="left"/>
      <w:lvlText w:val="u"/>
      <w:numFmt w:val="bullet"/>
      <w:start w:val="1"/>
    </w:lvl>
  </w:abstractNum>
  <w:abstractNum w:abstractNumId="133">
    <w:nsid w:val="36B2ACBC"/>
    <w:multiLevelType w:val="hybridMultilevel"/>
    <w:lvl w:ilvl="0">
      <w:lvlJc w:val="left"/>
      <w:lvlText w:val="%1"/>
      <w:numFmt w:val="decimal"/>
      <w:start w:val="70"/>
    </w:lvl>
  </w:abstractNum>
  <w:abstractNum w:abstractNumId="134">
    <w:nsid w:val="779D8544"/>
    <w:multiLevelType w:val="hybridMultilevel"/>
    <w:lvl w:ilvl="0">
      <w:lvlJc w:val="left"/>
      <w:lvlText w:val="%1"/>
      <w:numFmt w:val="decimal"/>
      <w:start w:val="72"/>
    </w:lvl>
  </w:abstractNum>
  <w:abstractNum w:abstractNumId="135">
    <w:nsid w:val="4AB26E78"/>
    <w:multiLevelType w:val="hybridMultilevel"/>
    <w:lvl w:ilvl="0">
      <w:lvlJc w:val="left"/>
      <w:lvlText w:val="%1"/>
      <w:numFmt w:val="decimal"/>
      <w:start w:val="74"/>
    </w:lvl>
  </w:abstractNum>
  <w:abstractNum w:abstractNumId="136">
    <w:nsid w:val="21FAA2FA"/>
    <w:multiLevelType w:val="hybridMultilevel"/>
    <w:lvl w:ilvl="0">
      <w:lvlJc w:val="left"/>
      <w:lvlText w:val="(%1)"/>
      <w:numFmt w:val="decimal"/>
      <w:start w:val="1"/>
    </w:lvl>
  </w:abstractNum>
  <w:abstractNum w:abstractNumId="137">
    <w:nsid w:val="5451CF49"/>
    <w:multiLevelType w:val="hybridMultilevel"/>
    <w:lvl w:ilvl="0">
      <w:lvlJc w:val="left"/>
      <w:lvlText w:val="*"/>
      <w:numFmt w:val="bullet"/>
      <w:start w:val="1"/>
    </w:lvl>
  </w:abstractNum>
  <w:abstractNum w:abstractNumId="138">
    <w:nsid w:val="6181EF69"/>
    <w:multiLevelType w:val="hybridMultilevel"/>
    <w:lvl w:ilvl="0">
      <w:lvlJc w:val="left"/>
      <w:lvlText w:val="(%1)"/>
      <w:numFmt w:val="decimal"/>
      <w:start w:val="1"/>
    </w:lvl>
  </w:abstractNum>
  <w:abstractNum w:abstractNumId="139">
    <w:nsid w:val="3E6400E6"/>
    <w:multiLevelType w:val="hybridMultilevel"/>
    <w:lvl w:ilvl="0">
      <w:lvlJc w:val="left"/>
      <w:lvlText w:val="%1"/>
      <w:numFmt w:val="decimal"/>
      <w:start w:val="76"/>
    </w:lvl>
  </w:abstractNum>
  <w:abstractNum w:abstractNumId="140">
    <w:nsid w:val="14217E23"/>
    <w:multiLevelType w:val="hybridMultilevel"/>
    <w:lvl w:ilvl="0">
      <w:lvlJc w:val="left"/>
      <w:lvlText w:val="(%1)"/>
      <w:numFmt w:val="decimal"/>
      <w:start w:val="1"/>
    </w:lvl>
  </w:abstractNum>
  <w:abstractNum w:abstractNumId="141">
    <w:nsid w:val="710757D0"/>
    <w:multiLevelType w:val="hybridMultilevel"/>
    <w:lvl w:ilvl="0">
      <w:lvlJc w:val="left"/>
      <w:lvlText w:val="%1"/>
      <w:numFmt w:val="decimal"/>
      <w:start w:val="78"/>
    </w:lvl>
  </w:abstractNum>
  <w:abstractNum w:abstractNumId="142">
    <w:nsid w:val="5015CD1A"/>
    <w:multiLevelType w:val="hybridMultilevel"/>
    <w:lvl w:ilvl="0">
      <w:lvlJc w:val="left"/>
      <w:lvlText w:val="u"/>
      <w:numFmt w:val="bullet"/>
      <w:start w:val="1"/>
    </w:lvl>
  </w:abstractNum>
  <w:abstractNum w:abstractNumId="143">
    <w:nsid w:val="424479DA"/>
    <w:multiLevelType w:val="hybridMultilevel"/>
    <w:lvl w:ilvl="0">
      <w:lvlJc w:val="left"/>
      <w:lvlText w:val="u"/>
      <w:numFmt w:val="bullet"/>
      <w:start w:val="1"/>
    </w:lvl>
  </w:abstractNum>
  <w:abstractNum w:abstractNumId="144">
    <w:nsid w:val="1A9A9E69"/>
    <w:multiLevelType w:val="hybridMultilevel"/>
    <w:lvl w:ilvl="0">
      <w:lvlJc w:val="left"/>
      <w:lvlText w:val="u"/>
      <w:numFmt w:val="bullet"/>
      <w:start w:val="1"/>
    </w:lvl>
  </w:abstractNum>
  <w:abstractNum w:abstractNumId="145">
    <w:nsid w:val="475E256A"/>
    <w:multiLevelType w:val="hybridMultilevel"/>
    <w:lvl w:ilvl="0">
      <w:lvlJc w:val="left"/>
      <w:lvlText w:val="%1"/>
      <w:numFmt w:val="decimal"/>
      <w:start w:val="80"/>
    </w:lvl>
  </w:abstractNum>
  <w:abstractNum w:abstractNumId="146">
    <w:nsid w:val="368DB37E"/>
    <w:multiLevelType w:val="hybridMultilevel"/>
    <w:lvl w:ilvl="0">
      <w:lvlJc w:val="left"/>
      <w:lvlText w:val="(%1)"/>
      <w:numFmt w:val="decimal"/>
      <w:start w:val="1"/>
    </w:lvl>
  </w:abstractNum>
  <w:abstractNum w:abstractNumId="147">
    <w:nsid w:val="6A3B714C"/>
    <w:multiLevelType w:val="hybridMultilevel"/>
    <w:lvl w:ilvl="0">
      <w:lvlJc w:val="left"/>
      <w:lvlText w:val="u"/>
      <w:numFmt w:val="bullet"/>
      <w:start w:val="1"/>
    </w:lvl>
  </w:abstractNum>
  <w:abstractNum w:abstractNumId="148">
    <w:nsid w:val="327B517E"/>
    <w:multiLevelType w:val="hybridMultilevel"/>
    <w:lvl w:ilvl="0">
      <w:lvlJc w:val="left"/>
      <w:lvlText w:val="%1"/>
      <w:numFmt w:val="decimal"/>
      <w:start w:val="82"/>
    </w:lvl>
  </w:abstractNum>
  <w:abstractNum w:abstractNumId="149">
    <w:nsid w:val="1F461B51"/>
    <w:multiLevelType w:val="hybridMultilevel"/>
    <w:lvl w:ilvl="0">
      <w:lvlJc w:val="left"/>
      <w:lvlText w:val="(%1)"/>
      <w:numFmt w:val="lowerRoman"/>
      <w:start w:val="7"/>
    </w:lvl>
  </w:abstractNum>
  <w:abstractNum w:abstractNumId="150">
    <w:nsid w:val="29BACF25"/>
    <w:multiLevelType w:val="hybridMultilevel"/>
    <w:lvl w:ilvl="0">
      <w:lvlJc w:val="left"/>
      <w:lvlText w:val="(%1)"/>
      <w:numFmt w:val="lowerRoman"/>
      <w:start w:val="14"/>
    </w:lvl>
  </w:abstractNum>
  <w:abstractNum w:abstractNumId="151">
    <w:nsid w:val="5D5BABB3"/>
    <w:multiLevelType w:val="hybridMultilevel"/>
    <w:lvl w:ilvl="0">
      <w:lvlJc w:val="left"/>
      <w:lvlText w:val="(%1)"/>
      <w:numFmt w:val="upperLetter"/>
      <w:start w:val="5"/>
    </w:lvl>
  </w:abstractNum>
  <w:abstractNum w:abstractNumId="152">
    <w:nsid w:val="51BF6B48"/>
    <w:multiLevelType w:val="hybridMultilevel"/>
    <w:lvl w:ilvl="0">
      <w:lvlJc w:val="left"/>
      <w:lvlText w:val="%1"/>
      <w:numFmt w:val="decimal"/>
      <w:start w:val="84"/>
    </w:lvl>
  </w:abstractNum>
  <w:abstractNum w:abstractNumId="153">
    <w:nsid w:val="7E0F6384"/>
    <w:multiLevelType w:val="hybridMultilevel"/>
    <w:lvl w:ilvl="0">
      <w:lvlJc w:val="left"/>
      <w:lvlText w:val="%1"/>
      <w:numFmt w:val="decimal"/>
      <w:start w:val="86"/>
    </w:lvl>
  </w:abstractNum>
  <w:abstractNum w:abstractNumId="154">
    <w:nsid w:val="2B4B8B53"/>
    <w:multiLevelType w:val="hybridMultilevel"/>
    <w:lvl w:ilvl="0">
      <w:lvlJc w:val="left"/>
      <w:lvlText w:val="%1"/>
      <w:numFmt w:val="decimal"/>
      <w:start w:val="88"/>
    </w:lvl>
  </w:abstractNum>
  <w:abstractNum w:abstractNumId="155">
    <w:nsid w:val="72E3413A"/>
    <w:multiLevelType w:val="hybridMultilevel"/>
    <w:lvl w:ilvl="0">
      <w:lvlJc w:val="left"/>
      <w:lvlText w:val="(%1)"/>
      <w:numFmt w:val="decimal"/>
      <w:start w:val="1"/>
    </w:lvl>
  </w:abstractNum>
  <w:abstractNum w:abstractNumId="156">
    <w:nsid w:val="116AE494"/>
    <w:multiLevelType w:val="hybridMultilevel"/>
    <w:lvl w:ilvl="0">
      <w:lvlJc w:val="left"/>
      <w:lvlText w:val="%1"/>
      <w:numFmt w:val="decimal"/>
      <w:start w:val="90"/>
    </w:lvl>
  </w:abstractNum>
  <w:abstractNum w:abstractNumId="157">
    <w:nsid w:val="3494B2FB"/>
    <w:multiLevelType w:val="hybridMultilevel"/>
    <w:lvl w:ilvl="0">
      <w:lvlJc w:val="left"/>
      <w:lvlText w:val="u"/>
      <w:numFmt w:val="bullet"/>
      <w:start w:val="1"/>
    </w:lvl>
  </w:abstractNum>
  <w:abstractNum w:abstractNumId="158">
    <w:nsid w:val="B13A31"/>
    <w:multiLevelType w:val="hybridMultilevel"/>
    <w:lvl w:ilvl="0">
      <w:lvlJc w:val="left"/>
      <w:lvlText w:val="%1"/>
      <w:numFmt w:val="decimal"/>
      <w:start w:val="92"/>
    </w:lvl>
  </w:abstractNum>
  <w:abstractNum w:abstractNumId="159">
    <w:nsid w:val="64429599"/>
    <w:multiLevelType w:val="hybridMultilevel"/>
    <w:lvl w:ilvl="0">
      <w:lvlJc w:val="left"/>
      <w:lvlText w:val="%1:"/>
      <w:numFmt w:val="upperLetter"/>
      <w:start w:val="1"/>
    </w:lvl>
    <w:lvl w:ilvl="1">
      <w:lvlJc w:val="left"/>
      <w:lvlText w:val="%2."/>
      <w:numFmt w:val="decimal"/>
      <w:start w:val="1"/>
    </w:lvl>
  </w:abstractNum>
  <w:abstractNum w:abstractNumId="160">
    <w:nsid w:val="631F1690"/>
    <w:multiLevelType w:val="hybridMultilevel"/>
    <w:lvl w:ilvl="0">
      <w:lvlJc w:val="left"/>
      <w:lvlText w:val="%1:"/>
      <w:numFmt w:val="upperLetter"/>
      <w:start w:val="1"/>
    </w:lvl>
  </w:abstractNum>
  <w:abstractNum w:abstractNumId="161">
    <w:nsid w:val="25973E32"/>
    <w:multiLevelType w:val="hybridMultilevel"/>
    <w:lvl w:ilvl="0">
      <w:lvlJc w:val="left"/>
      <w:lvlText w:val="%1:"/>
      <w:numFmt w:val="upperLetter"/>
      <w:start w:val="1"/>
    </w:lvl>
  </w:abstractNum>
  <w:abstractNum w:abstractNumId="162">
    <w:nsid w:val="EAD6F57"/>
    <w:multiLevelType w:val="hybridMultilevel"/>
    <w:lvl w:ilvl="0">
      <w:lvlJc w:val="left"/>
      <w:lvlText w:val="%1:"/>
      <w:numFmt w:val="upperLetter"/>
      <w:start w:val="1"/>
    </w:lvl>
  </w:abstractNum>
  <w:abstractNum w:abstractNumId="163">
    <w:nsid w:val="6EC9D844"/>
    <w:multiLevelType w:val="hybridMultilevel"/>
    <w:lvl w:ilvl="0">
      <w:lvlJc w:val="left"/>
      <w:lvlText w:val="%1:"/>
      <w:numFmt w:val="upperLetter"/>
      <w:start w:val="1"/>
    </w:lvl>
    <w:lvl w:ilvl="1">
      <w:lvlJc w:val="left"/>
      <w:lvlText w:val="%2."/>
      <w:numFmt w:val="decimal"/>
      <w:start w:val="1"/>
    </w:lvl>
  </w:abstractNum>
  <w:abstractNum w:abstractNumId="164">
    <w:nsid w:val="5C49EAEE"/>
    <w:multiLevelType w:val="hybridMultilevel"/>
    <w:lvl w:ilvl="0">
      <w:lvlJc w:val="left"/>
      <w:lvlText w:val="%1:"/>
      <w:numFmt w:val="upperLetter"/>
      <w:start w:val="1"/>
    </w:lvl>
  </w:abstractNum>
  <w:abstractNum w:abstractNumId="165">
    <w:nsid w:val="64AF49B"/>
    <w:multiLevelType w:val="hybridMultilevel"/>
    <w:lvl w:ilvl="0">
      <w:lvlJc w:val="left"/>
      <w:lvlText w:val="%1:"/>
      <w:numFmt w:val="upperLetter"/>
      <w:start w:val="17"/>
    </w:lvl>
  </w:abstractNum>
  <w:abstractNum w:abstractNumId="166">
    <w:nsid w:val="397C46BC"/>
    <w:multiLevelType w:val="hybridMultilevel"/>
    <w:lvl w:ilvl="0">
      <w:lvlJc w:val="left"/>
      <w:lvlText w:val="%1:"/>
      <w:numFmt w:val="upperLetter"/>
      <w:start w:val="1"/>
    </w:lvl>
  </w:abstractNum>
  <w:abstractNum w:abstractNumId="167">
    <w:nsid w:val="7E448DE9"/>
    <w:multiLevelType w:val="hybridMultilevel"/>
    <w:lvl w:ilvl="0">
      <w:lvlJc w:val="left"/>
      <w:lvlText w:val="u"/>
      <w:numFmt w:val="bullet"/>
      <w:start w:val="1"/>
    </w:lvl>
  </w:abstractNum>
  <w:abstractNum w:abstractNumId="168">
    <w:nsid w:val="5A9CC3E5"/>
    <w:multiLevelType w:val="hybridMultilevel"/>
    <w:lvl w:ilvl="0">
      <w:lvlJc w:val="left"/>
      <w:lvlText w:val="%1:"/>
      <w:numFmt w:val="upperLetter"/>
      <w:start w:val="1"/>
    </w:lvl>
  </w:abstractNum>
  <w:abstractNum w:abstractNumId="169">
    <w:nsid w:val="1AFE3625"/>
    <w:multiLevelType w:val="hybridMultilevel"/>
    <w:lvl w:ilvl="0">
      <w:lvlJc w:val="left"/>
      <w:lvlText w:val="%1:"/>
      <w:numFmt w:val="upperLetter"/>
      <w:start w:val="1"/>
    </w:lvl>
  </w:abstractNum>
  <w:abstractNum w:abstractNumId="170">
    <w:nsid w:val="3CA88ECF"/>
    <w:multiLevelType w:val="hybridMultilevel"/>
    <w:lvl w:ilvl="0">
      <w:lvlJc w:val="left"/>
      <w:lvlText w:val="%1"/>
      <w:numFmt w:val="decimal"/>
      <w:start w:val="94"/>
    </w:lvl>
  </w:abstractNum>
  <w:abstractNum w:abstractNumId="171">
    <w:nsid w:val="6EBE4208"/>
    <w:multiLevelType w:val="hybridMultilevel"/>
    <w:lvl w:ilvl="0">
      <w:lvlJc w:val="left"/>
      <w:lvlText w:val="%1:"/>
      <w:numFmt w:val="upperLetter"/>
      <w:start w:val="1"/>
    </w:lvl>
  </w:abstractNum>
  <w:abstractNum w:abstractNumId="172">
    <w:nsid w:val="C058DF5"/>
    <w:multiLevelType w:val="hybridMultilevel"/>
    <w:lvl w:ilvl="0">
      <w:lvlJc w:val="left"/>
      <w:lvlText w:val="%1:"/>
      <w:numFmt w:val="upperLetter"/>
      <w:start w:val="1"/>
    </w:lvl>
  </w:abstractNum>
  <w:abstractNum w:abstractNumId="173">
    <w:nsid w:val="CBE5BE9"/>
    <w:multiLevelType w:val="hybridMultilevel"/>
    <w:lvl w:ilvl="0">
      <w:lvlJc w:val="left"/>
      <w:lvlText w:val="%1:"/>
      <w:numFmt w:val="upperLetter"/>
      <w:start w:val="1"/>
    </w:lvl>
  </w:abstractNum>
  <w:abstractNum w:abstractNumId="174">
    <w:nsid w:val="3102BBE2"/>
    <w:multiLevelType w:val="hybridMultilevel"/>
    <w:lvl w:ilvl="0">
      <w:lvlJc w:val="left"/>
      <w:lvlText w:val="%1:"/>
      <w:numFmt w:val="upperLetter"/>
      <w:start w:val="17"/>
    </w:lvl>
  </w:abstractNum>
  <w:abstractNum w:abstractNumId="175">
    <w:nsid w:val="26A02C5E"/>
    <w:multiLevelType w:val="hybridMultilevel"/>
    <w:lvl w:ilvl="0">
      <w:lvlJc w:val="left"/>
      <w:lvlText w:val="%1:"/>
      <w:numFmt w:val="upperLetter"/>
      <w:start w:val="1"/>
    </w:lvl>
  </w:abstractNum>
  <w:abstractNum w:abstractNumId="176">
    <w:nsid w:val="541C8153"/>
    <w:multiLevelType w:val="hybridMultilevel"/>
    <w:lvl w:ilvl="0">
      <w:lvlJc w:val="left"/>
      <w:lvlText w:val="%1:"/>
      <w:numFmt w:val="upperLetter"/>
      <w:start w:val="1"/>
    </w:lvl>
  </w:abstractNum>
  <w:abstractNum w:abstractNumId="177">
    <w:nsid w:val="67906F60"/>
    <w:multiLevelType w:val="hybridMultilevel"/>
    <w:lvl w:ilvl="0">
      <w:lvlJc w:val="left"/>
      <w:lvlText w:val="%1:"/>
      <w:numFmt w:val="upperLetter"/>
      <w:start w:val="1"/>
    </w:lvl>
  </w:abstractNum>
  <w:abstractNum w:abstractNumId="178">
    <w:nsid w:val="10DB9DAA"/>
    <w:multiLevelType w:val="hybridMultilevel"/>
    <w:lvl w:ilvl="0">
      <w:lvlJc w:val="left"/>
      <w:lvlText w:val="%1:"/>
      <w:numFmt w:val="upperLetter"/>
      <w:start w:val="1"/>
    </w:lvl>
  </w:abstractNum>
  <w:abstractNum w:abstractNumId="179">
    <w:nsid w:val="697D2D2"/>
    <w:multiLevelType w:val="hybridMultilevel"/>
    <w:lvl w:ilvl="0">
      <w:lvlJc w:val="left"/>
      <w:lvlText w:val="%1:"/>
      <w:numFmt w:val="upperLetter"/>
      <w:start w:val="1"/>
    </w:lvl>
  </w:abstractNum>
  <w:abstractNum w:abstractNumId="180">
    <w:nsid w:val="6D68AB2"/>
    <w:multiLevelType w:val="hybridMultilevel"/>
    <w:lvl w:ilvl="0">
      <w:lvlJc w:val="left"/>
      <w:lvlText w:val="%1:"/>
      <w:numFmt w:val="upperLetter"/>
      <w:start w:val="1"/>
    </w:lvl>
  </w:abstractNum>
  <w:abstractNum w:abstractNumId="181">
    <w:nsid w:val="3A966CD0"/>
    <w:multiLevelType w:val="hybridMultilevel"/>
    <w:lvl w:ilvl="0">
      <w:lvlJc w:val="left"/>
      <w:lvlText w:val="%1:"/>
      <w:numFmt w:val="upperLetter"/>
      <w:start w:val="1"/>
    </w:lvl>
  </w:abstractNum>
  <w:abstractNum w:abstractNumId="182">
    <w:nsid w:val="63F37E85"/>
    <w:multiLevelType w:val="hybridMultilevel"/>
    <w:lvl w:ilvl="0">
      <w:lvlJc w:val="left"/>
      <w:lvlText w:val="%1"/>
      <w:numFmt w:val="decimal"/>
      <w:start w:val="96"/>
    </w:lvl>
  </w:abstractNum>
  <w:abstractNum w:abstractNumId="183">
    <w:nsid w:val="5895F5FA"/>
    <w:multiLevelType w:val="hybridMultilevel"/>
    <w:lvl w:ilvl="0">
      <w:lvlJc w:val="left"/>
      <w:lvlText w:val="%1"/>
      <w:numFmt w:val="decimal"/>
      <w:start w:val="98"/>
    </w:lvl>
  </w:abstractNum>
  <w:abstractNum w:abstractNumId="184">
    <w:nsid w:val="38A5D054"/>
    <w:multiLevelType w:val="hybridMultilevel"/>
    <w:lvl w:ilvl="0">
      <w:lvlJc w:val="left"/>
      <w:lvlText w:val="%1."/>
      <w:numFmt w:val="decimal"/>
      <w:start w:val="1"/>
    </w:lvl>
  </w:abstractNum>
  <w:abstractNum w:abstractNumId="185">
    <w:nsid w:val="F3F09D8"/>
    <w:multiLevelType w:val="hybridMultilevel"/>
    <w:lvl w:ilvl="0">
      <w:lvlJc w:val="left"/>
      <w:lvlText w:val="%1."/>
      <w:numFmt w:val="decimal"/>
      <w:start w:val="2"/>
    </w:lvl>
  </w:abstractNum>
  <w:abstractNum w:abstractNumId="186">
    <w:nsid w:val="4B793735"/>
    <w:multiLevelType w:val="hybridMultilevel"/>
    <w:lvl w:ilvl="0">
      <w:lvlJc w:val="left"/>
      <w:lvlText w:val="%1."/>
      <w:numFmt w:val="decimal"/>
      <w:start w:val="3"/>
    </w:lvl>
    <w:lvl w:ilvl="1">
      <w:lvlJc w:val="left"/>
      <w:lvlText w:val="(%2)"/>
      <w:numFmt w:val="lowerLetter"/>
      <w:start w:val="1"/>
    </w:lvl>
  </w:abstractNum>
  <w:abstractNum w:abstractNumId="187">
    <w:nsid w:val="4A10B4E8"/>
    <w:multiLevelType w:val="hybridMultilevel"/>
    <w:lvl w:ilvl="0">
      <w:lvlJc w:val="left"/>
      <w:lvlText w:val="%1."/>
      <w:numFmt w:val="decimal"/>
      <w:start w:val="4"/>
    </w:lvl>
    <w:lvl w:ilvl="1">
      <w:lvlJc w:val="left"/>
      <w:lvlText w:val="(%2)"/>
      <w:numFmt w:val="lowerLetter"/>
      <w:start w:val="1"/>
    </w:lvl>
    <w:lvl w:ilvl="2">
      <w:lvlJc w:val="left"/>
      <w:lvlText w:val="(%3)"/>
      <w:numFmt w:val="decimal"/>
      <w:start w:val="1"/>
    </w:lvl>
    <w:lvl w:ilvl="3">
      <w:lvlJc w:val="left"/>
      <w:lvlText w:val="(%4)"/>
      <w:numFmt w:val="upperLetter"/>
      <w:start w:val="1"/>
    </w:lvl>
  </w:abstractNum>
  <w:abstractNum w:abstractNumId="188">
    <w:nsid w:val="43D3BCD4"/>
    <w:multiLevelType w:val="hybridMultilevel"/>
    <w:lvl w:ilvl="0">
      <w:lvlJc w:val="left"/>
      <w:lvlText w:val="%1"/>
      <w:numFmt w:val="decimal"/>
      <w:start w:val="1"/>
    </w:lvl>
    <w:lvl w:ilvl="1">
      <w:lvlJc w:val="left"/>
      <w:lvlText w:val="%2"/>
      <w:numFmt w:val="lowerLetter"/>
      <w:start w:val="1"/>
    </w:lvl>
    <w:lvl w:ilvl="2">
      <w:lvlJc w:val="left"/>
      <w:lvlText w:val="(%3)"/>
      <w:numFmt w:val="decimal"/>
      <w:start w:val="2"/>
    </w:lvl>
    <w:lvl w:ilvl="3">
      <w:lvlJc w:val="left"/>
      <w:lvlText w:val="(%4)"/>
      <w:numFmt w:val="upperLetter"/>
      <w:start w:val="1"/>
    </w:lvl>
  </w:abstractNum>
  <w:abstractNum w:abstractNumId="189">
    <w:nsid w:val="4C2A7166"/>
    <w:multiLevelType w:val="hybridMultilevel"/>
    <w:lvl w:ilvl="0">
      <w:lvlJc w:val="left"/>
      <w:lvlText w:val="(%1)"/>
      <w:numFmt w:val="decimal"/>
      <w:start w:val="3"/>
    </w:lvl>
    <w:lvl w:ilvl="1">
      <w:lvlJc w:val="left"/>
      <w:lvlText w:val="(%2)"/>
      <w:numFmt w:val="lowerLetter"/>
      <w:start w:val="1"/>
    </w:lvl>
    <w:lvl w:ilvl="2">
      <w:lvlJc w:val="left"/>
      <w:lvlText w:val="(%3)"/>
      <w:numFmt w:val="decimal"/>
      <w:start w:val="1"/>
    </w:lvl>
    <w:lvl w:ilvl="3">
      <w:lvlJc w:val="left"/>
      <w:lvlText w:val="(%4)"/>
      <w:numFmt w:val="upperLetter"/>
      <w:start w:val="4"/>
    </w:lvl>
  </w:abstractNum>
  <w:abstractNum w:abstractNumId="190">
    <w:nsid w:val="2E534A82"/>
    <w:multiLevelType w:val="hybridMultilevel"/>
    <w:lvl w:ilvl="0">
      <w:lvlJc w:val="left"/>
      <w:lvlText w:val="%1"/>
      <w:numFmt w:val="decimal"/>
      <w:start w:val="1"/>
    </w:lvl>
    <w:lvl w:ilvl="1">
      <w:lvlJc w:val="left"/>
      <w:lvlText w:val="%2"/>
      <w:numFmt w:val="lowerLetter"/>
      <w:start w:val="1"/>
    </w:lvl>
    <w:lvl w:ilvl="2">
      <w:lvlJc w:val="left"/>
      <w:lvlText w:val="(%3)"/>
      <w:numFmt w:val="decimal"/>
      <w:start w:val="2"/>
    </w:lvl>
  </w:abstractNum>
  <w:abstractNum w:abstractNumId="191">
    <w:nsid w:val="26F2D364"/>
    <w:multiLevelType w:val="hybridMultilevel"/>
    <w:lvl w:ilvl="0">
      <w:lvlJc w:val="left"/>
      <w:lvlText w:val="%1"/>
      <w:numFmt w:val="decimal"/>
      <w:start w:val="1"/>
    </w:lvl>
    <w:lvl w:ilvl="1">
      <w:lvlJc w:val="left"/>
      <w:lvlText w:val="(%2)"/>
      <w:numFmt w:val="lowerLetter"/>
      <w:start w:val="3"/>
    </w:lvl>
    <w:lvl w:ilvl="2">
      <w:lvlJc w:val="left"/>
      <w:lvlText w:val="%3"/>
      <w:numFmt w:val="decimal"/>
      <w:start w:val="1"/>
    </w:lvl>
  </w:abstractNum>
  <w:abstractNum w:abstractNumId="192">
    <w:nsid w:val="71C1AF98"/>
    <w:multiLevelType w:val="hybridMultilevel"/>
    <w:lvl w:ilvl="0">
      <w:lvlJc w:val="left"/>
      <w:lvlText w:val="%1."/>
      <w:numFmt w:val="decimal"/>
      <w:start w:val="5"/>
    </w:lvl>
    <w:lvl w:ilvl="1">
      <w:lvlJc w:val="left"/>
      <w:lvlText w:val="(%2)"/>
      <w:numFmt w:val="lowerLetter"/>
      <w:start w:val="1"/>
    </w:lvl>
    <w:lvl w:ilvl="2">
      <w:lvlJc w:val="left"/>
      <w:lvlText w:val="(%3)"/>
      <w:numFmt w:val="decimal"/>
      <w:start w:val="1"/>
    </w:lvl>
  </w:abstractNum>
  <w:abstractNum w:abstractNumId="193">
    <w:nsid w:val="3D00B9D9"/>
    <w:multiLevelType w:val="hybridMultilevel"/>
    <w:lvl w:ilvl="0">
      <w:lvlJc w:val="left"/>
      <w:lvlText w:val="(%1)"/>
      <w:numFmt w:val="lowerLetter"/>
      <w:start w:val="4"/>
    </w:lvl>
    <w:lvl w:ilvl="1">
      <w:lvlJc w:val="left"/>
      <w:lvlText w:val="(%2)"/>
      <w:numFmt w:val="decimal"/>
      <w:start w:val="1"/>
    </w:lvl>
  </w:abstractNum>
  <w:abstractNum w:abstractNumId="194">
    <w:nsid w:val="15BCABA8"/>
    <w:multiLevelType w:val="hybridMultilevel"/>
    <w:lvl w:ilvl="0">
      <w:lvlJc w:val="left"/>
      <w:lvlText w:val="%1"/>
      <w:numFmt w:val="decimal"/>
      <w:start w:val="1"/>
    </w:lvl>
    <w:lvl w:ilvl="1">
      <w:lvlJc w:val="left"/>
      <w:lvlText w:val="%2"/>
      <w:numFmt w:val="lowerLetter"/>
      <w:start w:val="1"/>
    </w:lvl>
    <w:lvl w:ilvl="2">
      <w:lvlJc w:val="left"/>
      <w:lvlText w:val="(%3)"/>
      <w:numFmt w:val="decimal"/>
      <w:start w:val="2"/>
    </w:lvl>
  </w:abstractNum>
  <w:abstractNum w:abstractNumId="195">
    <w:nsid w:val="4E0B9A87"/>
    <w:multiLevelType w:val="hybridMultilevel"/>
    <w:lvl w:ilvl="0">
      <w:lvlJc w:val="left"/>
      <w:lvlText w:val="%1"/>
      <w:numFmt w:val="decimal"/>
      <w:start w:val="1"/>
    </w:lvl>
    <w:lvl w:ilvl="1">
      <w:lvlJc w:val="left"/>
      <w:lvlText w:val="(%2)"/>
      <w:numFmt w:val="lowerLetter"/>
      <w:start w:val="7"/>
    </w:lvl>
    <w:lvl w:ilvl="2">
      <w:lvlJc w:val="left"/>
      <w:lvlText w:val="%3"/>
      <w:numFmt w:val="decimal"/>
      <w:start w:val="1"/>
    </w:lvl>
  </w:abstractNum>
  <w:abstractNum w:abstractNumId="196">
    <w:nsid w:val="434BAE75"/>
    <w:multiLevelType w:val="hybridMultilevel"/>
    <w:lvl w:ilvl="0">
      <w:lvlJc w:val="left"/>
      <w:lvlText w:val="%1."/>
      <w:numFmt w:val="decimal"/>
      <w:start w:val="6"/>
    </w:lvl>
    <w:lvl w:ilvl="1">
      <w:lvlJc w:val="left"/>
      <w:lvlText w:val="(%2)"/>
      <w:numFmt w:val="lowerLetter"/>
      <w:start w:val="1"/>
    </w:lvl>
    <w:lvl w:ilvl="2">
      <w:lvlJc w:val="left"/>
      <w:lvlText w:val="%3"/>
      <w:numFmt w:val="decimal"/>
      <w:start w:val="1"/>
    </w:lvl>
  </w:abstractNum>
  <w:abstractNum w:abstractNumId="197">
    <w:nsid w:val="4F38F265"/>
    <w:multiLevelType w:val="hybridMultilevel"/>
    <w:lvl w:ilvl="0">
      <w:lvlJc w:val="left"/>
      <w:lvlText w:val="%1"/>
      <w:numFmt w:val="decimal"/>
      <w:start w:val="1"/>
    </w:lvl>
    <w:lvl w:ilvl="1">
      <w:lvlJc w:val="left"/>
      <w:lvlText w:val="(%2)"/>
      <w:numFmt w:val="lowerLetter"/>
      <w:start w:val="6"/>
    </w:lvl>
    <w:lvl w:ilvl="2">
      <w:lvlJc w:val="left"/>
      <w:lvlText w:val="%3"/>
      <w:numFmt w:val="decimal"/>
      <w:start w:val="1"/>
    </w:lvl>
  </w:abstractNum>
  <w:abstractNum w:abstractNumId="198">
    <w:nsid w:val="4C502870"/>
    <w:multiLevelType w:val="hybridMultilevel"/>
    <w:lvl w:ilvl="0">
      <w:lvlJc w:val="left"/>
      <w:lvlText w:val="%1."/>
      <w:numFmt w:val="decimal"/>
      <w:start w:val="7"/>
    </w:lvl>
    <w:lvl w:ilvl="1">
      <w:lvlJc w:val="left"/>
      <w:lvlText w:val="(%2)"/>
      <w:numFmt w:val="lowerLetter"/>
      <w:start w:val="1"/>
    </w:lvl>
    <w:lvl w:ilvl="2">
      <w:lvlJc w:val="left"/>
      <w:lvlText w:val="(%3)"/>
      <w:numFmt w:val="decimal"/>
      <w:start w:val="1"/>
    </w:lvl>
  </w:abstractNum>
  <w:abstractNum w:abstractNumId="199">
    <w:nsid w:val="1DE8725A"/>
    <w:multiLevelType w:val="hybridMultilevel"/>
    <w:lvl w:ilvl="0">
      <w:lvlJc w:val="left"/>
      <w:lvlText w:val="%1"/>
      <w:numFmt w:val="lowerRoman"/>
      <w:start w:val="1"/>
    </w:lvl>
    <w:lvl w:ilvl="1">
      <w:lvlJc w:val="left"/>
      <w:lvlText w:val="(%2)"/>
      <w:numFmt w:val="lowerLetter"/>
      <w:start w:val="2"/>
    </w:lvl>
  </w:abstractNum>
  <w:abstractNum w:abstractNumId="200">
    <w:nsid w:val="6A37288A"/>
    <w:multiLevelType w:val="hybridMultilevel"/>
    <w:lvl w:ilvl="0">
      <w:lvlJc w:val="left"/>
      <w:lvlText w:val="(%1)"/>
      <w:numFmt w:val="lowerRoman"/>
      <w:start w:val="13"/>
    </w:lvl>
    <w:lvl w:ilvl="1">
      <w:lvlJc w:val="left"/>
      <w:lvlText w:val="%2"/>
      <w:numFmt w:val="lowerLetter"/>
      <w:start w:val="1"/>
    </w:lvl>
  </w:abstractNum>
  <w:abstractNum w:abstractNumId="201">
    <w:nsid w:val="8F8B73F"/>
    <w:multiLevelType w:val="hybridMultilevel"/>
    <w:lvl w:ilvl="0">
      <w:lvlJc w:val="left"/>
      <w:lvlText w:val="(%1)"/>
      <w:numFmt w:val="lowerRoman"/>
      <w:start w:val="16"/>
    </w:lvl>
    <w:lvl w:ilvl="1">
      <w:lvlJc w:val="left"/>
      <w:lvlText w:val="(%2)"/>
      <w:numFmt w:val="lowerLetter"/>
      <w:start w:val="3"/>
    </w:lvl>
  </w:abstractNum>
  <w:abstractNum w:abstractNumId="202">
    <w:nsid w:val="CA6B462"/>
    <w:multiLevelType w:val="hybridMultilevel"/>
    <w:lvl w:ilvl="0">
      <w:lvlJc w:val="left"/>
      <w:lvlText w:val="%1."/>
      <w:numFmt w:val="decimal"/>
      <w:start w:val="10"/>
    </w:lvl>
    <w:lvl w:ilvl="1">
      <w:lvlJc w:val="left"/>
      <w:lvlText w:val="(%2)"/>
      <w:numFmt w:val="lowerLetter"/>
      <w:start w:val="1"/>
    </w:lvl>
    <w:lvl w:ilvl="2">
      <w:lvlJc w:val="left"/>
      <w:lvlText w:val="(%3)"/>
      <w:numFmt w:val="decimal"/>
      <w:start w:val="1"/>
    </w:lvl>
    <w:lvl w:ilvl="3">
      <w:lvlJc w:val="left"/>
      <w:lvlText w:val="(%4)"/>
      <w:numFmt w:val="upperLetter"/>
      <w:start w:val="1"/>
    </w:lvl>
    <w:lvl w:ilvl="4">
      <w:lvlJc w:val="left"/>
      <w:lvlText w:val="(%5)"/>
      <w:numFmt w:val="lowerLetter"/>
      <w:start w:val="9"/>
    </w:lvl>
  </w:abstractNum>
  <w:abstractNum w:abstractNumId="203">
    <w:nsid w:val="763CB680"/>
    <w:multiLevelType w:val="hybridMultilevel"/>
    <w:lvl w:ilvl="0">
      <w:lvlJc w:val="left"/>
      <w:lvlText w:val="%1"/>
      <w:numFmt w:val="decimal"/>
      <w:start w:val="1"/>
    </w:lvl>
    <w:lvl w:ilvl="1">
      <w:lvlJc w:val="left"/>
      <w:lvlText w:val="%2"/>
      <w:numFmt w:val="upperLetter"/>
      <w:start w:val="1"/>
    </w:lvl>
    <w:lvl w:ilvl="2">
      <w:lvlJc w:val="left"/>
      <w:lvlText w:val="(%3)"/>
      <w:numFmt w:val="lowerRoman"/>
      <w:start w:val="2"/>
    </w:lvl>
  </w:abstractNum>
  <w:abstractNum w:abstractNumId="204">
    <w:nsid w:val="15B71329"/>
    <w:multiLevelType w:val="hybridMultilevel"/>
    <w:lvl w:ilvl="0">
      <w:lvlJc w:val="left"/>
      <w:lvlText w:val="%1"/>
      <w:numFmt w:val="decimal"/>
      <w:start w:val="1"/>
    </w:lvl>
    <w:lvl w:ilvl="1">
      <w:lvlJc w:val="left"/>
      <w:lvlText w:val="(%2)"/>
      <w:numFmt w:val="upperLetter"/>
      <w:start w:val="3"/>
    </w:lvl>
    <w:lvl w:ilvl="2">
      <w:lvlJc w:val="left"/>
      <w:lvlText w:val="(%3)"/>
      <w:numFmt w:val="lowerRoman"/>
      <w:start w:val="1"/>
    </w:lvl>
  </w:abstractNum>
  <w:abstractNum w:abstractNumId="205">
    <w:nsid w:val="3DA97044"/>
    <w:multiLevelType w:val="hybridMultilevel"/>
    <w:lvl w:ilvl="0">
      <w:lvlJc w:val="left"/>
      <w:lvlText w:val="(%1)"/>
      <w:numFmt w:val="decimal"/>
      <w:start w:val="2"/>
    </w:lvl>
    <w:lvl w:ilvl="1">
      <w:lvlJc w:val="left"/>
      <w:lvlText w:val="(%2)"/>
      <w:numFmt w:val="upperLetter"/>
      <w:start w:val="1"/>
    </w:lvl>
    <w:lvl w:ilvl="2">
      <w:lvlJc w:val="left"/>
      <w:lvlText w:val="%3"/>
      <w:numFmt w:val="lowerRoman"/>
      <w:start w:val="1"/>
    </w:lvl>
  </w:abstractNum>
  <w:abstractNum w:abstractNumId="206">
    <w:nsid w:val="1CDCE2DE"/>
    <w:multiLevelType w:val="hybridMultilevel"/>
    <w:lvl w:ilvl="0">
      <w:lvlJc w:val="left"/>
      <w:lvlText w:val="%1"/>
      <w:numFmt w:val="decimal"/>
      <w:start w:val="1"/>
    </w:lvl>
    <w:lvl w:ilvl="1">
      <w:lvlJc w:val="left"/>
      <w:lvlText w:val="%2"/>
      <w:numFmt w:val="lowerLetter"/>
      <w:start w:val="1"/>
    </w:lvl>
    <w:lvl w:ilvl="2">
      <w:lvlJc w:val="left"/>
      <w:lvlText w:val="%3"/>
      <w:numFmt w:val="decimal"/>
      <w:start w:val="1"/>
    </w:lvl>
    <w:lvl w:ilvl="3">
      <w:lvlJc w:val="left"/>
      <w:lvlText w:val="(%4)"/>
      <w:numFmt w:val="upperLetter"/>
      <w:start w:val="2"/>
    </w:lvl>
  </w:abstractNum>
  <w:abstractNum w:abstractNumId="207">
    <w:nsid w:val="69D3947C"/>
    <w:multiLevelType w:val="hybridMultilevel"/>
    <w:lvl w:ilvl="0">
      <w:lvlJc w:val="left"/>
      <w:lvlText w:val="%1"/>
      <w:numFmt w:val="decimal"/>
      <w:start w:val="1"/>
    </w:lvl>
    <w:lvl w:ilvl="1">
      <w:lvlJc w:val="left"/>
      <w:lvlText w:val="%2"/>
      <w:numFmt w:val="lowerLetter"/>
      <w:start w:val="1"/>
    </w:lvl>
    <w:lvl w:ilvl="2">
      <w:lvlJc w:val="left"/>
      <w:lvlText w:val="(%3)"/>
      <w:numFmt w:val="decimal"/>
      <w:start w:val="3"/>
    </w:lvl>
    <w:lvl w:ilvl="3">
      <w:lvlJc w:val="left"/>
      <w:lvlText w:val="(%4)"/>
      <w:numFmt w:val="upperLetter"/>
      <w:start w:val="1"/>
    </w:lvl>
  </w:abstractNum>
  <w:abstractNum w:abstractNumId="208">
    <w:nsid w:val="2539DFA5"/>
    <w:multiLevelType w:val="hybridMultilevel"/>
    <w:lvl w:ilvl="0">
      <w:lvlJc w:val="left"/>
      <w:lvlText w:val="%1."/>
      <w:numFmt w:val="decimal"/>
      <w:start w:val="11"/>
    </w:lvl>
    <w:lvl w:ilvl="1">
      <w:lvlJc w:val="left"/>
      <w:lvlText w:val="(%2)"/>
      <w:numFmt w:val="lowerLetter"/>
      <w:start w:val="1"/>
    </w:lvl>
    <w:lvl w:ilvl="2">
      <w:lvlJc w:val="left"/>
      <w:lvlText w:val="%3"/>
      <w:numFmt w:val="decimal"/>
      <w:start w:val="1"/>
    </w:lvl>
    <w:lvl w:ilvl="3">
      <w:lvlJc w:val="left"/>
      <w:lvlText w:val="%4"/>
      <w:numFmt w:val="upperLetter"/>
      <w:start w:val="1"/>
    </w:lvl>
  </w:abstractNum>
  <w:abstractNum w:abstractNumId="209">
    <w:nsid w:val="2DB88089"/>
    <w:multiLevelType w:val="hybridMultilevel"/>
    <w:lvl w:ilvl="0">
      <w:lvlJc w:val="left"/>
      <w:lvlText w:val="%1"/>
      <w:numFmt w:val="decimal"/>
      <w:start w:val="1"/>
    </w:lvl>
    <w:lvl w:ilvl="1">
      <w:lvlJc w:val="left"/>
      <w:lvlText w:val="(%2)"/>
      <w:numFmt w:val="lowerLetter"/>
      <w:start w:val="2"/>
    </w:lvl>
  </w:abstractNum>
  <w:abstractNum w:abstractNumId="210">
    <w:nsid w:val="706B674E"/>
    <w:multiLevelType w:val="hybridMultilevel"/>
    <w:lvl w:ilvl="0">
      <w:lvlJc w:val="left"/>
      <w:lvlText w:val="%1."/>
      <w:numFmt w:val="decimal"/>
      <w:start w:val="12"/>
    </w:lvl>
    <w:lvl w:ilvl="1">
      <w:lvlJc w:val="left"/>
      <w:lvlText w:val="(%2)"/>
      <w:numFmt w:val="lowerLetter"/>
      <w:start w:val="1"/>
    </w:lvl>
  </w:abstractNum>
  <w:abstractNum w:abstractNumId="211">
    <w:nsid w:val="2C106A57"/>
    <w:multiLevelType w:val="hybridMultilevel"/>
    <w:lvl w:ilvl="0">
      <w:lvlJc w:val="left"/>
      <w:lvlText w:val="%1"/>
      <w:numFmt w:val="lowerRoman"/>
      <w:start w:val="1"/>
    </w:lvl>
    <w:lvl w:ilvl="1">
      <w:lvlJc w:val="left"/>
      <w:lvlText w:val="(%2)"/>
      <w:numFmt w:val="lowerLetter"/>
      <w:start w:val="2"/>
    </w:lvl>
  </w:abstractNum>
  <w:abstractNum w:abstractNumId="212">
    <w:nsid w:val="684EED59"/>
    <w:multiLevelType w:val="hybridMultilevel"/>
    <w:lvl w:ilvl="0">
      <w:lvlJc w:val="left"/>
      <w:lvlText w:val="(%1)"/>
      <w:numFmt w:val="lowerRoman"/>
      <w:start w:val="1"/>
    </w:lvl>
    <w:lvl w:ilvl="1">
      <w:lvlJc w:val="left"/>
      <w:lvlText w:val="(%2)"/>
      <w:numFmt w:val="lowerLetter"/>
      <w:start w:val="5"/>
    </w:lvl>
  </w:abstractNum>
  <w:abstractNum w:abstractNumId="213">
    <w:nsid w:val="545EE5D3"/>
    <w:multiLevelType w:val="hybridMultilevel"/>
    <w:lvl w:ilvl="0">
      <w:lvlJc w:val="left"/>
      <w:lvlText w:val="(%1)"/>
      <w:numFmt w:val="lowerLetter"/>
      <w:start w:val="6"/>
    </w:lvl>
  </w:abstractNum>
  <w:abstractNum w:abstractNumId="214">
    <w:nsid w:val="4A66051"/>
    <w:multiLevelType w:val="hybridMultilevel"/>
    <w:lvl w:ilvl="0">
      <w:lvlJc w:val="left"/>
      <w:lvlText w:val="(%1)"/>
      <w:numFmt w:val="lowerLetter"/>
      <w:start w:val="7"/>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jpeg"/><Relationship Id="rId39" Type="http://schemas.openxmlformats.org/officeDocument/2006/relationships/image" Target="media/image32.jpeg"/><Relationship Id="rId40" Type="http://schemas.openxmlformats.org/officeDocument/2006/relationships/image" Target="media/image33.png"/><Relationship Id="rId41" Type="http://schemas.openxmlformats.org/officeDocument/2006/relationships/image" Target="media/image34.jpe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jpeg"/><Relationship Id="rId52" Type="http://schemas.openxmlformats.org/officeDocument/2006/relationships/image" Target="media/image45.jpeg"/><Relationship Id="rId53" Type="http://schemas.openxmlformats.org/officeDocument/2006/relationships/image" Target="media/image46.jpeg"/><Relationship Id="rId54" Type="http://schemas.openxmlformats.org/officeDocument/2006/relationships/image" Target="media/image47.jpeg"/><Relationship Id="rId55" Type="http://schemas.openxmlformats.org/officeDocument/2006/relationships/image" Target="media/image48.jpeg"/><Relationship Id="rId56" Type="http://schemas.openxmlformats.org/officeDocument/2006/relationships/image" Target="media/image49.jpeg"/><Relationship Id="rId57" Type="http://schemas.openxmlformats.org/officeDocument/2006/relationships/image" Target="media/image50.jpeg"/><Relationship Id="rId58" Type="http://schemas.openxmlformats.org/officeDocument/2006/relationships/image" Target="media/image51.jpeg"/><Relationship Id="rId59" Type="http://schemas.openxmlformats.org/officeDocument/2006/relationships/image" Target="media/image52.jpeg"/><Relationship Id="rId60" Type="http://schemas.openxmlformats.org/officeDocument/2006/relationships/image" Target="media/image53.jpeg"/><Relationship Id="rId61" Type="http://schemas.openxmlformats.org/officeDocument/2006/relationships/image" Target="media/image54.jpeg"/><Relationship Id="rId62" Type="http://schemas.openxmlformats.org/officeDocument/2006/relationships/image" Target="media/image55.jpeg"/><Relationship Id="rId63" Type="http://schemas.openxmlformats.org/officeDocument/2006/relationships/image" Target="media/image56.jpe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jpeg"/><Relationship Id="rId70" Type="http://schemas.openxmlformats.org/officeDocument/2006/relationships/image" Target="media/image63.jpeg"/><Relationship Id="rId71" Type="http://schemas.openxmlformats.org/officeDocument/2006/relationships/image" Target="media/image64.jpe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jpeg"/><Relationship Id="rId84" Type="http://schemas.openxmlformats.org/officeDocument/2006/relationships/image" Target="media/image77.jpeg"/><Relationship Id="rId85" Type="http://schemas.openxmlformats.org/officeDocument/2006/relationships/image" Target="media/image78.jpeg"/><Relationship Id="rId86" Type="http://schemas.openxmlformats.org/officeDocument/2006/relationships/image" Target="media/image79.jpeg"/><Relationship Id="rId87" Type="http://schemas.openxmlformats.org/officeDocument/2006/relationships/image" Target="media/image80.jpeg"/><Relationship Id="rId88" Type="http://schemas.openxmlformats.org/officeDocument/2006/relationships/image" Target="media/image81.jpeg"/><Relationship Id="rId89" Type="http://schemas.openxmlformats.org/officeDocument/2006/relationships/image" Target="media/image82.jpeg"/><Relationship Id="rId90" Type="http://schemas.openxmlformats.org/officeDocument/2006/relationships/image" Target="media/image83.jpeg"/><Relationship Id="rId91" Type="http://schemas.openxmlformats.org/officeDocument/2006/relationships/image" Target="media/image84.jpeg"/><Relationship Id="rId92" Type="http://schemas.openxmlformats.org/officeDocument/2006/relationships/image" Target="media/image85.jpeg"/><Relationship Id="rId93" Type="http://schemas.openxmlformats.org/officeDocument/2006/relationships/image" Target="media/image86.jpeg"/><Relationship Id="rId94" Type="http://schemas.openxmlformats.org/officeDocument/2006/relationships/image" Target="media/image87.jpeg"/><Relationship Id="rId95" Type="http://schemas.openxmlformats.org/officeDocument/2006/relationships/image" Target="media/image88.jpeg"/><Relationship Id="rId96" Type="http://schemas.openxmlformats.org/officeDocument/2006/relationships/image" Target="media/image89.jpeg"/><Relationship Id="rId97" Type="http://schemas.openxmlformats.org/officeDocument/2006/relationships/image" Target="media/image90.jpeg"/><Relationship Id="rId98" Type="http://schemas.openxmlformats.org/officeDocument/2006/relationships/image" Target="media/image91.jpeg"/><Relationship Id="rId99" Type="http://schemas.openxmlformats.org/officeDocument/2006/relationships/image" Target="media/image92.jpeg"/><Relationship Id="rId100" Type="http://schemas.openxmlformats.org/officeDocument/2006/relationships/image" Target="media/image93.jpeg"/><Relationship Id="rId101" Type="http://schemas.openxmlformats.org/officeDocument/2006/relationships/image" Target="media/image94.jpeg"/><Relationship Id="rId102" Type="http://schemas.openxmlformats.org/officeDocument/2006/relationships/image" Target="media/image95.jpeg"/><Relationship Id="rId103" Type="http://schemas.openxmlformats.org/officeDocument/2006/relationships/image" Target="media/image96.jpeg"/><Relationship Id="rId104" Type="http://schemas.openxmlformats.org/officeDocument/2006/relationships/image" Target="media/image97.jpeg"/><Relationship Id="rId105" Type="http://schemas.openxmlformats.org/officeDocument/2006/relationships/image" Target="media/image98.jpeg"/><Relationship Id="rId106" Type="http://schemas.openxmlformats.org/officeDocument/2006/relationships/image" Target="media/image99.jpeg"/><Relationship Id="rId107" Type="http://schemas.openxmlformats.org/officeDocument/2006/relationships/image" Target="media/image100.jpeg"/><Relationship Id="rId108" Type="http://schemas.openxmlformats.org/officeDocument/2006/relationships/image" Target="media/image101.jpeg"/><Relationship Id="rId109" Type="http://schemas.openxmlformats.org/officeDocument/2006/relationships/image" Target="media/image102.jpeg"/><Relationship Id="rId110" Type="http://schemas.openxmlformats.org/officeDocument/2006/relationships/image" Target="media/image103.jpeg"/><Relationship Id="rId111" Type="http://schemas.openxmlformats.org/officeDocument/2006/relationships/image" Target="media/image104.jpe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jpeg"/><Relationship Id="rId115" Type="http://schemas.openxmlformats.org/officeDocument/2006/relationships/image" Target="media/image108.png"/><Relationship Id="rId116" Type="http://schemas.openxmlformats.org/officeDocument/2006/relationships/image" Target="media/image109.jpe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jpeg"/><Relationship Id="rId120" Type="http://schemas.openxmlformats.org/officeDocument/2006/relationships/image" Target="media/image113.jpeg"/><Relationship Id="rId121" Type="http://schemas.openxmlformats.org/officeDocument/2006/relationships/image" Target="media/image114.jpeg"/><Relationship Id="rId122" Type="http://schemas.openxmlformats.org/officeDocument/2006/relationships/image" Target="media/image115.jpeg"/><Relationship Id="rId123" Type="http://schemas.openxmlformats.org/officeDocument/2006/relationships/image" Target="media/image116.jpeg"/><Relationship Id="rId124" Type="http://schemas.openxmlformats.org/officeDocument/2006/relationships/image" Target="media/image117.jpeg"/><Relationship Id="rId125" Type="http://schemas.openxmlformats.org/officeDocument/2006/relationships/image" Target="media/image118.jpeg"/><Relationship Id="rId126" Type="http://schemas.openxmlformats.org/officeDocument/2006/relationships/image" Target="media/image119.jpeg"/><Relationship Id="rId127" Type="http://schemas.openxmlformats.org/officeDocument/2006/relationships/image" Target="media/image120.jpeg"/><Relationship Id="rId128" Type="http://schemas.openxmlformats.org/officeDocument/2006/relationships/image" Target="media/image121.jpeg"/><Relationship Id="rId129" Type="http://schemas.openxmlformats.org/officeDocument/2006/relationships/image" Target="media/image122.jpeg"/><Relationship Id="rId130" Type="http://schemas.openxmlformats.org/officeDocument/2006/relationships/image" Target="media/image123.jpe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jpeg"/><Relationship Id="rId143" Type="http://schemas.openxmlformats.org/officeDocument/2006/relationships/image" Target="media/image136.jpe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jpe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jpe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jpeg"/><Relationship Id="rId169" Type="http://schemas.openxmlformats.org/officeDocument/2006/relationships/image" Target="media/image162.jpeg"/><Relationship Id="rId170" Type="http://schemas.openxmlformats.org/officeDocument/2006/relationships/image" Target="media/image163.jpe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jpeg"/><Relationship Id="rId176" Type="http://schemas.openxmlformats.org/officeDocument/2006/relationships/image" Target="media/image169.jpeg"/><Relationship Id="rId177" Type="http://schemas.openxmlformats.org/officeDocument/2006/relationships/image" Target="media/image170.jpe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jpeg"/><Relationship Id="rId194" Type="http://schemas.openxmlformats.org/officeDocument/2006/relationships/image" Target="media/image187.jpeg"/><Relationship Id="rId195" Type="http://schemas.openxmlformats.org/officeDocument/2006/relationships/image" Target="media/image188.jpe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jpeg"/><Relationship Id="rId204" Type="http://schemas.openxmlformats.org/officeDocument/2006/relationships/image" Target="media/image197.jpeg"/><Relationship Id="rId205" Type="http://schemas.openxmlformats.org/officeDocument/2006/relationships/image" Target="media/image198.jpeg"/><Relationship Id="rId206" Type="http://schemas.openxmlformats.org/officeDocument/2006/relationships/image" Target="media/image199.jpeg"/><Relationship Id="rId207" Type="http://schemas.openxmlformats.org/officeDocument/2006/relationships/image" Target="media/image200.png"/><Relationship Id="rId208" Type="http://schemas.openxmlformats.org/officeDocument/2006/relationships/image" Target="media/image201.jpeg"/><Relationship Id="rId209" Type="http://schemas.openxmlformats.org/officeDocument/2006/relationships/image" Target="media/image202.jpeg"/><Relationship Id="rId210" Type="http://schemas.openxmlformats.org/officeDocument/2006/relationships/image" Target="media/image203.jpeg"/><Relationship Id="rId211" Type="http://schemas.openxmlformats.org/officeDocument/2006/relationships/image" Target="media/image204.jpeg"/><Relationship Id="rId212" Type="http://schemas.openxmlformats.org/officeDocument/2006/relationships/image" Target="media/image205.jpeg"/><Relationship Id="rId213" Type="http://schemas.openxmlformats.org/officeDocument/2006/relationships/image" Target="media/image206.jpeg"/><Relationship Id="rId214" Type="http://schemas.openxmlformats.org/officeDocument/2006/relationships/image" Target="media/image207.jpeg"/><Relationship Id="rId215" Type="http://schemas.openxmlformats.org/officeDocument/2006/relationships/image" Target="media/image208.jpeg"/><Relationship Id="rId216" Type="http://schemas.openxmlformats.org/officeDocument/2006/relationships/image" Target="media/image209.png"/><Relationship Id="rId217" Type="http://schemas.openxmlformats.org/officeDocument/2006/relationships/image" Target="media/image210.jpeg"/><Relationship Id="rId218" Type="http://schemas.openxmlformats.org/officeDocument/2006/relationships/image" Target="media/image211.jpeg"/><Relationship Id="rId219" Type="http://schemas.openxmlformats.org/officeDocument/2006/relationships/image" Target="media/image212.jpeg"/><Relationship Id="rId220" Type="http://schemas.openxmlformats.org/officeDocument/2006/relationships/image" Target="media/image213.jpeg"/><Relationship Id="rId221" Type="http://schemas.openxmlformats.org/officeDocument/2006/relationships/image" Target="media/image214.png"/><Relationship Id="rId222" Type="http://schemas.openxmlformats.org/officeDocument/2006/relationships/image" Target="media/image215.jpeg"/><Relationship Id="rId223" Type="http://schemas.openxmlformats.org/officeDocument/2006/relationships/image" Target="media/image216.jpeg"/><Relationship Id="rId224" Type="http://schemas.openxmlformats.org/officeDocument/2006/relationships/image" Target="media/image217.jpeg"/><Relationship Id="rId225" Type="http://schemas.openxmlformats.org/officeDocument/2006/relationships/image" Target="media/image218.jpe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jpeg"/><Relationship Id="rId230" Type="http://schemas.openxmlformats.org/officeDocument/2006/relationships/image" Target="media/image223.jpeg"/><Relationship Id="rId231" Type="http://schemas.openxmlformats.org/officeDocument/2006/relationships/image" Target="media/image224.jpeg"/><Relationship Id="rId232" Type="http://schemas.openxmlformats.org/officeDocument/2006/relationships/image" Target="media/image225.jpeg"/><Relationship Id="rId233" Type="http://schemas.openxmlformats.org/officeDocument/2006/relationships/image" Target="media/image226.jpeg"/><Relationship Id="rId234" Type="http://schemas.openxmlformats.org/officeDocument/2006/relationships/image" Target="media/image227.jpe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jpeg"/><Relationship Id="rId253" Type="http://schemas.openxmlformats.org/officeDocument/2006/relationships/image" Target="media/image246.png"/><Relationship Id="rId254" Type="http://schemas.openxmlformats.org/officeDocument/2006/relationships/image" Target="media/image247.jpeg"/><Relationship Id="rId255" Type="http://schemas.openxmlformats.org/officeDocument/2006/relationships/image" Target="media/image248.png"/><Relationship Id="rId256" Type="http://schemas.openxmlformats.org/officeDocument/2006/relationships/image" Target="media/image249.jpe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jpe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jpe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jpe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jpeg"/><Relationship Id="rId285" Type="http://schemas.openxmlformats.org/officeDocument/2006/relationships/image" Target="media/image278.jpeg"/><Relationship Id="rId286" Type="http://schemas.openxmlformats.org/officeDocument/2006/relationships/image" Target="media/image279.jpeg"/><Relationship Id="rId287" Type="http://schemas.openxmlformats.org/officeDocument/2006/relationships/image" Target="media/image280.jpeg"/><Relationship Id="rId288" Type="http://schemas.openxmlformats.org/officeDocument/2006/relationships/image" Target="media/image281.jpeg"/><Relationship Id="rId289" Type="http://schemas.openxmlformats.org/officeDocument/2006/relationships/image" Target="media/image282.jpe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jpeg"/><Relationship Id="rId297" Type="http://schemas.openxmlformats.org/officeDocument/2006/relationships/image" Target="media/image290.png"/><Relationship Id="rId298" Type="http://schemas.openxmlformats.org/officeDocument/2006/relationships/image" Target="media/image291.jpeg"/><Relationship Id="rId299" Type="http://schemas.openxmlformats.org/officeDocument/2006/relationships/image" Target="media/image292.jpeg"/><Relationship Id="rId300" Type="http://schemas.openxmlformats.org/officeDocument/2006/relationships/image" Target="media/image293.jpeg"/><Relationship Id="rId301" Type="http://schemas.openxmlformats.org/officeDocument/2006/relationships/image" Target="media/image294.jpeg"/><Relationship Id="rId302" Type="http://schemas.openxmlformats.org/officeDocument/2006/relationships/image" Target="media/image295.jpeg"/><Relationship Id="rId303" Type="http://schemas.openxmlformats.org/officeDocument/2006/relationships/image" Target="media/image296.jpeg"/><Relationship Id="rId304" Type="http://schemas.openxmlformats.org/officeDocument/2006/relationships/image" Target="media/image297.png"/><Relationship Id="rId305" Type="http://schemas.openxmlformats.org/officeDocument/2006/relationships/image" Target="media/image298.jpeg"/><Relationship Id="rId306" Type="http://schemas.openxmlformats.org/officeDocument/2006/relationships/image" Target="media/image299.jpeg"/><Relationship Id="rId307" Type="http://schemas.openxmlformats.org/officeDocument/2006/relationships/image" Target="media/image300.jpe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jpeg"/><Relationship Id="rId316" Type="http://schemas.openxmlformats.org/officeDocument/2006/relationships/image" Target="media/image309.png"/><Relationship Id="rId317" Type="http://schemas.openxmlformats.org/officeDocument/2006/relationships/image" Target="media/image310.jpeg"/><Relationship Id="rId318" Type="http://schemas.openxmlformats.org/officeDocument/2006/relationships/image" Target="media/image311.jpeg"/><Relationship Id="rId319" Type="http://schemas.openxmlformats.org/officeDocument/2006/relationships/image" Target="media/image312.jpe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jpeg"/><Relationship Id="rId323" Type="http://schemas.openxmlformats.org/officeDocument/2006/relationships/image" Target="media/image316.jpe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jpeg"/><Relationship Id="rId328" Type="http://schemas.openxmlformats.org/officeDocument/2006/relationships/image" Target="media/image321.jpeg"/><Relationship Id="rId329" Type="http://schemas.openxmlformats.org/officeDocument/2006/relationships/image" Target="media/image322.jpe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jpeg"/><Relationship Id="rId363" Type="http://schemas.openxmlformats.org/officeDocument/2006/relationships/image" Target="media/image356.jpeg"/><Relationship Id="rId364" Type="http://schemas.openxmlformats.org/officeDocument/2006/relationships/image" Target="media/image357.jpeg"/><Relationship Id="rId365" Type="http://schemas.openxmlformats.org/officeDocument/2006/relationships/image" Target="media/image358.png"/><Relationship Id="rId366" Type="http://schemas.openxmlformats.org/officeDocument/2006/relationships/image" Target="media/image359.png"/><Relationship Id="rId367" Type="http://schemas.openxmlformats.org/officeDocument/2006/relationships/image" Target="media/image360.png"/><Relationship Id="rId368" Type="http://schemas.openxmlformats.org/officeDocument/2006/relationships/image" Target="media/image361.png"/><Relationship Id="rId369" Type="http://schemas.openxmlformats.org/officeDocument/2006/relationships/image" Target="media/image362.png"/><Relationship Id="rId370" Type="http://schemas.openxmlformats.org/officeDocument/2006/relationships/image" Target="media/image363.png"/><Relationship Id="rId371" Type="http://schemas.openxmlformats.org/officeDocument/2006/relationships/image" Target="media/image364.png"/><Relationship Id="rId372" Type="http://schemas.openxmlformats.org/officeDocument/2006/relationships/image" Target="media/image365.png"/><Relationship Id="rId373" Type="http://schemas.openxmlformats.org/officeDocument/2006/relationships/image" Target="media/image366.png"/><Relationship Id="rId374" Type="http://schemas.openxmlformats.org/officeDocument/2006/relationships/image" Target="media/image367.png"/><Relationship Id="rId375" Type="http://schemas.openxmlformats.org/officeDocument/2006/relationships/image" Target="media/image368.png"/><Relationship Id="rId376" Type="http://schemas.openxmlformats.org/officeDocument/2006/relationships/image" Target="media/image369.png"/><Relationship Id="rId377" Type="http://schemas.openxmlformats.org/officeDocument/2006/relationships/image" Target="media/image370.png"/><Relationship Id="rId378" Type="http://schemas.openxmlformats.org/officeDocument/2006/relationships/image" Target="media/image371.png"/><Relationship Id="rId379" Type="http://schemas.openxmlformats.org/officeDocument/2006/relationships/image" Target="media/image372.png"/><Relationship Id="rId380" Type="http://schemas.openxmlformats.org/officeDocument/2006/relationships/image" Target="media/image373.png"/><Relationship Id="rId381" Type="http://schemas.openxmlformats.org/officeDocument/2006/relationships/image" Target="media/image374.png"/><Relationship Id="rId382" Type="http://schemas.openxmlformats.org/officeDocument/2006/relationships/image" Target="media/image375.png"/><Relationship Id="rId383" Type="http://schemas.openxmlformats.org/officeDocument/2006/relationships/image" Target="media/image376.png"/><Relationship Id="rId384" Type="http://schemas.openxmlformats.org/officeDocument/2006/relationships/image" Target="media/image377.png"/><Relationship Id="rId385" Type="http://schemas.openxmlformats.org/officeDocument/2006/relationships/image" Target="media/image378.png"/><Relationship Id="rId386" Type="http://schemas.openxmlformats.org/officeDocument/2006/relationships/image" Target="media/image379.png"/><Relationship Id="rId387" Type="http://schemas.openxmlformats.org/officeDocument/2006/relationships/image" Target="media/image380.png"/><Relationship Id="rId388" Type="http://schemas.openxmlformats.org/officeDocument/2006/relationships/image" Target="media/image381.png"/><Relationship Id="rId389" Type="http://schemas.openxmlformats.org/officeDocument/2006/relationships/image" Target="media/image382.png"/><Relationship Id="rId390" Type="http://schemas.openxmlformats.org/officeDocument/2006/relationships/image" Target="media/image383.png"/><Relationship Id="rId391" Type="http://schemas.openxmlformats.org/officeDocument/2006/relationships/image" Target="media/image384.png"/><Relationship Id="rId392" Type="http://schemas.openxmlformats.org/officeDocument/2006/relationships/image" Target="media/image385.jpeg"/><Relationship Id="rId393" Type="http://schemas.openxmlformats.org/officeDocument/2006/relationships/image" Target="media/image386.png"/><Relationship Id="rId394" Type="http://schemas.openxmlformats.org/officeDocument/2006/relationships/image" Target="media/image387.png"/><Relationship Id="rId395" Type="http://schemas.openxmlformats.org/officeDocument/2006/relationships/image" Target="media/image388.png"/><Relationship Id="rId396" Type="http://schemas.openxmlformats.org/officeDocument/2006/relationships/image" Target="media/image389.png"/><Relationship Id="rId397" Type="http://schemas.openxmlformats.org/officeDocument/2006/relationships/image" Target="media/image390.png"/><Relationship Id="rId398" Type="http://schemas.openxmlformats.org/officeDocument/2006/relationships/image" Target="media/image391.png"/><Relationship Id="rId399" Type="http://schemas.openxmlformats.org/officeDocument/2006/relationships/image" Target="media/image392.png"/><Relationship Id="rId400" Type="http://schemas.openxmlformats.org/officeDocument/2006/relationships/image" Target="media/image393.png"/><Relationship Id="rId401" Type="http://schemas.openxmlformats.org/officeDocument/2006/relationships/image" Target="media/image394.png"/><Relationship Id="rId402" Type="http://schemas.openxmlformats.org/officeDocument/2006/relationships/image" Target="media/image395.png"/><Relationship Id="rId403" Type="http://schemas.openxmlformats.org/officeDocument/2006/relationships/image" Target="media/image396.png"/><Relationship Id="rId404" Type="http://schemas.openxmlformats.org/officeDocument/2006/relationships/image" Target="media/image397.png"/><Relationship Id="rId405" Type="http://schemas.openxmlformats.org/officeDocument/2006/relationships/image" Target="media/image398.png"/><Relationship Id="rId406" Type="http://schemas.openxmlformats.org/officeDocument/2006/relationships/image" Target="media/image399.png"/><Relationship Id="rId407" Type="http://schemas.openxmlformats.org/officeDocument/2006/relationships/image" Target="media/image400.png"/><Relationship Id="rId408" Type="http://schemas.openxmlformats.org/officeDocument/2006/relationships/image" Target="media/image401.png"/><Relationship Id="rId409" Type="http://schemas.openxmlformats.org/officeDocument/2006/relationships/image" Target="media/image402.png"/><Relationship Id="rId410" Type="http://schemas.openxmlformats.org/officeDocument/2006/relationships/image" Target="media/image403.png"/><Relationship Id="rId411" Type="http://schemas.openxmlformats.org/officeDocument/2006/relationships/image" Target="media/image404.png"/><Relationship Id="rId412" Type="http://schemas.openxmlformats.org/officeDocument/2006/relationships/image" Target="media/image405.png"/><Relationship Id="rId413" Type="http://schemas.openxmlformats.org/officeDocument/2006/relationships/image" Target="media/image406.png"/><Relationship Id="rId414" Type="http://schemas.openxmlformats.org/officeDocument/2006/relationships/image" Target="media/image407.png"/><Relationship Id="rId415" Type="http://schemas.openxmlformats.org/officeDocument/2006/relationships/image" Target="media/image408.png"/><Relationship Id="rId416" Type="http://schemas.openxmlformats.org/officeDocument/2006/relationships/image" Target="media/image409.png"/><Relationship Id="rId417" Type="http://schemas.openxmlformats.org/officeDocument/2006/relationships/image" Target="media/image410.png"/><Relationship Id="rId418" Type="http://schemas.openxmlformats.org/officeDocument/2006/relationships/image" Target="media/image411.png"/><Relationship Id="rId419" Type="http://schemas.openxmlformats.org/officeDocument/2006/relationships/image" Target="media/image412.jpeg"/><Relationship Id="rId420" Type="http://schemas.openxmlformats.org/officeDocument/2006/relationships/image" Target="media/image413.jpeg"/><Relationship Id="rId421" Type="http://schemas.openxmlformats.org/officeDocument/2006/relationships/image" Target="media/image414.jpeg"/><Relationship Id="rId422" Type="http://schemas.openxmlformats.org/officeDocument/2006/relationships/image" Target="media/image415.png"/><Relationship Id="rId423" Type="http://schemas.openxmlformats.org/officeDocument/2006/relationships/image" Target="media/image416.png"/><Relationship Id="rId424" Type="http://schemas.openxmlformats.org/officeDocument/2006/relationships/image" Target="media/image417.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2026-01-23T06:18:22Z</dcterms:created>
  <dcterms:modified xsi:type="dcterms:W3CDTF">2026-01-23T06:18:22Z</dcterms:modified>
</cp:coreProperties>
</file>