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170855.xml.htm"/>
      <w:bookmarkStart w:id="1" w:name="kswkform4_178717085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Nakamura Katsufumi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ANALOG DEVICES,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ANALOG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ANALOG DEVICES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Customer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1"/>
        <w:gridCol w:w="900"/>
        <w:gridCol w:w="772"/>
        <w:gridCol w:w="598"/>
        <w:gridCol w:w="339"/>
        <w:gridCol w:w="1042"/>
        <w:gridCol w:w="428"/>
        <w:gridCol w:w="832"/>
        <w:gridCol w:w="1382"/>
        <w:gridCol w:w="964"/>
        <w:gridCol w:w="90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4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4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4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Stock-$.16-2/3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201.619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390.28</w:t>
            </w:r>
          </w:p>
        </w:tc>
        <w:tc>
          <w:tcPr>
            <w:tcW w:w="13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16,049.494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represents shares withheld to satisfy tax withholding obligations in connection with the vesting of 417 Restricted Stock Units on August 17,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21.073 shares acquired under the Analog Devices, Inc. Amended &amp; Restated 2022 Employee Stock Purchase Plan on June 5,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Shaw, General Counsel,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4259" TargetMode="External"/><Relationship Id="rId5" Type="http://schemas.openxmlformats.org/officeDocument/2006/relationships/hyperlink" Target="http://www.sec.gov/cgi-bin/browse-edgar?action=getcompany&amp;CIK=000000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621</Words>
  <Characters>3398</Characters>
  <CharactersWithSpaces>3949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