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0956.xml.htm"/>
      <w:bookmarkStart w:id="1" w:name="kswkform4_17883809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ROCHE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02"/>
        <w:gridCol w:w="899"/>
        <w:gridCol w:w="771"/>
        <w:gridCol w:w="597"/>
        <w:gridCol w:w="337"/>
        <w:gridCol w:w="946"/>
        <w:gridCol w:w="423"/>
        <w:gridCol w:w="829"/>
        <w:gridCol w:w="1422"/>
        <w:gridCol w:w="958"/>
        <w:gridCol w:w="10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0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0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108.08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144,660.083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356.33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134,660.083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23,515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Vincent Roche 2024 Grantor Retained Annuity Trust</w:t>
            </w:r>
          </w:p>
        </w:tc>
      </w:tr>
      <w:tr>
        <w:trPr/>
        <w:tc>
          <w:tcPr>
            <w:tcW w:w="200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Vincent Roche 2026 Grantor Retained Annuity Trust</w:t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68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108.08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03/13/2029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 Stock - $.16-2/3 value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108.08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60,803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plan adopted by the reporting person on December 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Vincent Roche 2024 Grantor Retained Annuity Trust dated October 3,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held by the Vincent Roche 2026 Grantor Retained Annuity Trust dated January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option is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1872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684</Words>
  <Characters>3692</Characters>
  <CharactersWithSpaces>4277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