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72941d424b2.htm"/>
      <w:bookmarkStart w:id="1" w:name="ksd72941d424b2"/>
      <w:bookmarkEnd w:id="0"/>
      <w:bookmarkEnd w:id="1"/>
      <w:r>
        <w:rPr>
          <w:rFonts w:ascii="Times New Roman" w:hAnsi="Times New Roman"/>
          <w:b/>
          <w:sz w:val="20"/>
        </w:rPr>
        <w:t>Filed pursuant to Rule 424(b)(2)</w:t>
        <w:br/>
        <w:t xml:space="preserve">Registration No. 333-281670 </w:t>
      </w:r>
    </w:p>
    <w:p>
      <w:pPr>
        <w:pStyle w:val="TextBody"/>
        <w:bidi w:val="0"/>
        <w:spacing w:before="0" w:after="0"/>
        <w:jc w:val="left"/>
        <w:rPr/>
      </w:pPr>
      <w:r>
        <w:rPr/>
        <w:t> </w:t>
      </w:r>
    </w:p>
    <w:p>
      <w:pPr>
        <w:pStyle w:val="TextBody"/>
        <w:bidi w:val="0"/>
        <w:spacing w:before="12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AUGUST 21, 2024) </w:t>
      </w:r>
    </w:p>
    <w:p>
      <w:pPr>
        <w:pStyle w:val="TextBody"/>
        <w:bidi w:val="0"/>
        <w:spacing w:before="120" w:after="0"/>
        <w:jc w:val="center"/>
        <w:rPr>
          <w:rFonts w:ascii="Times New Roman" w:hAnsi="Times New Roman"/>
          <w:b/>
          <w:sz w:val="32"/>
        </w:rPr>
      </w:pPr>
      <w:r>
        <w:rPr>
          <w:rFonts w:ascii="Times New Roman" w:hAnsi="Times New Roman"/>
          <w:b/>
          <w:sz w:val="32"/>
        </w:rPr>
        <w:t xml:space="preserve">$3,000,000,000 </w:t>
      </w:r>
    </w:p>
    <w:p>
      <w:pPr>
        <w:pStyle w:val="TextBody"/>
        <w:bidi w:val="0"/>
        <w:spacing w:before="120" w:after="0"/>
        <w:jc w:val="center"/>
        <w:rPr>
          <w:rFonts w:ascii="Times New Roman" w:hAnsi="Times New Roman"/>
          <w:b/>
          <w:sz w:val="44"/>
        </w:rPr>
      </w:pPr>
      <w:r>
        <w:rPr>
          <w:rFonts w:ascii="Times New Roman" w:hAnsi="Times New Roman"/>
          <w:b/>
          <w:sz w:val="44"/>
        </w:rPr>
        <w:t xml:space="preserve">Analog Devices, Inc. </w:t>
      </w:r>
    </w:p>
    <w:p>
      <w:pPr>
        <w:pStyle w:val="TextBody"/>
        <w:bidi w:val="0"/>
        <w:spacing w:before="120" w:after="0"/>
        <w:jc w:val="center"/>
        <w:rPr>
          <w:rFonts w:ascii="Times New Roman" w:hAnsi="Times New Roman"/>
          <w:b/>
          <w:sz w:val="26"/>
        </w:rPr>
      </w:pPr>
      <w:r>
        <w:rPr>
          <w:rFonts w:ascii="Times New Roman" w:hAnsi="Times New Roman"/>
          <w:b/>
          <w:sz w:val="26"/>
        </w:rPr>
        <w:t xml:space="preserve">$500,000,000 5.100% Senior Notes Due 2029 </w:t>
      </w:r>
    </w:p>
    <w:p>
      <w:pPr>
        <w:pStyle w:val="TextBody"/>
        <w:bidi w:val="0"/>
        <w:spacing w:before="0" w:after="0"/>
        <w:jc w:val="center"/>
        <w:rPr>
          <w:rFonts w:ascii="Times New Roman" w:hAnsi="Times New Roman"/>
          <w:b/>
          <w:sz w:val="26"/>
        </w:rPr>
      </w:pPr>
      <w:r>
        <w:rPr>
          <w:rFonts w:ascii="Times New Roman" w:hAnsi="Times New Roman"/>
          <w:b/>
          <w:sz w:val="26"/>
        </w:rPr>
        <w:t xml:space="preserve">$500,000,000 5.350% Senior Notes Due 2031 </w:t>
      </w:r>
    </w:p>
    <w:p>
      <w:pPr>
        <w:pStyle w:val="TextBody"/>
        <w:bidi w:val="0"/>
        <w:spacing w:before="0" w:after="0"/>
        <w:jc w:val="center"/>
        <w:rPr>
          <w:rFonts w:ascii="Times New Roman" w:hAnsi="Times New Roman"/>
          <w:b/>
          <w:sz w:val="26"/>
        </w:rPr>
      </w:pPr>
      <w:r>
        <w:rPr>
          <w:rFonts w:ascii="Times New Roman" w:hAnsi="Times New Roman"/>
          <w:b/>
          <w:sz w:val="26"/>
        </w:rPr>
        <w:t xml:space="preserve">$1,000,000,000 5.600% Senior Notes Due 2033 </w:t>
      </w:r>
    </w:p>
    <w:p>
      <w:pPr>
        <w:pStyle w:val="TextBody"/>
        <w:bidi w:val="0"/>
        <w:spacing w:before="0" w:after="0"/>
        <w:jc w:val="center"/>
        <w:rPr>
          <w:rFonts w:ascii="Times New Roman" w:hAnsi="Times New Roman"/>
          <w:b/>
          <w:sz w:val="26"/>
        </w:rPr>
      </w:pPr>
      <w:r>
        <w:rPr>
          <w:rFonts w:ascii="Times New Roman" w:hAnsi="Times New Roman"/>
          <w:b/>
          <w:sz w:val="26"/>
        </w:rPr>
        <w:t xml:space="preserve">$1,000,000,000 5.750% Senior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We are offering $500,000,000 aggregate principal amount of our 5.100% senior notes due September 15, 2029, which we refer to as the “2029 Notes,” $500,000,000 aggregate principal amount of our 5.350% senior notes due October 1, 2031, which we refer to as the “2031 Notes,” $1,000,000,000 aggregate principal amount of our 5.600% senior notes due October 1, 2033, which we refer to as the “2033 Notes” and $1,000,000,000 aggregate principal amount of our 5.750% senior notes due October 1, 2036, which we refer to as the “2036 Notes.” We refer to the 2029 Notes, the 2031 Notes, the 2033 Notes and the 2036 Notes, collectively, as the “notes.” </w:t>
      </w:r>
    </w:p>
    <w:p>
      <w:pPr>
        <w:pStyle w:val="TextBody"/>
        <w:bidi w:val="0"/>
        <w:spacing w:before="120" w:after="0"/>
        <w:jc w:val="left"/>
        <w:rPr>
          <w:rFonts w:ascii="Times New Roman" w:hAnsi="Times New Roman"/>
          <w:sz w:val="18"/>
        </w:rPr>
      </w:pPr>
      <w:r>
        <w:rPr>
          <w:rFonts w:ascii="Times New Roman" w:hAnsi="Times New Roman"/>
          <w:sz w:val="18"/>
        </w:rPr>
        <w:t xml:space="preserve">We will pay interest on the 2029 Notes semi-annually in arrears each March 15 and September 15. The first interest payment for the 2029 Notes will be made on March 15, 2027. We will pay interest on the 2031 Notes, the 2033 Notes and the 2036 Notes semi-annually in arrears each April 1 and October 1. The first interest payment for the 2031 Notes, the 2033 Notes and the 2036 Notes will be made on April 1, 2027. </w:t>
      </w:r>
    </w:p>
    <w:p>
      <w:pPr>
        <w:pStyle w:val="TextBody"/>
        <w:bidi w:val="0"/>
        <w:spacing w:before="120" w:after="0"/>
        <w:jc w:val="left"/>
        <w:rPr>
          <w:rFonts w:ascii="Times New Roman" w:hAnsi="Times New Roman"/>
          <w:sz w:val="18"/>
        </w:rPr>
      </w:pPr>
      <w:r>
        <w:rPr>
          <w:rFonts w:ascii="Times New Roman" w:hAnsi="Times New Roman"/>
          <w:sz w:val="18"/>
        </w:rPr>
        <w:t xml:space="preserve">We may redeem some or all of any series of the Notes at any time and from time to time at the applicable redemption prices described under the caption “Description of the Notes—Optional Redemption.” If a Change of Control Triggering Event (as defined under the caption “Description of the Notes—Change of Control Offer”) occurs, we may be required to offer to purchase each series of notes from holders in cash at a repurchase price equal to 101% of the principal amount thereof, plus accrued and unpaid interest, if any, to the date of repurchase. There are no sinking funds for the notes. </w:t>
      </w:r>
    </w:p>
    <w:p>
      <w:pPr>
        <w:pStyle w:val="TextBody"/>
        <w:bidi w:val="0"/>
        <w:spacing w:before="120" w:after="0"/>
        <w:jc w:val="left"/>
        <w:rPr>
          <w:rFonts w:ascii="Times New Roman" w:hAnsi="Times New Roman"/>
          <w:sz w:val="18"/>
        </w:rPr>
      </w:pPr>
      <w:r>
        <w:rPr>
          <w:rFonts w:ascii="Times New Roman" w:hAnsi="Times New Roman"/>
          <w:sz w:val="18"/>
        </w:rPr>
        <w:t xml:space="preserve">The notes will be our senior unsecured obligations. Each series of notes will rank without preference or priority among themselves and equally in right of payment with all of our other existing and future senior unsecured and unsubordinated debt and rank senior in right of payment to all of our future subordinated debt. </w:t>
      </w:r>
    </w:p>
    <w:p>
      <w:pPr>
        <w:pStyle w:val="TextBody"/>
        <w:bidi w:val="0"/>
        <w:spacing w:before="120" w:after="0"/>
        <w:jc w:val="left"/>
        <w:rPr>
          <w:rFonts w:ascii="Times New Roman" w:hAnsi="Times New Roman"/>
          <w:sz w:val="18"/>
        </w:rPr>
      </w:pPr>
      <w:r>
        <w:rPr>
          <w:rFonts w:ascii="Times New Roman" w:hAnsi="Times New Roman"/>
          <w:sz w:val="18"/>
        </w:rPr>
        <w:t xml:space="preserve">The notes are new issues of securities with no established trading markets. We do not intend to apply for the listing of the notes on any securities exchange or for inclusion of the notes on any automated dealer quotation system. </w:t>
      </w:r>
    </w:p>
    <w:p>
      <w:pPr>
        <w:pStyle w:val="TextBody"/>
        <w:bidi w:val="0"/>
        <w:spacing w:before="120" w:after="0"/>
        <w:jc w:val="left"/>
        <w:rPr/>
      </w:pPr>
      <w:r>
        <w:rPr>
          <w:rFonts w:ascii="Times New Roman" w:hAnsi="Times New Roman"/>
          <w:b/>
          <w:sz w:val="22"/>
        </w:rPr>
        <w:t>Investing in the notes involves risks. See “</w:t>
      </w:r>
      <w:hyperlink w:anchor="supprom72941_4">
        <w:r>
          <w:rPr>
            <w:rStyle w:val="InternetLink"/>
            <w:rFonts w:ascii="Times New Roman" w:hAnsi="Times New Roman"/>
            <w:b/>
            <w:sz w:val="22"/>
          </w:rPr>
          <w:t>Risk Factors</w:t>
        </w:r>
      </w:hyperlink>
      <w:r>
        <w:rPr>
          <w:rFonts w:ascii="Times New Roman" w:hAnsi="Times New Roman"/>
          <w:b/>
          <w:sz w:val="22"/>
        </w:rPr>
        <w:t xml:space="preserve">” beginning on page S-6.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19"/>
        <w:gridCol w:w="243"/>
        <w:gridCol w:w="142"/>
        <w:gridCol w:w="1531"/>
        <w:gridCol w:w="276"/>
        <w:gridCol w:w="162"/>
        <w:gridCol w:w="159"/>
        <w:gridCol w:w="1326"/>
        <w:gridCol w:w="276"/>
        <w:gridCol w:w="162"/>
        <w:gridCol w:w="154"/>
        <w:gridCol w:w="1643"/>
        <w:gridCol w:w="279"/>
      </w:tblGrid>
      <w:tr>
        <w:trPr/>
        <w:tc>
          <w:tcPr>
            <w:tcW w:w="2219"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19"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 public(1)</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discounts</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before</w:t>
              <w:br/>
              <w:t>expenses, to us(1)</w:t>
            </w:r>
          </w:p>
        </w:tc>
        <w:tc>
          <w:tcPr>
            <w:tcW w:w="279"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2029 Note</w:t>
            </w:r>
          </w:p>
        </w:tc>
        <w:tc>
          <w:tcPr>
            <w:tcW w:w="2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99.959</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0.450</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99.509</w:t>
            </w:r>
          </w:p>
        </w:tc>
        <w:tc>
          <w:tcPr>
            <w:tcW w:w="279"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18"/>
              </w:rPr>
            </w:pPr>
            <w:r>
              <w:rPr>
                <w:rFonts w:ascii="Times New Roman" w:hAnsi="Times New Roman"/>
                <w:sz w:val="18"/>
              </w:rPr>
              <w:t>2029 Notes Total</w:t>
            </w:r>
          </w:p>
        </w:tc>
        <w:tc>
          <w:tcPr>
            <w:tcW w:w="2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499,795,000</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26" w:type="dxa"/>
            <w:tcBorders/>
            <w:vAlign w:val="bottom"/>
          </w:tcPr>
          <w:p>
            <w:pPr>
              <w:pStyle w:val="TableContents"/>
              <w:bidi w:val="0"/>
              <w:spacing w:before="0" w:after="283"/>
              <w:jc w:val="right"/>
              <w:rPr/>
            </w:pPr>
            <w:r>
              <w:rPr/>
              <w:t>2,250,000</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497,545,000</w:t>
            </w:r>
          </w:p>
        </w:tc>
        <w:tc>
          <w:tcPr>
            <w:tcW w:w="279"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2031 Note</w:t>
            </w:r>
          </w:p>
        </w:tc>
        <w:tc>
          <w:tcPr>
            <w:tcW w:w="2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99.866</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0.600</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99.266</w:t>
            </w:r>
          </w:p>
        </w:tc>
        <w:tc>
          <w:tcPr>
            <w:tcW w:w="279"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18"/>
              </w:rPr>
            </w:pPr>
            <w:r>
              <w:rPr>
                <w:rFonts w:ascii="Times New Roman" w:hAnsi="Times New Roman"/>
                <w:sz w:val="18"/>
              </w:rPr>
              <w:t>2031 Notes Total</w:t>
            </w:r>
          </w:p>
        </w:tc>
        <w:tc>
          <w:tcPr>
            <w:tcW w:w="2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499,330,000</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26" w:type="dxa"/>
            <w:tcBorders/>
            <w:vAlign w:val="bottom"/>
          </w:tcPr>
          <w:p>
            <w:pPr>
              <w:pStyle w:val="TableContents"/>
              <w:bidi w:val="0"/>
              <w:spacing w:before="0" w:after="283"/>
              <w:jc w:val="right"/>
              <w:rPr/>
            </w:pPr>
            <w:r>
              <w:rPr/>
              <w:t>3,000,000</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496,330,000</w:t>
            </w:r>
          </w:p>
        </w:tc>
        <w:tc>
          <w:tcPr>
            <w:tcW w:w="279"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2033 Note</w:t>
            </w:r>
          </w:p>
        </w:tc>
        <w:tc>
          <w:tcPr>
            <w:tcW w:w="2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99.957</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0.625</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99.332</w:t>
            </w:r>
          </w:p>
        </w:tc>
        <w:tc>
          <w:tcPr>
            <w:tcW w:w="279"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18"/>
              </w:rPr>
            </w:pPr>
            <w:r>
              <w:rPr>
                <w:rFonts w:ascii="Times New Roman" w:hAnsi="Times New Roman"/>
                <w:sz w:val="18"/>
              </w:rPr>
              <w:t>2033 Notes Total</w:t>
            </w:r>
          </w:p>
        </w:tc>
        <w:tc>
          <w:tcPr>
            <w:tcW w:w="2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999,570,000</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26" w:type="dxa"/>
            <w:tcBorders/>
            <w:vAlign w:val="bottom"/>
          </w:tcPr>
          <w:p>
            <w:pPr>
              <w:pStyle w:val="TableContents"/>
              <w:bidi w:val="0"/>
              <w:spacing w:before="0" w:after="283"/>
              <w:jc w:val="right"/>
              <w:rPr/>
            </w:pPr>
            <w:r>
              <w:rPr/>
              <w:t>6,250,000</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993,320,000</w:t>
            </w:r>
          </w:p>
        </w:tc>
        <w:tc>
          <w:tcPr>
            <w:tcW w:w="279"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2036 Note</w:t>
            </w:r>
          </w:p>
        </w:tc>
        <w:tc>
          <w:tcPr>
            <w:tcW w:w="2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99.650</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0.650</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99.000</w:t>
            </w:r>
          </w:p>
        </w:tc>
        <w:tc>
          <w:tcPr>
            <w:tcW w:w="279"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18"/>
              </w:rPr>
            </w:pPr>
            <w:r>
              <w:rPr>
                <w:rFonts w:ascii="Times New Roman" w:hAnsi="Times New Roman"/>
                <w:sz w:val="18"/>
              </w:rPr>
              <w:t>2036 Notes Total</w:t>
            </w:r>
          </w:p>
        </w:tc>
        <w:tc>
          <w:tcPr>
            <w:tcW w:w="2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996,500,000</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26" w:type="dxa"/>
            <w:tcBorders/>
            <w:vAlign w:val="bottom"/>
          </w:tcPr>
          <w:p>
            <w:pPr>
              <w:pStyle w:val="TableContents"/>
              <w:bidi w:val="0"/>
              <w:spacing w:before="0" w:after="283"/>
              <w:jc w:val="right"/>
              <w:rPr/>
            </w:pPr>
            <w:r>
              <w:rPr/>
              <w:t>6,500,000</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990,000,000</w:t>
            </w:r>
          </w:p>
        </w:tc>
        <w:tc>
          <w:tcPr>
            <w:tcW w:w="279"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2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2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2,995,195,000</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18,000,000</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643" w:type="dxa"/>
            <w:tcBorders/>
            <w:shd w:fill="CCEEFF" w:val="clear"/>
            <w:vAlign w:val="bottom"/>
          </w:tcPr>
          <w:p>
            <w:pPr>
              <w:pStyle w:val="TableContents"/>
              <w:bidi w:val="0"/>
              <w:spacing w:before="0" w:after="283"/>
              <w:jc w:val="right"/>
              <w:rPr/>
            </w:pPr>
            <w:r>
              <w:rPr/>
              <w:t>2,977,195,000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September 17, 2026, if settlement occurs after that date. </w:t>
            </w:r>
          </w:p>
        </w:tc>
      </w:tr>
    </w:tbl>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120" w:after="0"/>
        <w:jc w:val="left"/>
        <w:rPr>
          <w:rFonts w:ascii="Times New Roman" w:hAnsi="Times New Roman"/>
          <w:sz w:val="18"/>
        </w:rPr>
      </w:pPr>
      <w:r>
        <w:rPr>
          <w:rFonts w:ascii="Times New Roman" w:hAnsi="Times New Roman"/>
          <w:sz w:val="18"/>
        </w:rPr>
        <w:t xml:space="preserve">We expect that delivery of the notes in book-entry form will be made to investors through the facilities of The Depository Trust Company and its direct participants, including Clearstream Banking S.A. and Euroclear Bank SA/NV, on or about September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sz w:val="20"/>
        </w:rPr>
      </w:pPr>
      <w:r>
        <w:rPr>
          <w:rFonts w:ascii="Times New Roman" w:hAnsi="Times New Roman"/>
          <w:b/>
          <w:i/>
          <w:sz w:val="20"/>
        </w:rPr>
        <w:t>Joint Book-Running Managers for the 2029 Notes, the 2031 Notes and the 2033 Notes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8"/>
        <w:gridCol w:w="90"/>
        <w:gridCol w:w="1236"/>
        <w:gridCol w:w="90"/>
        <w:gridCol w:w="2028"/>
        <w:gridCol w:w="90"/>
        <w:gridCol w:w="1999"/>
        <w:gridCol w:w="90"/>
        <w:gridCol w:w="1347"/>
        <w:gridCol w:w="90"/>
        <w:gridCol w:w="1847"/>
      </w:tblGrid>
      <w:tr>
        <w:trPr/>
        <w:tc>
          <w:tcPr>
            <w:tcW w:w="1298"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center"/>
              <w:rPr>
                <w:b/>
              </w:rPr>
            </w:pPr>
            <w:r>
              <w:rPr>
                <w:b/>
              </w:rPr>
              <w:t>J.P. Morgan</w:t>
            </w:r>
          </w:p>
        </w:tc>
        <w:tc>
          <w:tcPr>
            <w:tcW w:w="9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center"/>
              <w:rPr>
                <w:b/>
              </w:rPr>
            </w:pPr>
            <w:r>
              <w:rPr>
                <w:b/>
              </w:rPr>
              <w:t>Barclays</w:t>
            </w:r>
          </w:p>
        </w:tc>
        <w:tc>
          <w:tcPr>
            <w:tcW w:w="9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b/>
              </w:rPr>
            </w:pPr>
            <w:r>
              <w:rPr>
                <w:b/>
              </w:rPr>
              <w:t>BNP PARIBAS</w:t>
            </w:r>
          </w:p>
        </w:tc>
        <w:tc>
          <w:tcPr>
            <w:tcW w:w="90" w:type="dxa"/>
            <w:tcBorders/>
            <w:vAlign w:val="bottom"/>
          </w:tcPr>
          <w:p>
            <w:pPr>
              <w:pStyle w:val="TableContents"/>
              <w:bidi w:val="0"/>
              <w:spacing w:before="0" w:after="283"/>
              <w:jc w:val="left"/>
              <w:rPr/>
            </w:pPr>
            <w:r>
              <w:rPr/>
              <w:t> </w:t>
            </w:r>
          </w:p>
        </w:tc>
        <w:tc>
          <w:tcPr>
            <w:tcW w:w="1999" w:type="dxa"/>
            <w:tcBorders/>
          </w:tcPr>
          <w:p>
            <w:pPr>
              <w:pStyle w:val="TableContents"/>
              <w:bidi w:val="0"/>
              <w:spacing w:before="0" w:after="283"/>
              <w:jc w:val="center"/>
              <w:rPr>
                <w:b/>
              </w:rPr>
            </w:pPr>
            <w:r>
              <w:rPr>
                <w:b/>
              </w:rPr>
              <w:t>BofA Securities</w:t>
            </w:r>
          </w:p>
        </w:tc>
        <w:tc>
          <w:tcPr>
            <w:tcW w:w="90" w:type="dxa"/>
            <w:tcBorders/>
            <w:vAlign w:val="bottom"/>
          </w:tcPr>
          <w:p>
            <w:pPr>
              <w:pStyle w:val="TableContents"/>
              <w:bidi w:val="0"/>
              <w:spacing w:before="0" w:after="283"/>
              <w:jc w:val="left"/>
              <w:rPr/>
            </w:pPr>
            <w:r>
              <w:rPr/>
              <w:t> </w:t>
            </w:r>
          </w:p>
        </w:tc>
        <w:tc>
          <w:tcPr>
            <w:tcW w:w="1347" w:type="dxa"/>
            <w:tcBorders/>
          </w:tcPr>
          <w:p>
            <w:pPr>
              <w:pStyle w:val="TableContents"/>
              <w:bidi w:val="0"/>
              <w:spacing w:before="0" w:after="283"/>
              <w:jc w:val="center"/>
              <w:rPr>
                <w:b/>
              </w:rPr>
            </w:pPr>
            <w:r>
              <w:rPr>
                <w:b/>
              </w:rPr>
              <w:t>Citigroup</w:t>
            </w:r>
          </w:p>
        </w:tc>
        <w:tc>
          <w:tcPr>
            <w:tcW w:w="90" w:type="dxa"/>
            <w:tcBorders/>
            <w:vAlign w:val="bottom"/>
          </w:tcPr>
          <w:p>
            <w:pPr>
              <w:pStyle w:val="TableContents"/>
              <w:bidi w:val="0"/>
              <w:spacing w:before="0" w:after="283"/>
              <w:jc w:val="left"/>
              <w:rPr/>
            </w:pPr>
            <w:r>
              <w:rPr/>
              <w:t> </w:t>
            </w:r>
          </w:p>
        </w:tc>
        <w:tc>
          <w:tcPr>
            <w:tcW w:w="1847" w:type="dxa"/>
            <w:tcBorders/>
          </w:tcPr>
          <w:p>
            <w:pPr>
              <w:pStyle w:val="TableContents"/>
              <w:bidi w:val="0"/>
              <w:spacing w:before="0" w:after="283"/>
              <w:jc w:val="center"/>
              <w:rPr>
                <w:b/>
              </w:rPr>
            </w:pPr>
            <w:r>
              <w:rPr>
                <w:b/>
              </w:rPr>
              <w:t>Morgan Stanley</w:t>
            </w:r>
          </w:p>
        </w:tc>
      </w:tr>
    </w:tbl>
    <w:p>
      <w:pPr>
        <w:pStyle w:val="TextBody"/>
        <w:bidi w:val="0"/>
        <w:spacing w:before="120" w:after="0"/>
        <w:jc w:val="center"/>
        <w:rPr>
          <w:rFonts w:ascii="Times New Roman" w:hAnsi="Times New Roman"/>
          <w:sz w:val="20"/>
        </w:rPr>
      </w:pPr>
      <w:r>
        <w:rPr>
          <w:rFonts w:ascii="Times New Roman" w:hAnsi="Times New Roman"/>
          <w:b/>
          <w:i/>
          <w:sz w:val="20"/>
        </w:rPr>
        <w:t>Joint Book-Running Managers for the 2036 Notes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9"/>
        <w:gridCol w:w="60"/>
        <w:gridCol w:w="2443"/>
        <w:gridCol w:w="106"/>
        <w:gridCol w:w="2580"/>
        <w:gridCol w:w="120"/>
        <w:gridCol w:w="2187"/>
      </w:tblGrid>
      <w:tr>
        <w:trPr/>
        <w:tc>
          <w:tcPr>
            <w:tcW w:w="27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2709" w:type="dxa"/>
            <w:tcBorders/>
          </w:tcPr>
          <w:p>
            <w:pPr>
              <w:pStyle w:val="TableContents"/>
              <w:bidi w:val="0"/>
              <w:spacing w:before="0" w:after="283"/>
              <w:jc w:val="left"/>
              <w:rPr>
                <w:b/>
              </w:rPr>
            </w:pPr>
            <w:r>
              <w:rPr>
                <w:b/>
              </w:rPr>
              <w:t>J.P. Morgan</w:t>
            </w:r>
          </w:p>
        </w:tc>
        <w:tc>
          <w:tcPr>
            <w:tcW w:w="60" w:type="dxa"/>
            <w:tcBorders/>
            <w:vAlign w:val="bottom"/>
          </w:tcPr>
          <w:p>
            <w:pPr>
              <w:pStyle w:val="TableContents"/>
              <w:bidi w:val="0"/>
              <w:spacing w:before="0" w:after="283"/>
              <w:jc w:val="left"/>
              <w:rPr/>
            </w:pPr>
            <w:r>
              <w:rPr/>
              <w:t> </w:t>
            </w:r>
          </w:p>
        </w:tc>
        <w:tc>
          <w:tcPr>
            <w:tcW w:w="2443" w:type="dxa"/>
            <w:tcBorders/>
          </w:tcPr>
          <w:p>
            <w:pPr>
              <w:pStyle w:val="TableContents"/>
              <w:bidi w:val="0"/>
              <w:spacing w:before="0" w:after="283"/>
              <w:jc w:val="center"/>
              <w:rPr>
                <w:b/>
              </w:rPr>
            </w:pPr>
            <w:r>
              <w:rPr>
                <w:b/>
              </w:rPr>
              <w:t>Barclays</w:t>
            </w:r>
          </w:p>
        </w:tc>
        <w:tc>
          <w:tcPr>
            <w:tcW w:w="106" w:type="dxa"/>
            <w:tcBorders/>
            <w:vAlign w:val="bottom"/>
          </w:tcPr>
          <w:p>
            <w:pPr>
              <w:pStyle w:val="TableContents"/>
              <w:bidi w:val="0"/>
              <w:spacing w:before="0" w:after="283"/>
              <w:jc w:val="left"/>
              <w:rPr/>
            </w:pPr>
            <w:r>
              <w:rPr/>
              <w:t> </w:t>
            </w:r>
          </w:p>
        </w:tc>
        <w:tc>
          <w:tcPr>
            <w:tcW w:w="2580" w:type="dxa"/>
            <w:tcBorders/>
          </w:tcPr>
          <w:p>
            <w:pPr>
              <w:pStyle w:val="TableContents"/>
              <w:bidi w:val="0"/>
              <w:spacing w:before="0" w:after="283"/>
              <w:jc w:val="center"/>
              <w:rPr>
                <w:b/>
              </w:rPr>
            </w:pPr>
            <w:r>
              <w:rPr>
                <w:b/>
              </w:rPr>
              <w:t>BNP PARIBAS</w:t>
            </w:r>
          </w:p>
        </w:tc>
        <w:tc>
          <w:tcPr>
            <w:tcW w:w="120" w:type="dxa"/>
            <w:tcBorders/>
            <w:vAlign w:val="bottom"/>
          </w:tcPr>
          <w:p>
            <w:pPr>
              <w:pStyle w:val="TableContents"/>
              <w:bidi w:val="0"/>
              <w:spacing w:before="0" w:after="283"/>
              <w:jc w:val="left"/>
              <w:rPr/>
            </w:pPr>
            <w:r>
              <w:rPr/>
              <w:t>  </w:t>
            </w:r>
          </w:p>
        </w:tc>
        <w:tc>
          <w:tcPr>
            <w:tcW w:w="2187" w:type="dxa"/>
            <w:tcBorders/>
          </w:tcPr>
          <w:p>
            <w:pPr>
              <w:pStyle w:val="TableContents"/>
              <w:bidi w:val="0"/>
              <w:spacing w:before="0" w:after="283"/>
              <w:jc w:val="right"/>
              <w:rPr>
                <w:b/>
              </w:rPr>
            </w:pPr>
            <w:r>
              <w:rPr>
                <w:b/>
              </w:rPr>
              <w:t>BofA Securities</w:t>
            </w:r>
          </w:p>
        </w:tc>
      </w:tr>
    </w:tbl>
    <w:tbl>
      <w:tblPr>
        <w:tblW w:w="5000" w:type="pct"/>
        <w:jc w:val="center"/>
        <w:tblInd w:w="0" w:type="dxa"/>
        <w:tblLayout w:type="fixed"/>
        <w:tblCellMar>
          <w:top w:w="0" w:type="dxa"/>
          <w:left w:w="0" w:type="dxa"/>
          <w:bottom w:w="0" w:type="dxa"/>
          <w:right w:w="0" w:type="dxa"/>
        </w:tblCellMar>
      </w:tblPr>
      <w:tblGrid>
        <w:gridCol w:w="879"/>
        <w:gridCol w:w="336"/>
        <w:gridCol w:w="1546"/>
        <w:gridCol w:w="109"/>
        <w:gridCol w:w="3534"/>
        <w:gridCol w:w="109"/>
        <w:gridCol w:w="3692"/>
      </w:tblGrid>
      <w:tr>
        <w:trPr/>
        <w:tc>
          <w:tcPr>
            <w:tcW w:w="879"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761" w:type="dxa"/>
            <w:gridSpan w:val="3"/>
            <w:tcBorders/>
            <w:vAlign w:val="center"/>
          </w:tcPr>
          <w:p>
            <w:pPr>
              <w:pStyle w:val="TableContents"/>
              <w:bidi w:val="0"/>
              <w:spacing w:before="0" w:after="283"/>
              <w:jc w:val="left"/>
              <w:rPr>
                <w:sz w:val="4"/>
                <w:szCs w:val="4"/>
              </w:rPr>
            </w:pPr>
            <w:r>
              <w:rPr>
                <w:sz w:val="4"/>
                <w:szCs w:val="4"/>
              </w:rPr>
            </w:r>
          </w:p>
        </w:tc>
        <w:tc>
          <w:tcPr>
            <w:tcW w:w="3643" w:type="dxa"/>
            <w:gridSpan w:val="2"/>
            <w:tcBorders/>
            <w:vAlign w:val="center"/>
          </w:tcPr>
          <w:p>
            <w:pPr>
              <w:pStyle w:val="TableContents"/>
              <w:bidi w:val="0"/>
              <w:spacing w:before="0" w:after="283"/>
              <w:jc w:val="left"/>
              <w:rPr>
                <w:sz w:val="4"/>
                <w:szCs w:val="4"/>
              </w:rPr>
            </w:pPr>
            <w:r>
              <w:rPr>
                <w:sz w:val="4"/>
                <w:szCs w:val="4"/>
              </w:rPr>
            </w:r>
          </w:p>
        </w:tc>
        <w:tc>
          <w:tcPr>
            <w:tcW w:w="3801" w:type="dxa"/>
            <w:gridSpan w:val="2"/>
            <w:tcBorders/>
            <w:vAlign w:val="center"/>
          </w:tcPr>
          <w:p>
            <w:pPr>
              <w:pStyle w:val="TableContents"/>
              <w:bidi w:val="0"/>
              <w:spacing w:before="0" w:after="283"/>
              <w:jc w:val="left"/>
              <w:rPr>
                <w:sz w:val="4"/>
                <w:szCs w:val="4"/>
              </w:rPr>
            </w:pPr>
            <w:r>
              <w:rPr>
                <w:sz w:val="4"/>
                <w:szCs w:val="4"/>
              </w:rPr>
            </w:r>
          </w:p>
        </w:tc>
      </w:tr>
      <w:tr>
        <w:trPr/>
        <w:tc>
          <w:tcPr>
            <w:tcW w:w="2761" w:type="dxa"/>
            <w:gridSpan w:val="3"/>
            <w:tcBorders/>
          </w:tcPr>
          <w:p>
            <w:pPr>
              <w:pStyle w:val="TableContents"/>
              <w:bidi w:val="0"/>
              <w:spacing w:before="0" w:after="283"/>
              <w:jc w:val="left"/>
              <w:rPr>
                <w:b/>
              </w:rPr>
            </w:pPr>
            <w:r>
              <w:rPr>
                <w:b/>
              </w:rPr>
              <w:t>Citigroup</w:t>
            </w:r>
          </w:p>
        </w:tc>
        <w:tc>
          <w:tcPr>
            <w:tcW w:w="109"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center"/>
              <w:rPr>
                <w:b/>
              </w:rPr>
            </w:pPr>
            <w:r>
              <w:rPr>
                <w:b/>
              </w:rPr>
              <w:t>Morgan Stanley</w:t>
            </w:r>
          </w:p>
        </w:tc>
        <w:tc>
          <w:tcPr>
            <w:tcW w:w="109" w:type="dxa"/>
            <w:tcBorders/>
            <w:vAlign w:val="bottom"/>
          </w:tcPr>
          <w:p>
            <w:pPr>
              <w:pStyle w:val="TableContents"/>
              <w:bidi w:val="0"/>
              <w:spacing w:before="0" w:after="283"/>
              <w:jc w:val="left"/>
              <w:rPr/>
            </w:pPr>
            <w:r>
              <w:rPr/>
              <w:t> </w:t>
            </w:r>
          </w:p>
        </w:tc>
        <w:tc>
          <w:tcPr>
            <w:tcW w:w="3692" w:type="dxa"/>
            <w:tcBorders/>
          </w:tcPr>
          <w:p>
            <w:pPr>
              <w:pStyle w:val="TableContents"/>
              <w:bidi w:val="0"/>
              <w:spacing w:before="0" w:after="283"/>
              <w:jc w:val="center"/>
              <w:rPr>
                <w:b/>
              </w:rPr>
            </w:pPr>
            <w:r>
              <w:rPr>
                <w:b/>
              </w:rPr>
              <w:t>Wells Fargo Securities</w:t>
            </w:r>
          </w:p>
        </w:tc>
      </w:tr>
    </w:tbl>
    <w:p>
      <w:pPr>
        <w:pStyle w:val="TextBody"/>
        <w:bidi w:val="0"/>
        <w:spacing w:before="120" w:after="0"/>
        <w:jc w:val="center"/>
        <w:rPr>
          <w:rFonts w:ascii="Times New Roman" w:hAnsi="Times New Roman"/>
          <w:sz w:val="20"/>
        </w:rPr>
      </w:pPr>
      <w:r>
        <w:rPr>
          <w:rFonts w:ascii="Times New Roman" w:hAnsi="Times New Roman"/>
          <w:b/>
          <w:i/>
          <w:sz w:val="20"/>
        </w:rPr>
        <w:t>Co-Managers for the 2029 Notes, the 2031 Notes and the 2033 Notes</w:t>
      </w:r>
      <w:r>
        <w:rPr>
          <w:rFonts w:ascii="Times New Roman" w:hAnsi="Times New Roman"/>
          <w:sz w:val="20"/>
        </w:rPr>
        <w:t xml:space="preserve"> </w:t>
      </w:r>
    </w:p>
    <w:p>
      <w:pPr>
        <w:pStyle w:val="TextBody"/>
        <w:bidi w:val="0"/>
        <w:spacing w:before="0" w:after="0"/>
        <w:jc w:val="left"/>
        <w:rPr/>
      </w:pPr>
      <w:r>
        <w:rPr/>
        <w:t> </w:t>
      </w:r>
    </w:p>
    <w:tbl>
      <w:tblPr>
        <w:tblW w:w="11740" w:type="dxa"/>
        <w:jc w:val="center"/>
        <w:tblInd w:w="0" w:type="dxa"/>
        <w:tblLayout w:type="fixed"/>
        <w:tblCellMar>
          <w:top w:w="0" w:type="dxa"/>
          <w:left w:w="0" w:type="dxa"/>
          <w:bottom w:w="0" w:type="dxa"/>
          <w:right w:w="0" w:type="dxa"/>
        </w:tblCellMar>
      </w:tblPr>
      <w:tblGrid>
        <w:gridCol w:w="2315"/>
        <w:gridCol w:w="60"/>
        <w:gridCol w:w="1700"/>
        <w:gridCol w:w="60"/>
        <w:gridCol w:w="2285"/>
        <w:gridCol w:w="60"/>
        <w:gridCol w:w="2375"/>
        <w:gridCol w:w="60"/>
        <w:gridCol w:w="282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center"/>
              <w:rPr>
                <w:b/>
              </w:rPr>
            </w:pPr>
            <w:r>
              <w:rPr>
                <w:b/>
              </w:rPr>
              <w:t>BMO Capital Markets</w:t>
            </w:r>
          </w:p>
        </w:tc>
        <w:tc>
          <w:tcPr>
            <w:tcW w:w="60"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b/>
              </w:rPr>
            </w:pPr>
            <w:r>
              <w:rPr>
                <w:b/>
              </w:rPr>
              <w:t>HSBC</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Mizuho</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MUFG</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b/>
              </w:rPr>
            </w:pPr>
            <w:r>
              <w:rPr>
                <w:b/>
              </w:rPr>
              <w:t>PNC Capital Markets LLC</w:t>
            </w:r>
          </w:p>
        </w:tc>
      </w:tr>
      <w:tr>
        <w:trPr>
          <w:trHeight w:val="60" w:hRule="atLeast"/>
        </w:trPr>
        <w:tc>
          <w:tcPr>
            <w:tcW w:w="2315" w:type="dxa"/>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SMBC Nikko</w:t>
            </w:r>
          </w:p>
        </w:tc>
        <w:tc>
          <w:tcPr>
            <w:tcW w:w="60"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b/>
              </w:rPr>
            </w:pPr>
            <w:r>
              <w:rPr>
                <w:b/>
              </w:rPr>
              <w:t>TD Securities</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Wells Fargo Securities</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Academy Securities</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right"/>
              <w:rPr>
                <w:b/>
              </w:rPr>
            </w:pPr>
            <w:r>
              <w:rPr>
                <w:b/>
              </w:rPr>
              <w:t>Roberts &amp; Ryan</w:t>
            </w:r>
          </w:p>
        </w:tc>
      </w:tr>
      <w:tr>
        <w:trPr>
          <w:trHeight w:val="60" w:hRule="atLeast"/>
        </w:trPr>
        <w:tc>
          <w:tcPr>
            <w:tcW w:w="2315" w:type="dxa"/>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Blaylock Van, LLC</w:t>
            </w:r>
          </w:p>
        </w:tc>
        <w:tc>
          <w:tcPr>
            <w:tcW w:w="60"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b/>
              </w:rPr>
            </w:pPr>
            <w:r>
              <w:rPr>
                <w:b/>
              </w:rPr>
              <w:t>Drexel Hamilton</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Guzman &amp; Company</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R. Seelaus &amp; Co., LLC</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b/>
              </w:rPr>
            </w:pPr>
            <w:r>
              <w:rPr>
                <w:b/>
              </w:rPr>
              <w:t>Siebert Williams Shank</w:t>
            </w:r>
          </w:p>
        </w:tc>
      </w:tr>
    </w:tbl>
    <w:p>
      <w:pPr>
        <w:pStyle w:val="TextBody"/>
        <w:bidi w:val="0"/>
        <w:spacing w:before="120" w:after="0"/>
        <w:jc w:val="center"/>
        <w:rPr>
          <w:rFonts w:ascii="Times New Roman" w:hAnsi="Times New Roman"/>
          <w:sz w:val="20"/>
        </w:rPr>
      </w:pPr>
      <w:r>
        <w:rPr>
          <w:rFonts w:ascii="Times New Roman" w:hAnsi="Times New Roman"/>
          <w:b/>
          <w:i/>
          <w:sz w:val="20"/>
        </w:rPr>
        <w:t>Co-Managers for the 2036 Notes</w:t>
      </w:r>
      <w:r>
        <w:rPr>
          <w:rFonts w:ascii="Times New Roman" w:hAnsi="Times New Roman"/>
          <w:sz w:val="20"/>
        </w:rPr>
        <w:t xml:space="preserve"> </w:t>
      </w:r>
    </w:p>
    <w:p>
      <w:pPr>
        <w:pStyle w:val="TextBody"/>
        <w:bidi w:val="0"/>
        <w:spacing w:before="0" w:after="0"/>
        <w:jc w:val="left"/>
        <w:rPr/>
      </w:pPr>
      <w:r>
        <w:rPr/>
        <w:t> </w:t>
      </w:r>
    </w:p>
    <w:tbl>
      <w:tblPr>
        <w:tblW w:w="11365" w:type="dxa"/>
        <w:jc w:val="center"/>
        <w:tblInd w:w="0" w:type="dxa"/>
        <w:tblLayout w:type="fixed"/>
        <w:tblCellMar>
          <w:top w:w="0" w:type="dxa"/>
          <w:left w:w="0" w:type="dxa"/>
          <w:bottom w:w="0" w:type="dxa"/>
          <w:right w:w="0" w:type="dxa"/>
        </w:tblCellMar>
      </w:tblPr>
      <w:tblGrid>
        <w:gridCol w:w="2315"/>
        <w:gridCol w:w="60"/>
        <w:gridCol w:w="1400"/>
        <w:gridCol w:w="60"/>
        <w:gridCol w:w="2210"/>
        <w:gridCol w:w="60"/>
        <w:gridCol w:w="2375"/>
        <w:gridCol w:w="60"/>
        <w:gridCol w:w="282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center"/>
              <w:rPr>
                <w:b/>
              </w:rPr>
            </w:pPr>
            <w:r>
              <w:rPr>
                <w:b/>
              </w:rPr>
              <w:t>BMO Capital Markets</w:t>
            </w:r>
          </w:p>
        </w:tc>
        <w:tc>
          <w:tcPr>
            <w:tcW w:w="60" w:type="dxa"/>
            <w:tcBorders/>
            <w:vAlign w:val="bottom"/>
          </w:tcPr>
          <w:p>
            <w:pPr>
              <w:pStyle w:val="TableContents"/>
              <w:bidi w:val="0"/>
              <w:spacing w:before="0" w:after="283"/>
              <w:jc w:val="left"/>
              <w:rPr/>
            </w:pPr>
            <w:r>
              <w:rPr/>
              <w:t> </w:t>
            </w:r>
          </w:p>
        </w:tc>
        <w:tc>
          <w:tcPr>
            <w:tcW w:w="1400" w:type="dxa"/>
            <w:tcBorders/>
          </w:tcPr>
          <w:p>
            <w:pPr>
              <w:pStyle w:val="TableContents"/>
              <w:bidi w:val="0"/>
              <w:spacing w:before="0" w:after="283"/>
              <w:jc w:val="center"/>
              <w:rPr>
                <w:b/>
              </w:rPr>
            </w:pPr>
            <w:r>
              <w:rPr>
                <w:b/>
              </w:rPr>
              <w:t>HSBC</w:t>
            </w:r>
          </w:p>
        </w:tc>
        <w:tc>
          <w:tcPr>
            <w:tcW w:w="60" w:type="dxa"/>
            <w:tcBorders/>
            <w:vAlign w:val="bottom"/>
          </w:tcPr>
          <w:p>
            <w:pPr>
              <w:pStyle w:val="TableContents"/>
              <w:bidi w:val="0"/>
              <w:spacing w:before="0" w:after="283"/>
              <w:jc w:val="left"/>
              <w:rPr/>
            </w:pPr>
            <w:r>
              <w:rPr/>
              <w:t> </w:t>
            </w:r>
          </w:p>
        </w:tc>
        <w:tc>
          <w:tcPr>
            <w:tcW w:w="2210" w:type="dxa"/>
            <w:tcBorders/>
          </w:tcPr>
          <w:p>
            <w:pPr>
              <w:pStyle w:val="TableContents"/>
              <w:bidi w:val="0"/>
              <w:spacing w:before="0" w:after="283"/>
              <w:jc w:val="center"/>
              <w:rPr>
                <w:b/>
              </w:rPr>
            </w:pPr>
            <w:r>
              <w:rPr>
                <w:b/>
              </w:rPr>
              <w:t>Mizuho</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MUFG</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b/>
              </w:rPr>
            </w:pPr>
            <w:r>
              <w:rPr>
                <w:b/>
              </w:rPr>
              <w:t>PNC Capital Markets LLC</w:t>
            </w:r>
          </w:p>
        </w:tc>
      </w:tr>
      <w:tr>
        <w:trPr>
          <w:trHeight w:val="60" w:hRule="atLeast"/>
        </w:trPr>
        <w:tc>
          <w:tcPr>
            <w:tcW w:w="2315" w:type="dxa"/>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SMBC Nikko</w:t>
            </w:r>
          </w:p>
        </w:tc>
        <w:tc>
          <w:tcPr>
            <w:tcW w:w="60" w:type="dxa"/>
            <w:tcBorders/>
            <w:vAlign w:val="bottom"/>
          </w:tcPr>
          <w:p>
            <w:pPr>
              <w:pStyle w:val="TableContents"/>
              <w:bidi w:val="0"/>
              <w:spacing w:before="0" w:after="283"/>
              <w:jc w:val="left"/>
              <w:rPr/>
            </w:pPr>
            <w:r>
              <w:rPr/>
              <w:t> </w:t>
            </w:r>
          </w:p>
        </w:tc>
        <w:tc>
          <w:tcPr>
            <w:tcW w:w="1400" w:type="dxa"/>
            <w:tcBorders/>
          </w:tcPr>
          <w:p>
            <w:pPr>
              <w:pStyle w:val="TableContents"/>
              <w:bidi w:val="0"/>
              <w:spacing w:before="0" w:after="283"/>
              <w:jc w:val="center"/>
              <w:rPr>
                <w:b/>
              </w:rPr>
            </w:pPr>
            <w:r>
              <w:rPr>
                <w:b/>
              </w:rPr>
              <w:t>TD Securities</w:t>
            </w:r>
          </w:p>
        </w:tc>
        <w:tc>
          <w:tcPr>
            <w:tcW w:w="60" w:type="dxa"/>
            <w:tcBorders/>
            <w:vAlign w:val="bottom"/>
          </w:tcPr>
          <w:p>
            <w:pPr>
              <w:pStyle w:val="TableContents"/>
              <w:bidi w:val="0"/>
              <w:spacing w:before="0" w:after="283"/>
              <w:jc w:val="left"/>
              <w:rPr/>
            </w:pPr>
            <w:r>
              <w:rPr/>
              <w:t> </w:t>
            </w:r>
          </w:p>
        </w:tc>
        <w:tc>
          <w:tcPr>
            <w:tcW w:w="2210" w:type="dxa"/>
            <w:tcBorders/>
          </w:tcPr>
          <w:p>
            <w:pPr>
              <w:pStyle w:val="TableContents"/>
              <w:bidi w:val="0"/>
              <w:spacing w:before="0" w:after="283"/>
              <w:jc w:val="center"/>
              <w:rPr>
                <w:b/>
              </w:rPr>
            </w:pPr>
            <w:r>
              <w:rPr>
                <w:b/>
              </w:rPr>
              <w:t>Academy Securities</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Roberts &amp; Ryan</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right"/>
              <w:rPr>
                <w:b/>
              </w:rPr>
            </w:pPr>
            <w:r>
              <w:rPr>
                <w:b/>
              </w:rPr>
              <w:t>Blaylock Van, LLC</w:t>
            </w:r>
          </w:p>
        </w:tc>
      </w:tr>
      <w:tr>
        <w:trPr>
          <w:trHeight w:val="60" w:hRule="atLeast"/>
        </w:trPr>
        <w:tc>
          <w:tcPr>
            <w:tcW w:w="3775" w:type="dxa"/>
            <w:gridSpan w:val="3"/>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Pr>
          <w:p>
            <w:pPr>
              <w:pStyle w:val="TableContents"/>
              <w:bidi w:val="0"/>
              <w:spacing w:before="0" w:after="283"/>
              <w:jc w:val="left"/>
              <w:rPr>
                <w:b/>
              </w:rPr>
            </w:pPr>
            <w:r>
              <w:rPr>
                <w:b/>
              </w:rPr>
              <w:t>Drexel Hamilton</w:t>
            </w:r>
          </w:p>
        </w:tc>
        <w:tc>
          <w:tcPr>
            <w:tcW w:w="60" w:type="dxa"/>
            <w:tcBorders/>
            <w:vAlign w:val="bottom"/>
          </w:tcPr>
          <w:p>
            <w:pPr>
              <w:pStyle w:val="TableContents"/>
              <w:bidi w:val="0"/>
              <w:spacing w:before="0" w:after="283"/>
              <w:jc w:val="left"/>
              <w:rPr/>
            </w:pPr>
            <w:r>
              <w:rPr/>
              <w:t> </w:t>
            </w:r>
          </w:p>
        </w:tc>
        <w:tc>
          <w:tcPr>
            <w:tcW w:w="2210" w:type="dxa"/>
            <w:tcBorders/>
          </w:tcPr>
          <w:p>
            <w:pPr>
              <w:pStyle w:val="TableContents"/>
              <w:bidi w:val="0"/>
              <w:spacing w:before="0" w:after="283"/>
              <w:jc w:val="center"/>
              <w:rPr>
                <w:b/>
              </w:rPr>
            </w:pPr>
            <w:r>
              <w:rPr>
                <w:b/>
              </w:rPr>
              <w:t>Guzman &amp; Company</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R. Seelaus &amp; Co., LLC</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right"/>
              <w:rPr>
                <w:b/>
              </w:rPr>
            </w:pPr>
            <w:r>
              <w:rPr>
                <w:b/>
              </w:rPr>
              <w:t>Siebert Williams Shank</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supplement is September 15,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2">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7">
              <w:r>
                <w:rPr>
                  <w:rStyle w:val="InternetLink"/>
                  <w:rFonts w:ascii="Times New Roman" w:hAnsi="Times New Roman"/>
                  <w:sz w:val="20"/>
                </w:rPr>
                <w:t>DESCRIPTION OF THE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8">
              <w:r>
                <w:rPr>
                  <w:rStyle w:val="InternetLink"/>
                  <w:rFonts w:ascii="Times New Roman" w:hAnsi="Times New Roman"/>
                  <w:sz w:val="20"/>
                </w:rPr>
                <w:t>MATERIAL UNITED STATES FEDERAL INCOME TAX CONSEQUENCES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72941_13">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4">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5">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6">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9">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294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only for the information contained in or incorporated by reference into this prospectus supplement and the accompanying prospectus or information contained in a free writing prospectus that we authorize to be delivered to you. This prospectus supplement and the accompanying prospectus may be used only for the purpose for which they have been prepared. No one is authorized to give information other than that contained in or incorporated by reference into this prospectus supplement, the accompanying prospectus or any free writing prospectus that we authorize to be delivered to you. We have not, and the underwriters have not, authorized any other person to provide you with different information. Neither we nor any of the underwriters or their affiliates take any responsibility for, nor can we or any of the underwriters or their affiliates provide any assurance as to the reliability of, any information that others may give you.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and the underwriters are not, making an offer to sell these securities in any jurisdiction where the offer or sale is not permitted. You should not assume that the information appearing in this prospectus supplement, the accompanying prospectus or any document incorporated by reference herein or therein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underwriters, to subscribe for and purchase any of the notes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rom7294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the prospectus supplement, which describes the specific terms of this offering and the notes offered. The second part is the accompanying prospectus, which describes more general information about debt securities we may offer from time to time, some of which may not apply to this offering of the notes. If the information set forth in this prospectus supplement differs in any way from the information set forth in the accompanying prospectus, you should rely on the information set forth in this prospectus supplement. You should read this prospectus supplement, the accompanying prospectus and any related free writing prospectus together with additional information described under the caption “Where You Can Find More Information” on page S-35.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and the accompanying prospectus, “the Company,” “we,” “our,” “ours,” and “us” refer to Analog Devices, Inc. and its subsidiaries on a consolidated basis,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Currency amounts in this prospectus supplement are stated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none of the trustee, registrar or paying agent (or any other agent under the indenture) makes any representation with respect to the accuracy or completeness of the information contained herein and shall have no liability whatsoever on its accuracy or completeness.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rom72941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 this prospectus supplement and the accompanying prospectus contain forward-looking statements regarding future events and our future results that are subject to the safe harbor created under the Private Securities Litigation Reform Act of 1995 and other safe harbors under the Securities Act of 1933, as amended (the “Securities Act”), and the Securities Exchange Act of 1934, as amended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Our actual results could differ materially from those anticipated in these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important factors and uncertainties, among others, could cause actual results to differ materially from those described in the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including our ability to complete the pending acquisition of Alif Semiconductor, Inc. on the anticipated timetable or at all; unanticipated difficulties or expenditures relating to integrating acquired businesses; security breaches or other cyber incidents; risks related to the use of artificial intelligence in our business operations, products and services; adverse results in litigation; the outcome of any regulatory actions, including governmental inquiries, investigations or enforcement proceedings in the event of noncompliance or alleged noncompliance with laws or regulations;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You should pay particular attention to the important risk factors and cautionary statements referenced in the section of this prospectus supplement entitled “Risk Factors” beginning on page S-6. You should also carefully review the risk factors and cautionary statements described in the other documents we file from time to time with the SEC, including our Annual Report on Form 10-K for the fiscal year ended November 1, 2025 and our Quarterly Reports on Form 10-Q for the fiscal quarters ended January 31, 2026, May 2, 2026 and August 1, 2026, and our Current Reports on Form 8-K. Forward-looking statements represent management’s current expectations and are inherently uncertain. We undertake no obligation to revise or update any forward-looking statements, including to reflect events or circumstances occurring after the date of this prospectus supplement,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rom72941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or incorporated by reference into, this prospectus supplement and the accompanying prospectus. As a result, it may not contain all of the information that may be important to you or that you should consider before investing in the notes. You should read this entire prospectus supplement, the accompanying prospectus and any related free writing prospectus, including the “Risk Factors” section and the documents incorporated by reference, which are described under “Where You Can Find More Information” on page S-35.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Analog Devices, Inc.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Massachusetts in 1965 with our corporate headquarters near Boston in Wilmington, Massachusetts. We have manufacturing facilities primarily in the United States, Ireland and Southeast Asia. Our common stock is listed on the Nasdaq Global Select Market under the symbol ADI and is included in the Standard &amp; Poor’s 500 Index.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One Analog Way, Wilmington, Massachusetts 01887, and our telephone number is (781) 935-5565.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Pending Acquisition of Alif Semiconductor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9, 2026, we announced that we entered into a definitive agreement (the “Alif Acquisition Agreement”) to acquire Alif Semiconductor, Inc. (“Alif”), a Pleasanton, California headquartered provider of low-power microcontroller and fusion processor semiconductor products with integrated AI/ML acceleration (the “Alif Acquisition”).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Alif Acquisition Agreement, we will pay Alif’s stockholders aggregate upfront cash consideration of $1.35 billion, subject to the terms of the Alif Acquisition Agreement, and may pay incremental contingent consideration of up to $200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Alif Acquisition is expected to close in the fourth quarter of calendar year 2026, subject to the satisfaction of customary closing conditions, including the expiration of the applicable waiting period (and any extension thereof) under the Hart-Scott-Rodino Antitrust Improvements Act of 1976, as amended.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anticipate funding the upfront cash purchase price of the Alif Acquisition using a portion of the proceeds of the sale of the notes offered hereby. There will be no special mandatory redemption of the notes in the event the Alif Acquisition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Some of the terms and conditions described below are subject to important limitations and exceptions. See “Description of the Notes” in this prospectus supplement and “Description of Debt Securities” in the accompanying prospectus for a more detailed description of the terms and conditions of the notes. Unless the context requires otherwise, references to “we” and “our” in this subsection refer to Analog Devices, Inc. and not to any of its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Analog Devices,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$500,000,000 initial aggregate principal amount of 5.100% notes due September 15,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$500,000,000 initial aggregate principal amount of 5.350% notes due October 1,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$1,000,000,000 initial aggregate principal amount of 5.600% notes due October 1,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$1,000,000,000 initial aggregate principal amount of 5.750% notes due October 1,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2029 Notes: September 15,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2031 Notes: October 1,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2033 Notes: October 1,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2036 Notes: October 1,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2029 Notes will bear interest at a rate of 5.100%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2031 Notes will bear interest at a rate of 5.350%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2033 Notes will bear interest at a rate of 5.600%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2036 Notes will bear interest at a rate of 5.750%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on the 2029 Notes will be paid semi-annually in arrears on March 15 and September 15 of each year, beginning on March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Interest on the 2031 Notes, the 2033 Notes and the 2036 Notes will be paid semi-annually in arrears on April 1 and October 1 of each year, beginning on April 1,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our senior unsecured obligations. Each series of notes will rank without preference or priority among themselves and equally in right of payment with all of our other existing and future senior unsecured and unsubordinated debt and rank senior in right of payment to all of our future debt that is subordinated to the notes. Each series of notes will be effectively subordinated to any of our future secured debt, to the extent of the assets securing that debt, and will be structurally subordinated to any existing and future debt and other liabilities, including trade payables, of our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August 1, 2026, our total consolidated indebtedness was approximately $9.2 billion, and we had no secured indebtedness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Covenants </w:t>
            </w:r>
          </w:p>
        </w:tc>
        <w:tc>
          <w:tcPr>
            <w:tcW w:w="6328" w:type="dxa"/>
            <w:tcBorders/>
          </w:tcPr>
          <w:p>
            <w:pPr>
              <w:pStyle w:val="TableContents"/>
              <w:bidi w:val="0"/>
              <w:spacing w:before="0" w:after="283"/>
              <w:jc w:val="left"/>
              <w:rPr/>
            </w:pPr>
            <w:r>
              <w:rPr/>
              <w:t xml:space="preserve">The indenture governing the notes contains covenants that, among other things, limit our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create, assume or guarantee any debt for borrowed money secured by a lien upon any Principal Property (as defined under the caption “Description of the Notes”) or shares of any subsidiary that owns a Principal Property;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 back transactions with respect to any Principal Property;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with or merge into, or transfer or lease all or substantially all of our assets to, any other party.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of August 1, 2026, we had one Principal Property.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These covenants are subject to important exceptions and qualifications that are described under the caption “Description of the Notes—Limitation on Liens,” “—Limitation on Sale and Lease Back Transactions,” and “—Limitation on Mergers and Other Transactions”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Repurchase Offer Upon a Change of Control </w:t>
              <w:br/>
              <w:t xml:space="preserve">Triggering Event </w:t>
            </w:r>
          </w:p>
        </w:tc>
        <w:tc>
          <w:tcPr>
            <w:tcW w:w="6328" w:type="dxa"/>
            <w:tcBorders/>
          </w:tcPr>
          <w:p>
            <w:pPr>
              <w:pStyle w:val="TableContents"/>
              <w:bidi w:val="0"/>
              <w:spacing w:before="0" w:after="283"/>
              <w:jc w:val="left"/>
              <w:rPr/>
            </w:pPr>
            <w:r>
              <w:rPr/>
              <w:t xml:space="preserve">If we experience a Change of Control Triggering Event (as defined under the caption “Description of the Notes—Change of Control Offer”) with respect to a series of notes, we will be required, unless we have exercised our option to redeem the notes of such series or have defeased or satisfied and discharged the notes of such series, to offer to purchase the notes of such series from their holders in cash at a repurchase price equal to 101% of the principal amount thereof, plus accrued and unpaid interest, if any, to the date of repurchase.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At any time prior to the applicable Par Call Date (as defined under the caption “Description of the Notes”), we will have the right, at our option, to redeem each series of Notes, in whole or in part, at any time and from time to time, at a redemption price (expressed as a percentage of principal amount and rounded to three decimal places) equal to the greater 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407"/>
        <w:gridCol w:w="5614"/>
      </w:tblGrid>
      <w:tr>
        <w:trPr/>
        <w:tc>
          <w:tcPr>
            <w:tcW w:w="418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such series of Notes matured on the applicable Par Call Date) on a semi-annual basis (assuming a 360-day year consisting of twelve 30-day months) at the Treasury Rate plus 10 basis points (in the case of the 2029 Notes), 10 basis points (in the case of the 2031 Notes), 15 basis points (in the case of the 2033 Notes) or 15 basis points (in the case of the 2036 Notes), in each case less (b) interest accrued to the date of redemption,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183"/>
        <w:gridCol w:w="408"/>
        <w:gridCol w:w="5614"/>
      </w:tblGrid>
      <w:tr>
        <w:trPr/>
        <w:tc>
          <w:tcPr>
            <w:tcW w:w="418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of such series being redeemed,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plus, in either case, accrued and unpaid interest thereon to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On or after the applicable Par Call Date, we will have the right, at our option, to redeem each series of Notes, in whole or in part, at any time and from time to time, at a redemption price equal to 100% of the principal amount of such series of Notes being redeemed plus accrued and unpaid interest thereon to the redemption date. See “Description of the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the net proceeds we will receive from this offering will be approximately $2.969 billion, after deducting estimated expenses and underwriting discounts.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intend to use the net proceeds from this offering for general corporate purposes, which may include funding the upfront cash purchase price of the Alif Acquisition, capital expenditures, repurchases of our common stock under our stock repurchase program, repayment or refinancing of existing indebtedness, dividend payments and other acquisitions. See “Summary—Recent Developments—Pending Acquisition of Alif Semiconductor” and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and Form </w:t>
            </w:r>
          </w:p>
        </w:tc>
        <w:tc>
          <w:tcPr>
            <w:tcW w:w="6329" w:type="dxa"/>
            <w:tcBorders/>
          </w:tcPr>
          <w:p>
            <w:pPr>
              <w:pStyle w:val="TableContents"/>
              <w:bidi w:val="0"/>
              <w:spacing w:before="0" w:after="283"/>
              <w:jc w:val="left"/>
              <w:rPr/>
            </w:pPr>
            <w:r>
              <w:rPr/>
              <w:t xml:space="preserve">We will issue the notes of each series in the form of one or more fully registered global notes registered in the name of the nominee of The Depository Trust Company (“DTC”). The notes will be issued in minimum denominations of $2,000 and in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Listing; Absence of a Public Market </w:t>
              <w:br/>
              <w:t xml:space="preserve">for the Notes </w:t>
            </w:r>
          </w:p>
        </w:tc>
        <w:tc>
          <w:tcPr>
            <w:tcW w:w="6329" w:type="dxa"/>
            <w:tcBorders/>
          </w:tcPr>
          <w:p>
            <w:pPr>
              <w:pStyle w:val="TableContents"/>
              <w:bidi w:val="0"/>
              <w:spacing w:before="0" w:after="283"/>
              <w:jc w:val="left"/>
              <w:rPr/>
            </w:pPr>
            <w:r>
              <w:rPr/>
              <w:t xml:space="preserve">The notes are new issues of securities with no established trading markets. We do not intend to apply for the listing of any series of notes on any securities exchange or for the quotation of any series of notes in any automated dealer quotation system. Certain of the underwriters have advised us that they may make a market in the notes after completion of the offering, but they will not be obligated to do so and may in their sole discretion discontinue any market-making activities at any time without notice. No assurance can be given as to the liquidity of any trading market for any series of notes or that active trading markets for the notes will develop.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An investment in the notes involves risks. You should carefully consider the information set forth in the section of this prospectus supplement entitled “Risk Factors” beginning on page S-6, as well as other information included or incorporated by reference in this prospectus supplement and the accompanying prospectus before deciding whether to invest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Registrar and Paying Agent </w:t>
            </w:r>
          </w:p>
        </w:tc>
        <w:tc>
          <w:tcPr>
            <w:tcW w:w="6327" w:type="dxa"/>
            <w:tcBorders/>
          </w:tcPr>
          <w:p>
            <w:pPr>
              <w:pStyle w:val="TableContents"/>
              <w:bidi w:val="0"/>
              <w:spacing w:before="0" w:after="283"/>
              <w:jc w:val="left"/>
              <w:rPr/>
            </w:pPr>
            <w:r>
              <w:rPr/>
              <w:t xml:space="preserve">The Bank of New York Mellon Trust Company,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Calculation Agent </w:t>
            </w:r>
          </w:p>
        </w:tc>
        <w:tc>
          <w:tcPr>
            <w:tcW w:w="6327" w:type="dxa"/>
            <w:tcBorders/>
          </w:tcPr>
          <w:p>
            <w:pPr>
              <w:pStyle w:val="TableContents"/>
              <w:bidi w:val="0"/>
              <w:spacing w:before="0" w:after="283"/>
              <w:jc w:val="left"/>
              <w:rPr/>
            </w:pPr>
            <w:r>
              <w:rPr/>
              <w:t xml:space="preserve">The Bank of New York Mellon Trust Company,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indenture and the notes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Settlement </w:t>
            </w:r>
          </w:p>
        </w:tc>
        <w:tc>
          <w:tcPr>
            <w:tcW w:w="6328" w:type="dxa"/>
            <w:tcBorders/>
          </w:tcPr>
          <w:p>
            <w:pPr>
              <w:pStyle w:val="TableContents"/>
              <w:bidi w:val="0"/>
              <w:spacing w:before="0" w:after="283"/>
              <w:jc w:val="left"/>
              <w:rPr/>
            </w:pPr>
            <w:r>
              <w:rPr/>
              <w:t xml:space="preserve">We expect that delivery of the notes will be made to investors on or about September 17, 2026, which will be the second business day following the date of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rom7294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Before you decide to invest in the notes, you should carefully consider the factors set forth below, as well as the risk factors discussed in our Annual Report on Form 10-K for the fiscal year ended November 1, 2025 and our Quarterly Report on Form 10-Q for the quarter ended August 1, 2026, each of which is incorporated by reference in this prospectus supplement and the accompanying prospectus. See “Where You Can Find More Information” in this prospectus supplement. The information contained or incorporated by reference in this prospectus supplement and the accompanying prospectus includes forward-looking statements that involve risks and uncertainties. We refer you to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unsecured and, therefore, will be effectively subordinated to any of our future secured debt.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secured by any of our assets. As a result, the notes will be effectively subordinated to any secured debt we may incur in the future, to the extent of the value of the assets securing that debt. In any liquidation, dissolution, bankruptcy or other similar proceeding involving us, the holders of any of our secured debt may assert rights against our secured assets in order to receive full payment of their debt before such assets may be used to pay the holders of the notes. The terms of the indenture governing the notes limit our ability to create, incur, assume or permit to exist liens on any Principal Property to secure any of our debt. However, these limitations are subject to numerous exceptions. See “Description of the Notes—Limitation on Liens.” As of August 1, 2026, we did not have any secured debt outstanding. See “Description of the Notes—Ranking.”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substantial indebtedness and the indenture governing the notes does not restrict our ability to incur additional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August 1, 2026, we had approximately $9.2 billion of indebtedness outstanding. As of August 1, 2026, after giving effect to this offering, we would have had approximately $12.2 billion of indebtedness outstanding. In addition, we may incur substantial additional indebtedness in the future. In particular, the indenture pursuant to which the notes will be issued will not place any limitation on the amount of indebtedness that we or our subsidiaries may incur. Our incurrence of additional indebtedness may have important consequences for you as a holder of the notes,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additional cash requirements in order to support the payment of interest on our outstanding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our outstanding indebtedness and leverage may increase our vulnerability to adverse changes in general economic and industry conditions, as well as to competitive pressure;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for working capital, capital expenditures, general corporate and other purposes may be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flexibility in planning for, or reacting to, changes in our business and our industry may be limited.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generate sufficient cash flow, we may not be able to service our debt obligations, including making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additional financing in the debt or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refinance or restructure all or a portion of our indebtedness, including our $8.2 billion in aggregate principal amount of senior notes previously issued and outstanding as of August 1, 2026 (the “Existing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Notes”), borrowings under our $3.0 billion revolving credit facility, borrowings under our $3.0 billion 364-day revolving credit facility, issuances under our $3.0 billion commercial paper program (which had approximately $1.0 billion of borrowings outstanding as of August 1, 2026) and the notes offered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 under the revolving credit facility or issue notes under our commercial paper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divert funds that would otherwise be invested in growing our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repatriate earnings as dividends from foreign locations with potential for negative tax consequences;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selected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measures might not be sufficient to enable us to service our debt, including the notes,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structurally subordinated to the existing and future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Our equity interest in our subsidiaries is structurally subordinated to any debt and other liabilities of our subsidiaries, whether or not secured. The notes will not be guaranteed by our subsidiaries and we may not have direct access to the assets of our subsidiaries unless such assets are transferred by dividend or otherwise to us. As a result, the notes will be structurally subordinated to all debt and other liabilities of our existing and future subsidiaries, including trade payables and lease obligations. As of August 1, 2026, our subsidiaries had approximately $2.7 billion of total liabilities, excluding intercompany payables, outstanding. The ability of our subsidiaries to pay dividends or otherwise transfer assets to us is subject to various restrictions under applicable law. Our right to receive assets of any of our subsidiaries upon their bankruptcy, liquidation or reorganization, and therefore the right of the holders of the notes to realize any value in respect of those assets, will be structurally subordinated to the claims of any such subsidiary’s creditors. In addition, even if we are a creditor of any of our subsidiaries, our rights as a creditor would be effectively subordinated to any security interest in the assets of our subsidiaries and subordinated in right of payment to any debt of our subsidiaries that is senior to any debt held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Any credit ratings assigned to the notes will be limited in scope and will not address all material risks relating to an investment in the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agency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review for a downgrade, could affect the market value of the notes and increase our corporate borrowing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all of the notes upon a Change of Control Triggering Event, which would result in a default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to offer to repurchase the notes and the Existing Notes upon the occurrence of a Change of Control Triggering Event as provided in the indentures governing the notes and the Existing Notes, respectively. However, we may not have sufficient funds to repurchase the notes and the Existing Notes at such time. In addition, our ability to repurchase the notes may be limited by law or the terms of other agreements relating to our indebtedness outstanding at the time. The failure to make such repurchases would result in a default under each series of notes and the Existing Notes. See “Description of the Notes—Change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indenture governing the notes will have only limited covenants and these covenants may not protect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notes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subsidiaries’ ability to incur indebtedness that would effectively rank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indebtedness that is equal in right of payment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our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pay dividends, or make other payments in respect of our common stock or other securities ranking junior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indenture governing the notes will contain only limited protections in the event of a Change of Control Triggering Event as described in this prospectus supplement. The indenture governing the notes also will permit us and our subsidiaries to incur additional indebtedness, including secured indebtedness, that would effectively rank senior to the notes, and to engage in Sale and Lease Back Transactions (as defined in “Description of the Notes”),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provisions of the notes will not necessarily protect you in the event of a highly leveraged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will not necessarily afford you protection in the event of a highly leveraged transaction that may adversely affect you, including a reorganization, recapitalization, restructuring, merger or other similar transaction involving us.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should occur, the value of your notes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Active trading markets for the notes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constitutes a new issue of securities for which there is no existing market. We do not intend to apply for listing of any series of notes on any securities exchange or for quotation of any series of notes in any automated dealer quotation system. Certain of the underwriters have advised us that they may make a market in the notes after completion of the offering, but they will not be obligated to do so and may in their sole discretion discontinue any market-making activities at any time without notice. We cannot provide you with any assurance regarding whether a trading market for any series of notes will develop, the ability of holders of notes of such series to sell their notes or the price at which holders may be able to sell their notes. In addition, the liquidity of the trading markets in the notes and the market prices quoted for each series of notes may be adversely affected by changes in the overall market for securities, changes in our financial performance or prospects, or changes in the financial performance or prospects of companies in our industry. If no active trading markets develop, you may be unable to resell the notes of a series at a particular time, at any price, or at their fair market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ratings, our financial condition, our financial performance, or our future prospects, or the debt markets could adversely affect the market prices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prices for each series of notes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credit ratings with major credit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prevailing interest rates being paid by other companies similar to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financial performance and future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overall condition of the financial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significantly in the past and are likely to fluctuate in the future. Such fluctuations could have an adverse effect on the prices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credit rating agencies continually review their ratings for the companies that they follow, including us. A negative change in our rating could have an adverse effect on the prices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rom7294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we will receive from this offering will be approximately $2.969 billion, after deducting estimated expenses and underwriting discounts. We intend to use the net proceeds from this offering for general corporate purposes, which may include funding the upfront cash purchase price of the Alif Acquisition, capital expenditures, repurchases of our common stock under our stock repurchase program, repayment or refinancing of existing indebtedness, dividend payments and other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rom72941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August 1, 2026 on (1) an actual basis and (2) an as-adjusted basis, giving effect to the issuance and sale of the notes offered hereby, after deducting estimated expenses and underwriting discounts, but not the use of the estimated net proceeds from the issuance and 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in conjunction with our consolidated financial statements and the notes thereto in our Annual Report on Form 10-K for the fiscal year ended November 1, 2025 and the Quarterly Reports on Form 10-Q for the fiscal quarters ended January 31, 2026, May 2, 2026 and August 1, 2026, which are incorporated herein by reference.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65"/>
        <w:gridCol w:w="344"/>
        <w:gridCol w:w="140"/>
        <w:gridCol w:w="1222"/>
        <w:gridCol w:w="60"/>
        <w:gridCol w:w="344"/>
        <w:gridCol w:w="140"/>
        <w:gridCol w:w="1276"/>
        <w:gridCol w:w="64"/>
      </w:tblGrid>
      <w:tr>
        <w:trPr/>
        <w:tc>
          <w:tcPr>
            <w:tcW w:w="4165"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6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1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August 1, 2026</w:t>
            </w:r>
          </w:p>
        </w:tc>
        <w:tc>
          <w:tcPr>
            <w:tcW w:w="64" w:type="dxa"/>
            <w:tcBorders/>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182"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2,165,870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5,135,165</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Debt(2):</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364-day revolving credit facility</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5.100% notes due 2029 offered hereby</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5.350% notes due 2031 offered hereby</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500,000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5.600% notes due 2033 offered hereby</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1,000,000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5.750% notes due 2036 offered hereby</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1,000,000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 notes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1,005,104</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1,005,104</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3.500% notes due Dec. 5, 2026</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900,000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900,000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3.450% notes due Jun. 15, 2027</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440,212</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440,212</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4.250% notes due Jun. 15, 2028</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850,000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850,000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1.700% sustainability-linked notes due Oct. 1, 2028</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750,000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750,000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4.500% notes due Jun. 15, 2030</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650,000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650,000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2.100% notes due Oct. 1, 2031</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1,000,000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4.250% notes due Oct. 1, 2032</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300,000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300,000</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5.050% notes due Apr. 1, 2034</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550,000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550,000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4.500% notes due Dec. 5, 2036</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144,278</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144,278</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2.800% notes due Oct. 1, 2041</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750,000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750,000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5.300% notes due Dec. 15, 2045</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332,587</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332,587</w:t>
            </w:r>
          </w:p>
        </w:tc>
        <w:tc>
          <w:tcPr>
            <w:tcW w:w="64"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2.950% notes due Oct. 1, 2051</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1,000,000</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5.300% notes due Apr. 1, 2054</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550,000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550,000</w:t>
            </w:r>
          </w:p>
        </w:tc>
        <w:tc>
          <w:tcPr>
            <w:tcW w:w="64" w:type="dxa"/>
            <w:tcBorders/>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debt(2)</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9,222,181</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12,222,181</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33,550,897</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33,550,897</w:t>
            </w:r>
          </w:p>
        </w:tc>
        <w:tc>
          <w:tcPr>
            <w:tcW w:w="64" w:type="dxa"/>
            <w:tcBorders/>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42,773,078</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45,773,078</w:t>
            </w:r>
          </w:p>
        </w:tc>
        <w:tc>
          <w:tcPr>
            <w:tcW w:w="64" w:type="dxa"/>
            <w:tcBorders/>
            <w:shd w:fill="CCEEFF" w:val="clear"/>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illustrative purposes, the net proceeds of this offering are reflected as cash and cash equivalents in the “As Adjusted” column pending their ultimate use, see “Use of Proceeds.”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figures reflect the principal amounts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rom72941_7"/>
      <w:bookmarkEnd w:id="9"/>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of the terms of the notes supplements the description of the general terms and provisions of the debt securities contained in the accompanying prospectus and identifies any general terms and provisions described in the accompanying prospectus that will not apply to the notes. Certain terms used but not defined in this “Description of the Notes” have the meanings specified in the accompanying prospectus. In this prospectus supplement, we refer to the notes offered hereby as the “notes.” Although, for convenience, the 2029 Notes, the 2031 Notes, the 2033 Notes and the 2036 Notes are referred to as “notes,” each will be issued as a separate series and will not together have any class voting rights. Accordingly, for purposes of this “Description of the Notes,” references to “notes” shall be deemed to refer to each series of notes separately, and not to the 2029 Notes, the 2031 Notes, the 2033 Notes and the 2036 Notes on any combined basis. To the extent this summary differs from the summary in the accompanying prospectus, you should rely on the description of the notes in this prospectus supplement. </w:t>
      </w:r>
    </w:p>
    <w:p>
      <w:pPr>
        <w:pStyle w:val="TextBody"/>
        <w:bidi w:val="0"/>
        <w:spacing w:before="240" w:after="0"/>
        <w:jc w:val="left"/>
        <w:rPr>
          <w:rFonts w:ascii="Times New Roman" w:hAnsi="Times New Roman"/>
          <w:i/>
          <w:sz w:val="20"/>
        </w:rPr>
      </w:pPr>
      <w:r>
        <w:rPr>
          <w:rFonts w:ascii="Times New Roman" w:hAnsi="Times New Roman"/>
          <w:i/>
          <w:sz w:val="20"/>
        </w:rPr>
        <w:t xml:space="preserve">When we refer to “we,” “our,” “us,” and the “Company” in this section, we mean Analog Devices, Inc., the issuer of the notes, excluding, unless the context otherwise requires or as otherwise expressly stated, our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2029 Notes will be issued in an initial aggregate principal amount of $500,000,000, the 2031 Notes will be issued in an initial aggregate principal amount of $500,000,000, the 2033 Notes will be issued in an initial aggregate principal amount of $1,000,000,000 and the 2036 Notes will be issued in an initial aggregate principal amount of $1,000,000,000. We will issue the notes under the indenture dated as of June 3, 2013 between The Bank of New York Mellon Trust Company, N.A., as trustee, and us (the “base indenture”), as supplemented by a supplemental indenture to be entered into between us and the trustee (together with the base indenture,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the holders of the applicable series of notes, increase the principal amount of notes of such series in the future, on the same terms and conditions as the notes of such series being offered hereby (except for the issue date, issue price and, in some cases, the first interest payment date and the initial interest accrual date). If any such additional notes of the applicable series are not fungible for United States federal income tax purposes with the notes of the applicable series previously issued, such additional notes will not have the same CUSIP number (or other securities identification number) as the notes of the applicable series previously issued.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accompanying prospectus for a general discussion of the terms and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2029 Notes will mature on September 15, 2029, the 2031 Notes will mature on October 1, 2031, the 2033 Notes will mature on October 1, 2033 and the 2036 Notes will mature on October 1, 2036. The notes will not be listed on any securities exchange or quoted on any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only in registered form without coupons, in denominations of $2,000 and integral multiples of $1,000 in excess thereof. The notes will be available in book-entry form only. No service charge will be made for any registration of transfer or any exchange of notes, but we may require payment of a sum sufficient to cover any transfer tax or similar governmental charge payable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will be our senior unsecured obligations and will rank without preference or priority among themselves and equally with all of our other existing and future senior unsecured indebtedness. Each series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will be effectively subordinated to all of our future secured indebtedness, to the extent of the assets securing that indebtedness. In addition, each series of notes will be structurally subordinated to all existing and future indebtedness and other liabilities of our Subsidiaries, which are distinct legal entities having no obligation to pay any amounts in respect of the notes or to make funds available for such purpose.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us or one or more of our other Subsidiaries or a combination thereof.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The 2029 Notes will bear interest at a rate of 5.100% per annum from September 17, 2026 or from the most recent interest payment date on which we paid or provided for interest on the 2029 Notes. The 2031 Notes will bear interest at a rate of 5.350% per annum from September 17, 2026 or from the most recent interest payment date on which we paid or provided for interest on the 2031 Notes. The 2033 Notes will bear interest at a rate of 5.600% per annum from September 17, 2026 or from the most recent interest payment date on which we paid or provided for interest on the 2033 Notes. The 2036 Notes will bear interest at a rate of 5.750% per annum from September 17, 2026 or from the most recent interest payment date on which we paid or provided for interest on the 2036 Notes. Interest on the Notes will be payable semi-annually in arrears (i) with respect to the 2029 Notes, on March 15 and September 15 of each year, beginning on March 15, 2027, (ii) with respect to the 2031 Notes, on April 1 and October 1 of each year, beginning on April 1, 2027, (iii) with respect to the 2033 Notes, on April 1 and October 1 of each year, beginning on April 1, 2027, and (iv) with respect to the 2036 Notes, on April 1 and October 1 of each year, beginning on April 1, 2027. Interest on the Notes will be payable to the holders of record (i) with respect to the 2029 Notes, on the March 1 and September 1, (ii) with respect to the 2031 Notes, on the March 15 and September 15, (iii) with respect to the 2033 Notes, on the March 15 and September 15, and (iv) with respect to the 2036 Notes, on the March 15 and September 15, in each case (whether or not a business day) immediately preceding the related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each series of Notes will be computed on the basis of a 360-day year comprised of twelve 30-day months. If any interest payment date, redemption date or the maturity date of a series of Notes is not a business day, then payment of interest and/or principal on such series of Notes will be made on the next succeeding business day, and no additional interest will accrue on the amount so payable in respect of such notes for that period.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applicable Par Call Date, we will have the right, at our option, to redeem each series of Notes,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such series of Notes matured on the applicable Par Call Date) on a semi-annual basis (assuming a 360-day year consisting of twelve 30-day months) at the Treasury Rate plus 10 basis points (in the case of the 2029 Notes), 10 basis points (in the case of the 2031 Notes), 15 basis points (in the case of the 2033 Notes) or 15 basis points (in the case of the 2036 Notes), in each case less (b)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of such series being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after the applicable Par Call Date, we will have the right, at our option, to redeem each series of Notes, in whole or in part, at any time and from time to time, at a redemption price equal to 100% of the principal amount of such series of Notes being redeemed plus accrued and unpaid interest thereon to the redemption date. </w:t>
      </w:r>
    </w:p>
    <w:p>
      <w:pPr>
        <w:pStyle w:val="TextBody"/>
        <w:bidi w:val="0"/>
        <w:spacing w:before="240" w:after="0"/>
        <w:jc w:val="left"/>
        <w:rPr/>
      </w:pPr>
      <w:r>
        <w:rPr/>
        <w:t>“</w:t>
      </w:r>
      <w:r>
        <w:rPr>
          <w:rFonts w:ascii="Times New Roman" w:hAnsi="Times New Roman"/>
          <w:i/>
          <w:sz w:val="20"/>
        </w:rPr>
        <w:t>Par Call Date</w:t>
      </w:r>
      <w:r>
        <w:rPr>
          <w:rFonts w:ascii="Times New Roman" w:hAnsi="Times New Roman"/>
          <w:sz w:val="20"/>
        </w:rPr>
        <w:t xml:space="preserve">” means August 15, 2029 in the case of the 2029 Notes, September 1, 2031 in the case of the 2031 Notes, August 1, 2033 in the case of the 2033 Notes and July 1, 2036 in the case of the 2036 Notes.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i/>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i/>
          <w:sz w:val="20"/>
        </w:rPr>
        <w:t>H.15 TCM</w:t>
      </w:r>
      <w:r>
        <w:rPr>
          <w:rFonts w:ascii="Times New Roman" w:hAnsi="Times New Roman"/>
          <w:sz w:val="20"/>
        </w:rPr>
        <w:t>”). In determining the Treasury Rate, we will select, as applicable: (1) the yield for the Treasury constant maturity on H.15 exactly equal to the period from the redemption date to the applicable Par Call Date (the “</w:t>
      </w:r>
      <w:r>
        <w:rPr>
          <w:rFonts w:ascii="Times New Roman" w:hAnsi="Times New Roman"/>
          <w:i/>
          <w:sz w:val="20"/>
        </w:rPr>
        <w:t>Remaining Life</w:t>
      </w:r>
      <w:r>
        <w:rPr>
          <w:rFonts w:ascii="Times New Roman" w:hAnsi="Times New Roman"/>
          <w:sz w:val="20"/>
        </w:rPr>
        <w:t xml:space="preserve">”); (2)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We are not required to make any mandatory redemption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(as defined below) occurs with respect to a series of notes, unless we have exercised our option to redeem such series of notes in full as described above under “—Optional Redemption” or have defeased such series of notes or satisfied and discharged such series of notes, we shall be required to make an offer (a “Change of Control Offer”) to each holder of such series of notes to repurchase all or any part (equal to $2,000 and in integral multiples of $1,000 in excess thereof; provided that the unrepurchased portion of a note must be in a minimum principal amount of $2,000) of that holder’s notes of such series pursuant to the offer described below. In a Change of Control Offer, we will be required to offer payment in cash equal to 101% of the aggregate principal amount of the notes repurchased, plus accrued and unpaid interest, if any, on the notes repurchased to the date of repurchase (a “Change of Control Payment”). Within 30 days following any Change of Control Triggering Event with respect to a series of notes or, at our option, prior to any Change of Control, but after public announcement of the transaction that constitutes or may constitute the Change of Control, a notice shall be mailed, or if the notes to be repurchased are represented by one or more Global Notes, transmitted in accordance with DTC’s standard procedures therefor, to holders of such series of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“Change of Control Payment Date”). The notice shall, if mailed or transmitted prior to the date of consummation of the Change of Control, state that the offer to purchase is conditioned on the Change of Control Triggering Event occurring on or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of the applicable series or portions of such notes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Change of Control Payment in respect of all notes or portions of such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of the applicable series properly accepted together with an officers’ certificate stating the aggregate principal amount of notes or portions of such notes being repurchased.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upon the occurrence of a Change of Control Triggering Event if a third party makes such an offer in the manner, at the times and otherwise in compliance with the requirements for an offer made by us and the third party purchases all notes of the applicable series properly tendered and not withdrawn under its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those laws and regulations are applicable in connection with the repurchase of the notes of the applicable series as a result of a Change of Control Triggering Event. To the extent that the provisions of any such securities laws or regulations conflict with the Change of Control Offer provisions of the notes, we will comply with those securities laws and regulations and shall not be deemed to have breached our obligations under the Change of Control Offer provisions of the notes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Change of Control Offer provisions of the notes, the following terms are applicable: </w:t>
      </w:r>
    </w:p>
    <w:p>
      <w:pPr>
        <w:pStyle w:val="TextBody"/>
        <w:bidi w:val="0"/>
        <w:spacing w:before="240" w:after="0"/>
        <w:jc w:val="left"/>
        <w:rPr/>
      </w:pPr>
      <w:r>
        <w:rPr/>
        <w:t>“</w:t>
      </w:r>
      <w:r>
        <w:rPr>
          <w:rFonts w:ascii="Times New Roman" w:hAnsi="Times New Roman"/>
          <w:i/>
          <w:sz w:val="20"/>
        </w:rPr>
        <w:t>Below Investment Grade Rating Event</w:t>
      </w:r>
      <w:r>
        <w:rPr>
          <w:rFonts w:ascii="Times New Roman" w:hAnsi="Times New Roman"/>
          <w:sz w:val="20"/>
        </w:rPr>
        <w:t xml:space="preserve">” means, with respect to a series of notes, the applicable series of notes is downgraded below Investment Grade by at least two of the three Rating Agencies on any date during the period (the “Trigger Period”) commencing 60 days prior to the first public announcement by us of any Change of Control (or pending Change of Control) and ending 60 days following the consummation of such Change of Control (which Trigger Period will be extended if the rating of such series of notes is under publicly announced consideration for possible downgrade by any Rating Agency on such 60th day, such extension to last with respect to each Rating Agency until the date on which such Rating Agency considering such possible downgrade either (x) rates such series of notes below Investment Grade or (y) publicly announces that it is no longer considering such series of notes for possible downgrade, provided that no such extension will occur if on such 60th day such series of notes is rated Investment Grade by at least two of the three Rating Agencies and is not subject to review for possible downgrade by any Rating Agency).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(1) the direct or indirect sale, transfer, conveyance or other disposition (other than by way of merger or consolidation), in one or more series of related transactions, of all or substantially all of our assets and the assets of our Subsidiaries, taken as a whole, to any person, other than to us or one of our direct or indirect Subsidiaries; (2) the consummation of any transaction (including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 (4) the adoption of a plan providing for our liquidation or dissolution. Notwithstanding the foregoing, a transaction will not be deemed to involve a Change of Control if (1) we become a direct or indirect wholly owned subsidiary of a holding company (which shall include a parent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transfer, conveyance or other disposition of “all or substantially all” of our properties or assets and those of our Subsidiaries taken as a whole. There is no precise established definition of the phrase “substantially all” under applicable law. Accordingly, the ability of a holder of notes to require us to repurchase the notes as a result of a sale, transfer, conveyance or other disposition of less than all of our properties or assets and those of our Subsidiaries taken as a whole to another person may be uncertain. In such case, the holders of the notes may not be able to resolve this uncertainty without resorting to legal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Change of Control Triggering Event</w:t>
      </w:r>
      <w:r>
        <w:rPr>
          <w:rFonts w:ascii="Times New Roman" w:hAnsi="Times New Roman"/>
          <w:sz w:val="20"/>
        </w:rPr>
        <w:t xml:space="preserve">” means, with respect to a series of notes, the occurrence of both a Change of Control and a Below Investment Grade Rating Event with respect to such series of notes.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Ratings, Inc., and its successors.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with respect to Fitch, a rating equal to or higher than BBB- (or the equivalent under any successor rating categories of Fitch), with respect to Moody’s, a rating equal to or higher than Baa3 (or the equivalent under any successor rating categories of Moody’s) and, with respect to S&amp;P, a rating equal to or higher than BBB- (or the equivalent under any successor rating categories of S&amp;P).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i/>
          <w:sz w:val="20"/>
        </w:rPr>
        <w:t>Rating Agencies</w:t>
      </w:r>
      <w:r>
        <w:rPr>
          <w:rFonts w:ascii="Times New Roman" w:hAnsi="Times New Roman"/>
          <w:sz w:val="20"/>
        </w:rPr>
        <w:t xml:space="preserve">” means each of Fitch, Moody’s and S&amp;P; provided that if any of Fitch, Moody’s and S&amp;P ceases to provide rating services to issuers or investors, we may appoint a replacement for such Rating Agency that is a “nationally recognized statistical rating organization” within the meaning of Section 3(a)(62) of the Exchange Act.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means, with respect to any specified “person” (as that term is used in Section 13(d)(3) of the Exchange Act) as of any date, the shares, interests, participations, rights or other equivalents (however designated) of such person that is at the time entitled to vote generally in the election of the board of directors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We will not, nor will we permit any Subsidiary to, issue, incur, create, assume or guarantee (collectively, “incur”) any debt for borrowed money, including all obligations evidenced by bonds, debentures, notes or similar instruments (collectively, a “debt”), secured by a mortgage, deed of trust, security interest, pledge, lien, charge or other encumbrance (collectively, a “lien”) upon any Principal Property or upon any shares of stock of any Principal Subsidiary (whether such Principal Property or shares are now existing or owned or hereafter created or acquired) without in any such case effectively providing, substantially concurrently with or prior to the creation or assumption of such lien, that the notes (together with, if we shall so determine, any other indebtedness of or guarantee by us or such Subsidiary ranking equally with the notes) shall be secured equally and ratably with (or, at our option, prior to) such secured debt. The foregoing restriction, however, will not apply to each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shares of stock or other assets of any person existing at the time such person becomes a Subsidiary or existing at the time of acquisition thereof by us or a Subsidiary, provided that such liens are not incurred in anticipation of such person’s becoming a Subsidiary or such acquisition and do not extend to (i) any Principal Property or (ii) any shares of stock of any Principal Subsidiary that, in each case, were not previously encumbered by such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a person existing at the time such person is merged into or consolidated with us or a Subsidiary or at the time of a sale, lease or other disposition of the properties of such person (or a division thereof) as an entirety or substantially as an entirety to us or a Subsidiary, provided that such liens are not incurred in anticipation of such merger or consolidation or sale, lease or other disposition and do not extend to (i) any Principal Property or (ii) any shares of stock of any Principal Subsidiary that, in each case, were not previously encumbered by such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all or part of the cost of acquisition, construction, development or improvement of any property or to secure debt incurred to provide funds for any such purpose (including purchase money security interests or purchase money mortgages), provided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or which secure debt owing to,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at the date of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incurred or assumed in connection with the issuance of revenue bonds the interest on which is exempt from federal taxation pursuant to Section 103(b) of the Internal Revenue Code of 1986,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extensions, renewals or replacements of any liens referred to in the foregoing clauses, provided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in the preceding paragraphs, we or any Subsidiary of ours may incur debt secured by a lien which would otherwise be prohibited by such restrictions, without equally and ratably securing the notes, provided that, after giving effect thereto, the then aggregate outstanding amount of all such debt so secured by such liens (not including liens permitted under clauses (a) through (h) above) plus the aggregate amount of Attributable Debt in respect of Sale and Lease Back Transactions of Principal Properties entered into after the date of issuance of the notes and permitted solely pursuant to clause (c) of the covenant described below under the caption “—Limitation on Sale and Lease Back Transactions” and still in existence does not exceed the greater of 5% of our Consolidated Tangible Assets at the time of such incurrence and $750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Sale and Lease 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will not, nor will we permit any Subsidiary to, enter into any Sale and Lease Back Transaction with respect to any Principal Property, other than any such Sale and Lease Back Transaction involving a lease for a term of not more than three years or any such Sale and Lease Back Transaction between us and one of our Subsidiaries, or between Subsidiaries,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such Subsidiary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clauses (a) through (h) of the covenant described above under the caption “—Limitation on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apply the Net Available Proceeds of such Sale and Lease Back Transaction within 180 days of such Sale and Lease Back Transaction to either (or a combination of) (i) the prepayment or retirement of debt of ours or a Subsidiary of ours (other than debt that is, in the case of our debt, subordinated to the notes or debt owed to us or a Subsidiary) that by its terms matures more than 12 months after its creation or (ii) the purchase, construction, development, expansion or improvement of comparable properties or facilities;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of Attributable Debt in respect of such Sale and Lease Back Transaction plus the Attributable Debt in respect of all other Sale and Lease Back Transactions of Principal Properties entered into after the date of issuance of the notes permitted solely pursuant to this clause (c) and still in existence, plus the aggregate amount of all debt secured by liens permitted solely pursuant to the last paragraph of the covenant described above under the caption “—Limitation on Liens” and still outstanding, does not exceed the greater of 5% of our Consolidated Tangible Assets at the time of such Sale and Lease Back Transaction and $750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Attributable Debt</w:t>
      </w:r>
      <w:r>
        <w:rPr>
          <w:rFonts w:ascii="Times New Roman" w:hAnsi="Times New Roman"/>
          <w:sz w:val="20"/>
        </w:rPr>
        <w:t xml:space="preserve">” with regard to a Sale and Lease Back Transaction with respect to any Principal Property means, at the time of determination,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of the Principal Property subject to the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Sale and Lease Back Transaction. </w:t>
            </w:r>
          </w:p>
        </w:tc>
      </w:tr>
    </w:tbl>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as of any date on which we effect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 (ii) all goodwill, trade names, patents, unamortized debt discount and expense and any other like intangibles, to the extent included in said aggregate amount of assets, all as set forth on our most recent consolidated balance sheet and computed in accordance with GAAP. </w:t>
      </w:r>
    </w:p>
    <w:p>
      <w:pPr>
        <w:pStyle w:val="TextBody"/>
        <w:bidi w:val="0"/>
        <w:spacing w:before="240" w:after="0"/>
        <w:jc w:val="left"/>
        <w:rPr/>
      </w:pPr>
      <w:r>
        <w:rPr/>
        <w:t>“</w:t>
      </w:r>
      <w:r>
        <w:rPr>
          <w:rFonts w:ascii="Times New Roman" w:hAnsi="Times New Roman"/>
          <w:i/>
          <w:sz w:val="20"/>
        </w:rPr>
        <w:t>Consolidated Tangible Assets</w:t>
      </w:r>
      <w:r>
        <w:rPr>
          <w:rFonts w:ascii="Times New Roman" w:hAnsi="Times New Roman"/>
          <w:sz w:val="20"/>
        </w:rPr>
        <w:t xml:space="preserve">” means, as of any date on which we effect a transaction requiring such Consolidated Tangible Assets to be measured hereunder, the aggregate amount of assets (less applicable reserves) set forth on our most recent consolidated balance sheet and computed in accordance with GAAP.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determination. </w:t>
      </w:r>
    </w:p>
    <w:p>
      <w:pPr>
        <w:pStyle w:val="TextBody"/>
        <w:bidi w:val="0"/>
        <w:spacing w:before="240" w:after="0"/>
        <w:jc w:val="left"/>
        <w:rPr/>
      </w:pPr>
      <w:r>
        <w:rPr/>
        <w:t>“</w:t>
      </w:r>
      <w:r>
        <w:rPr>
          <w:rFonts w:ascii="Times New Roman" w:hAnsi="Times New Roman"/>
          <w:i/>
          <w:sz w:val="20"/>
        </w:rPr>
        <w:t>Net Available Proceeds</w:t>
      </w:r>
      <w:r>
        <w:rPr>
          <w:rFonts w:ascii="Times New Roman" w:hAnsi="Times New Roman"/>
          <w:sz w:val="20"/>
        </w:rPr>
        <w:t xml:space="preserve">” from any Sale and Lease Back Transaction by us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 Transaction or received in any other noncash form) therefrom by us or our Subsidiary, net of (i) all legal, title and recording tax expenses, commissions and other fees and expenses incurred and all Federal, state, provincial, foreign and local taxes required to be accrued as a liability as a consequence of such Sale and Lease Back Transaction; (ii) all payments made by us or our Subsidiary on any debt which is secured in whole or in part by any such properties and assets in accordance with the terms of any lien upon or with respect 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our minority interest holders in Subsidiaries or joint ventures as a result of such Sale and Lease Back Transaction.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any single parcel of real property or any permanent improvement thereon (i) owned by us or any of our Subsidiaries located in the United States, including our principal corporate office, any manufacturing facility or plant or any portion thereof and (ii) having a book value, as of the date of determination, in excess of 3% of our most recently calculated Consolidated Net Tangible Assets. Principal Property does not include any property that our board of directors has determined not to be of material importance to the business conducted by our Subsidiaries and us,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As of August 1, 2026, we had one Principal Property. </w:t>
      </w:r>
    </w:p>
    <w:p>
      <w:pPr>
        <w:pStyle w:val="TextBody"/>
        <w:bidi w:val="0"/>
        <w:spacing w:before="240" w:after="0"/>
        <w:jc w:val="left"/>
        <w:rPr/>
      </w:pPr>
      <w:r>
        <w:rPr/>
        <w:t>“</w:t>
      </w:r>
      <w:r>
        <w:rPr>
          <w:rFonts w:ascii="Times New Roman" w:hAnsi="Times New Roman"/>
          <w:i/>
          <w:sz w:val="20"/>
        </w:rPr>
        <w:t>Principal Subsidiary</w:t>
      </w:r>
      <w:r>
        <w:rPr>
          <w:rFonts w:ascii="Times New Roman" w:hAnsi="Times New Roman"/>
          <w:sz w:val="20"/>
        </w:rPr>
        <w:t xml:space="preserve">” means any Subsidiary which owns any Principal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Sale and Lease Back Transaction</w:t>
      </w:r>
      <w:r>
        <w:rPr>
          <w:rFonts w:ascii="Times New Roman" w:hAnsi="Times New Roman"/>
          <w:sz w:val="20"/>
        </w:rPr>
        <w:t xml:space="preserve">”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Mergers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notes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notice or lapse of time, or both, would become an Event of Default, shall have occurred and be continuing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deliver to the trustee prior to the consummation of the proposed transaction an officers’ certificate to the foregoing effect and an opinion of counsel stating that the proposed transaction complies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ours may consolidate with, merge into or transfer all or part of its properties to us. Neither an officers’ certificate nor an opinion of counsel shall be required to be delivered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Any of the following constitutes an Event of Default with respect to each series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on such series of notes when it becomes due and payable, and continuance of that default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premium on such series of notes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by us in the indenture (other than a covenant that has been included in the base indenture or a separate supplemental indenture solely for the benefit of a series of debt securities other than the notes of the applicable series), which default continues uncured for a period of 90 days after we receive written notice from the trustee or we and the trustee receive written notice from the holders of not less than 25% in principal amount of the outstanding notes of the applicable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our failure or the failure of any of our Subsidiaries to pay indebtedness for money we borrowed or any of our Subsidiaries borrowed in an aggregate principal amount of at least $300 million,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 of such series or (2) acceleration of the maturity of indebtedness for money we borrowed or any of our Subsidiaries borrowed in an aggregate principal amount of at least $300 million,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 of the applicable series; provided, however, that, if the default under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instrument is cured by us, or waived by the holders of the indebtedness, in each case, as permitted by the governing instrument, then, unless the maturity of such series of notes has been accelerated in accordance with the indenture, the Event of Default under the indenture governing such notes caused by such default will be deemed likewise to be cured or waived;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involving 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is also subject to defeasance and discharge as described under the captions “Defeasance of Debt Securities and Certain Covenants in Certain Circumstances” and “Satisfaction and Discharge Prior to Maturity”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will be represented by one or more permanent global certificates (each, a “Global Note,” and collectively, the “Global Notes”) deposited with, or on behalf of, the trustee as custodian for DTC and registered in the name of Cede &amp; Co. (DTC’s partnership nominee), for credit to an account of a direct or indirect participant in DTC (including Euroclear Bank SA/NV or Clearstream Banking S.A.). Unless and until certificated notes are issued under the limited circumstances described in the accompanying prospectus, no beneficial owner of a note shall be entitled to receive a definitive certificate representing notes. So long as DTC or any successor depositary (collectively, the “Depositary”) or its nominee is the registered owner of the Global Notes, the Depositary, or such nominee, as the case may be, will be considered to be the sole owner or holder of the notes for all purposes of the indenture. Beneficial interests in the Global Notes will be represented through book-entry accounts of financial institutions acting on behalf of beneficial owners as direct and indirect participants in DTC. Investors may elect to hold interests in the Global Notes through DTC either directly if they are participants in DTC or indirectly through organizations that are participants in DTC (including Euroclear Bank SA/NV or Clearstream Banking S.A.). </w:t>
      </w:r>
    </w:p>
    <w:p>
      <w:pPr>
        <w:pStyle w:val="TextBody"/>
        <w:bidi w:val="0"/>
        <w:spacing w:before="360" w:after="0"/>
        <w:jc w:val="left"/>
        <w:rPr>
          <w:rFonts w:ascii="Times New Roman" w:hAnsi="Times New Roman"/>
          <w:b/>
          <w:sz w:val="20"/>
        </w:rPr>
      </w:pPr>
      <w:r>
        <w:rPr>
          <w:rFonts w:ascii="Times New Roman" w:hAnsi="Times New Roman"/>
          <w:b/>
          <w:sz w:val="20"/>
        </w:rPr>
        <w:t xml:space="preserve">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Initial settlement for the notes will be made in immediately available funds. Secondary market trading between DTC participants will occur in the ordinary way in accordance with DTC rules and will be settled in immediately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rom72941_8"/>
      <w:bookmarkEnd w:id="10"/>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material U.S. federal income tax considerations related to the purchase, ownership and disposition of the notes. This summary is based upon provisions of the U.S. Internal Revenue Code of 1986, as amended (the “Code”), applicable regulations, administrative rulings and judicial decisions, all as in effect as of the date of this prospectus supplement, any of which may subsequently be changed, possibly retroactively, or interpreted differently by the U.S. Internal Revenue Service (the “IRS”), so as to result in U.S. federal income tax consequences different from those discussed below. This summary deals only with notes held as capital assets within the meaning of Section 1221 of the Code (generally for investment purposes) by a beneficial owner who purchases notes for cash on original issuance at the initial offering price at which a substantial amount of the notes are sold for cash to persons other than bond houses, brokers, or similar persons or organizations acting in the capacity of underwriters, placement agents or wholesalers, which we refer to as the “issue price.” This summary does not address all aspects of U.S. federal income tax related to the purchase, ownership and disposition of the notes and does not address all tax consequences that may be relevant to holders in light of their personal circumstances or particular situations,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holders who may be subject to special tax treatment, including dealers in securities or currencies, banks and other financial institutions, regulated investment companies, real estate investment trusts, tax-exempt entities, insurance companies and traders in securities that elect to use a mark-to-market method of accounting for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persons holding notes as a part of a hedging, integrated, conversion or constructive sale transaction or a straddle;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U.S. holders (as defined below) of notes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persons required for U.S. federal income tax purposes to conform the timing of income accruals with respect to the notes to their financial statements under Section 451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partnerships or other pass-through entities and their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to certain former citizens or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alternative minimum tax consequences,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application of the Medicare tax on net investment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 local or foreign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estate or gift tax consequences,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notes, the tax treatment of a partner will generally depend upon the status of the partner and the activities of the partnership. A beneficial owner that is a partnership and partners in such a partnership should consult their tax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OF MATERIAL UNITED STATES FEDERAL INCOME TAX CONSIDERATIONS IS FOR GENERAL INFORMATION ONLY AND IS NOT TAX ADVICE FOR ANY PARTICULAR INVESTOR. THIS SUMMARY DOES NOT ADDRESS ALL U.S. FEDERAL TAX CONSIDERATIONS OR THE TAX CONSIDERATIONS ARISING UNDER THE LAWS OF ANY FOREIGN, STATE OR LOCAL JURISDICTION. IF YOU ARE CONSIDERING THE PURCHASE OF NOTES, YOU SHOULD CONSULT YOUR TAX ADVISORS CONCERNING THE U.S. FEDERAL INCOME AND OTHER TAX CONSEQUENCES TO YOU IN LIGHT OF YOUR OWN SPECIFIC SITUATION, AS WELL AS CONSEQUENCES ARISING UNDER THE LAWS OF ANY OTHER TAXING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this discussion, we use the term “U.S. holder” to refer to a beneficial owner of notes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or arrangement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use the term “non-U.S. holder” to describe a beneficial owner (other than a partnership or other entity or arrangement treated as a partnership for U.S. federal income tax purposes) of notes that is not a U.S. holder. Non-U.S. holders should consult their tax advisors to determine the U.S. federal, state, local and other tax consequences that may be relevant to them.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Payments </w:t>
      </w:r>
    </w:p>
    <w:p>
      <w:pPr>
        <w:pStyle w:val="TextBody"/>
        <w:bidi w:val="0"/>
        <w:spacing w:before="120" w:after="0"/>
        <w:jc w:val="left"/>
        <w:rPr>
          <w:rFonts w:ascii="Times New Roman" w:hAnsi="Times New Roman"/>
          <w:sz w:val="20"/>
        </w:rPr>
      </w:pPr>
      <w:r>
        <w:rPr>
          <w:rFonts w:ascii="Times New Roman" w:hAnsi="Times New Roman"/>
          <w:sz w:val="20"/>
        </w:rPr>
        <w:t xml:space="preserve">In certain circumstances, we may be obligated to pay certain additional amounts on the notes. For example, if we are required to repurchase notes in connection with a Change of Control Triggering Event as described in “Description of the Notes—Change of Control Offer,” we must pay a 1% premium. In addition, if we exercise our option to redeem any Notes prior to the applicable Par Call Date as described in “Description of the Notes—Optional Redemption,” we may be required to pay a redemption price in excess of the principal amount of such Notes. The possibility of such payments may implicate special rules under U.S. Treasury Regulations governing “contingent payment debt instruments.” According to those regulations, the possibility that additional payments will be made will not cause the notes to be contingent payment debt instruments if, as of the date the notes are issued, there is only a remote chance that such payments will be made or certain other exceptions apply. We have determined and intend to take the position (and this discussion assumes) that the possibility of such events occurring will not subject the notes to the contingent payment debt instrument rules. </w:t>
      </w:r>
    </w:p>
    <w:p>
      <w:pPr>
        <w:pStyle w:val="TextBody"/>
        <w:bidi w:val="0"/>
        <w:spacing w:before="240" w:after="0"/>
        <w:jc w:val="left"/>
        <w:rPr>
          <w:rFonts w:ascii="Times New Roman" w:hAnsi="Times New Roman"/>
          <w:sz w:val="20"/>
        </w:rPr>
      </w:pPr>
      <w:r>
        <w:rPr>
          <w:rFonts w:ascii="Times New Roman" w:hAnsi="Times New Roman"/>
          <w:sz w:val="20"/>
        </w:rPr>
        <w:t xml:space="preserve">Our determination that the notes are not contingent payment debt instruments is binding on holders for U.S. federal income tax purposes unless they disclose their contrary positions to the IRS in the manner required by applicable U.S. Treasury Regulations. Our determination that the notes are not contingent payment debt instruments is not, however, binding on the IRS. If the IRS were to successfully challenge our determination and the notes were treated as contingent payment debt instruments, U.S. holders would be required, among other things, to (i) accrue interest income based on a projected payment schedule and comparable yield, which may be a higher rate than the stated interest rate on the notes, regardless of their method of tax accounting and (ii) possibly treat as ordinary income, rather than capital gain, some or all of any gain recognized on a sale, exchange, redemption or other taxable disposition of a note. In the event that any of the above contingencies were to occur, it would affect the character, amount and timing of the income recognized by a U.S. holder.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 no more than a </w:t>
      </w:r>
      <w:r>
        <w:rPr>
          <w:rFonts w:ascii="Times New Roman" w:hAnsi="Times New Roman"/>
          <w:i/>
          <w:sz w:val="20"/>
        </w:rPr>
        <w:t xml:space="preserve">de minimis </w:t>
      </w:r>
      <w:r>
        <w:rPr>
          <w:rFonts w:ascii="Times New Roman" w:hAnsi="Times New Roman"/>
          <w:sz w:val="20"/>
        </w:rPr>
        <w:t xml:space="preserve">amount of original issue discount (“OID”) for U.S. federal income tax purposes, in which case interest on a note generally will be taxable to a U.S. holder as ordinary income at the time it is received or accrued in accordance with the U.S. holder’s usual method of accounting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however, the issue price of the applicable series of notes is less than their stated principal amount and the difference is more than a </w:t>
      </w:r>
      <w:r>
        <w:rPr>
          <w:rFonts w:ascii="Times New Roman" w:hAnsi="Times New Roman"/>
          <w:i/>
          <w:sz w:val="20"/>
        </w:rPr>
        <w:t xml:space="preserve">de minimis </w:t>
      </w:r>
      <w:r>
        <w:rPr>
          <w:rFonts w:ascii="Times New Roman" w:hAnsi="Times New Roman"/>
          <w:sz w:val="20"/>
        </w:rPr>
        <w:t xml:space="preserve">amount (as set forth in the applicable U.S. Treasury Regulations), a U.S. holder of such series of notes generally will be required to include the difference in income as OID as it accrues on a constant yield-to-maturity basis (as set forth in the applicable U.S. Treasury Regulations) whether or not it receives cash payments and regardless of its method of tax accounting.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upon the sale, exchange, redemption or other taxable disposition of a note equal to the difference between the amount realized and such U.S. holder’s adjusted tax basis in the note. The amount realized will equal the amount of the cash and the fair market value of any property received in exchange for the note (other than amounts attributable to accrued but unpaid interest, which amounts will be treated as ordinary interest income for U.S. federal income tax purposes to the extent not previously included in income). A U.S. holder’s tax basis in a note will generally be equal to the amount that such U.S. holder paid for the note, increased by OID included in income by the U.S. holder with respect to the note, if any. In general, any gain or loss recognized on a taxable disposition of the note will be capital gain or loss. If, at the time of the sale, exchange, redemption or other taxable disposition of the note, a U.S. holder is treated as holding the note for more than one year, such capital gain or loss will be long-term capital gain or loss. If the U.S. holder is treated as holding the note for one year or less, such capital gain or loss will be short-term capital gain or loss. In the case of certain non-corporate U.S. holders (including individuals), long-term capital gain generally is subject to U.S. federal income tax at a lower rate than short-term capital gain, which is taxed at ordinary income rates. A U.S. holder’s ability to deduct capital losses is subject to significant limitations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payments of interest on the notes and to the proceeds of a sale, exchange, redemption or other taxable disposition of a note paid to a U.S. holder unless the U.S. holder is an exempt recipient. Backup withholding at the applicable rate will apply to those payments if the U.S. holder fails to provide its correct taxpayer identification number or certification of its exempt status (generally by providing an IRS Form W-9 or an approved substitute), or if the U.S. holder is notified by the IRS that the U.S. holder has failed to report in full payments of interest and dividend income. Backup withholding is not an additional tax. Any amounts withheld under the backup withholding rules will be allowed as a refund or a credit against a 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In general, payments of interest on the notes to a non-U.S. holder will be considered “portfolio interest” and, subject to the discussions below of income effectively connected with a U.S. trade or business, backup withholding, and the Foreign Account Tax Compliance Act, will not be subject to U.S. federal income or withholding tax,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directly or indirectly, actually or constructively, own 10% or more of the total combined voting power of all classes of our stock entitled to vote within the meaning of Section 871(h)(3)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for U.S. federal income tax purposes, a controlled foreign corporation that is related (actually or constructively) to us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whose receipt of interest on a note is described in Section 881(c)(3)(A) of the Code;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the non-U.S. holder provides its name, address and taxpayer identification number, if any, and certifies, under penalties of perjury, that it is not a U.S. person (which certification may be made on an IRS Form W-8BEN, W-8BEN-E or other applicable form) or (b) the non-U.S. holder holds the notes through certain foreign intermediaries or certain foreign partnerships, and the non-U.S. holder and the foreign intermediary or foreign partnership satisfy the certification requirements of applicable U.S. Treasury Regulations. Special certification rules apply to non-U.S. holders that are pass-through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cannot satisfy the requirements described above, payments of interest generally will be subject to a 30% U.S. federal withholding tax, unless the non-U.S. holder provides us with a properly executed (i) IRS Form W-8BEN or W-8BEN-E (or other applicable form) claiming an exemption from or reduction in withholding under the benefit of an applicable income tax treaty or (ii) IRS Form W-8ECI (or other applicable form) stating that interest paid on the notes is not subject to withholding tax because it is effectively connected with the non-U.S. holder’s conduct of a trade or business within the United States and includable in the non-U.S. holder’s gross income.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engaged in a trade or business within the United States and interest on the notes is effectively connected with the conduct of that trade or business and, if required by an applicable income tax treaty, is attributable to a U.S. permanent establishment or fixed base, then, although the non-U.S. holder will be exempt from the 30% withholding tax (provided the certification requirements discussed above are satisfied), the non-U.S. holder generally will be subject to U.S. federal income tax on that interest on a net income basis at regular U.S. federal income tax rates and generally in the same manner as if the non-U.S. holder were a U.S. holder. In addition, if a non-U.S. holder is a foreign corporation, it may be subject to a branch profits tax equal to 30% (or lesser rate under an applicable income tax treaty) of its effectively connected earnings and profits for the taxable year, subject to certain adjustments.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the Foreign Account Tax Compliance Act, gain realized by a non-U.S. holder on the sale, exchange, redemption or other taxable disposition of a note (other than with respect to payments attributable to accrued interest, which will be taxed as described above under “—Consequences to Non-U.S. Holders—Payments of Interest”)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gain is effectively connected with the non-U.S. holder’s conduct of a trade or business within the United States (and, if required by an applicable income tax treaty, is attributable to a U.S. permanent establishment or fixed base);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is described in the first bullet point above, it generally will be subject to tax on the net gain derived from the sale, exchange, redemption or other taxable disposition of the notes at regular U.S. federal income tax rates and generally in the same manner as if the non-U.S. holder were a U.S. holder. In addition, if a non-U.S. holder is a foreign corporation, it may be subject to a branch profits tax equal to 30% (or lesser rate under an applicable income tax treaty) of its effectively connected earnings and profits for the taxable year, subject to certain adjustments. If a non-U.S. holder is an individual described in the second bullet point above, such holder will be subject to a flat 30% tax (unless an applicable income tax treaty provides otherwise) on the gain derived from the sale, exchange, redemption or other taxable disposition, which may be offset by certain U.S. source capital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must report annually to the IRS and to non-U.S. holders the amount of interest paid to non-U.S. holders on the notes and the amount of tax, if any, withheld with respect to those payments. Copies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returns reporting such interest payments and withholding may also be made available to the tax authorities in the country in which a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In general, a non-U.S. holder will not be subject to backup withholding with respect to payments of interest that we make on the notes, provided the certification described above in the last bullet point under “—Consequences to Non-U.S. Holders—Payments of Interest” has been received and we do not have actual knowledge or reason to know that the holder is a U.S. person, as defined under the Code, who is not an exempt recipient. However, a non-U.S. holder will be subject to information reporting and, depending on the circumstances, backup withholding at the applicable rate with respect to payments of the proceeds of the sale of a note within the United States or conducted through certain U.S.-related financial intermediaries, unless the certification described above has been received, and the payor does not have actual knowledge or reason to know that a holder is a U.S. person, as defined under the Code, who is not an exempt recipient, or the non-U.S.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will be allowed as a refund or a credit against a non-U.S. holder’s U.S. federal income tax liability, provided the required information is timely furnished to the IRS. The backup withholding and information reporting rules are complex, and non-U.S. holders are urged to consult their tax advisors regarding application of these rules to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Code commonly referred to as the Foreign Account Tax Compliance Act, or FATCA, generally impose a 30% withholding tax on payments of interest on the notes if paid to a foreign entity (including, in some cases, when such foreign entity is acting as an intermediary) unless (i) if the foreign entity is a “foreign financial institution,” the foreign entity undertakes certain due diligence, reporting, withholding, and certification obligations, (ii) if the foreign entity is a “non-financial foreign entity,” the foreign entity identifies certain of its U.S. investors or provides certification that it does not have any such investors, or (iii) the foreign entity is otherwise exempt from FATCA. </w:t>
      </w:r>
    </w:p>
    <w:p>
      <w:pPr>
        <w:pStyle w:val="TextBody"/>
        <w:bidi w:val="0"/>
        <w:spacing w:before="240" w:after="0"/>
        <w:jc w:val="left"/>
        <w:rPr>
          <w:rFonts w:ascii="Times New Roman" w:hAnsi="Times New Roman"/>
          <w:sz w:val="20"/>
        </w:rPr>
      </w:pPr>
      <w:r>
        <w:rPr>
          <w:rFonts w:ascii="Times New Roman" w:hAnsi="Times New Roman"/>
          <w:sz w:val="20"/>
        </w:rPr>
        <w:t xml:space="preserve">While withholding under FATCA may also apply to gross proceeds from the sale, exchange or other taxable disposition of the notes (including settlement of the notes at maturity), under proposed U.S. Treasury Regulations, withholding on payments of gross proceeds is not required. Although such regulations are not final, applicable withholding agents may rely on the proposed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An intergovernmental agreement between the United States and an applicable foreign country may modify those requirements. If withholding under FATCA is required on any payment related to the notes, investors not otherwise subject to withholding (or that otherwise would be entitled to a reduced rate of withholding) on such payment may be required to seek a refund or credit from the IRS to obtain the benefit of such exemption (or reduction). Prospective investors are encouraged to consult their own tax advisors regarding the possible implications of FATCA on their investment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rom72941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J.P. Morgan Securities LLC, as representative for the underwriters for this offering of notes, have entered into an underwriting agreement, dated September 15, 2026, with respect to the notes. Under the terms and subject to the conditions contained in the underwriting agreement, we have agreed to sell to the underwriters named below, and each underwriter has severally agreed to purchase, at the initial public offering price less the underwriting discounts set forth on the cover page of this prospectus supplement, the aggregate principal amounts of the notes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8"/>
        <w:gridCol w:w="189"/>
        <w:gridCol w:w="140"/>
        <w:gridCol w:w="1244"/>
        <w:gridCol w:w="60"/>
        <w:gridCol w:w="189"/>
        <w:gridCol w:w="140"/>
        <w:gridCol w:w="1244"/>
        <w:gridCol w:w="60"/>
        <w:gridCol w:w="189"/>
        <w:gridCol w:w="140"/>
        <w:gridCol w:w="1468"/>
        <w:gridCol w:w="60"/>
        <w:gridCol w:w="188"/>
        <w:gridCol w:w="140"/>
        <w:gridCol w:w="1468"/>
        <w:gridCol w:w="68"/>
      </w:tblGrid>
      <w:tr>
        <w:trPr/>
        <w:tc>
          <w:tcPr>
            <w:tcW w:w="321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2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89"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2029 Notes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2031 Notes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2033 Notes</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2036 Notes</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95,000,000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95,000,000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95,000,000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95,000,000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95,000,000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95,000,000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47,500,000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47,500,000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47,500,000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47,500,000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47,500,000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47,500,000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47,500,000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47,500,000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12,500,000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Roberts &amp; Ryan, Inc.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12,500,000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Blaylock Van, LLC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5,000,000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Drexel Hamilton, LLC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5,000,000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Guzman &amp; Company</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5,000,000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R. Seelaus &amp; Co., LLC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5,000,000</w:t>
            </w:r>
          </w:p>
        </w:tc>
        <w:tc>
          <w:tcPr>
            <w:tcW w:w="68"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5,000,000</w:t>
            </w:r>
          </w:p>
        </w:tc>
        <w:tc>
          <w:tcPr>
            <w:tcW w:w="68" w:type="dxa"/>
            <w:tcBorders/>
            <w:shd w:fill="CCEEFF" w:val="clear"/>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1,000,000,000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1,000,000,000</w:t>
            </w:r>
          </w:p>
        </w:tc>
        <w:tc>
          <w:tcPr>
            <w:tcW w:w="68" w:type="dxa"/>
            <w:tcBorders/>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underwriters are obligated to purchase all of the notes if they purchase any of the notes. The underwriting agreement also provides that if an underwriter defaults, the purchase commitments of non-defaulting underwriters may be increased or the offering of the notes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public offering price set forth on the cover of this prospectus supplement. Any notes sold by the underwriters to securities dealers may be sold at a discount from the public offering price of up to 0.300% of the principal amount of the 2029 Notes, up to 0.350% of the principal amount of the 2031 Notes, up to 0.375% of the principal amount of the 2033 Notes and up to 0.400% of the principal amount of the 2036 Notes. Any such securities dealers may resell the notes purchased from the underwriters to certain other brokers or dealers at a discount from the public offering price of up to 0.250% of the principal amount of the 2029 Notes, up to 0.250% of the principal amount of the 2031 Notes, up to 0.250% of the principal amount of the 2033 Notes and up to 0.250% of the principal amount of the 2036 Notes. After the initial public offering of the notes, the underwriters may change the public offering price and concession and discount to brokers or dealers. The offering of the notes by the underwriters is subject to receipt and acceptance and is subject to the underwriters’ right to reject any order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estimate that our out-of-pocket expenses for this offering, excluding the underwriting discounts, will be approximately $7.9 million.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new issues of securities with no established trading markets. Certain of the underwriters have advised us that they may make a market in the notes after completion of the offering, but they will not be obligated to do so and may in their sole discretion discontinue any market-making activities at any time without notice. We cannot assure you that a liquid trading market will develop for any series of notes, that you will be able to sell your notes at a particular time or that the prices you receive when you sell your notes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liabilities under the Securities Act or contribute to payments which the underwriters may be required to make in that respect.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September 17, 2026, which will be the second business day following the date of this prospectus supplement (this settlement cycle being referred to as “T+2”). Pursuant to Rule 15c6-1 under the Exchange Act, trades in the secondary market are generally required to settle in one business day unless the parties to any such trade expressly agree otherwise. Accordingly, purchasers who wish to trade the notes prior to one business day before delivery of the notes will be required, by virtue of the fact that the notes initially will settle in T+2, to specify alternative settlement arrangements to prevent a failed settlement, and should consult their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respective affiliates have, from time to time, performed, and may in the future perform, various financial advisory, commercial banking and investment banking services in the ordinary course of business for us and our affiliates, for which they received or will receive customary fees and expense reimbursement.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certain other of those underwriters or their affiliates are likely to hedge or otherwise reduce,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engage in stabilizing transactions, over-allotment transactions, syndicate covering transactions and penalty bids.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permit bids to purchase the underlying security so long as the stabilizing bids do not exceed a specified maximum.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Over-allotment involves sales by the underwriters of notes in excess of the principal amount of the notes the underwriters are obligated to purchase, which creates a syndicate short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involve purchases of the notes in the open market after the distribution has been completed in order to cover syndicate short positions. A short position is more likely to be created if the underwriters are concerned that there may be downward pressure on the price of the notes in the open market after pricing that could adversely affect investors who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representative to reclaim a selling concession from a syndicate member when the notes originally sold by the syndicate member are purchased in a stabilizing or syndicate covering transaction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by the underwriters in their sole discretion at any time and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ERISA Investors </w:t>
      </w:r>
    </w:p>
    <w:p>
      <w:pPr>
        <w:pStyle w:val="TextBody"/>
        <w:bidi w:val="0"/>
        <w:spacing w:before="120" w:after="0"/>
        <w:jc w:val="left"/>
        <w:rPr>
          <w:rFonts w:ascii="Times New Roman" w:hAnsi="Times New Roman"/>
          <w:sz w:val="20"/>
        </w:rPr>
      </w:pPr>
      <w:r>
        <w:rPr>
          <w:rFonts w:ascii="Times New Roman" w:hAnsi="Times New Roman"/>
          <w:sz w:val="20"/>
        </w:rPr>
        <w:t xml:space="preserve">Each purchaser of the notes that is (1) an employee benefit plan subject to Title I of the Employee Retirement Income Security Act of 1974, as amended (“ERISA”), (2) a plan or account subject to Section 4975 of the Code or (3) an entity deemed to hold “plan assets” of any such employee benefit plan, plan or account, by acceptance of a note, will be deemed to have represented and warranted that a fiduciary acting on its behalf is causing it to purchase the notes and that such fiduciary: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bank, an insurance carrier, a registered investment adviser, a registered broker-dealer or an independent fiduciary with at least $50 million of assets under management or control as specified in 29 CFR Section 2510.3-21(c)(1)(i) (excluding an IRA owner or a relative of an IRA owner if the purchaser is an IRA);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independent (for purposes of 29 CFR Section 2510.3-21(c)(1)) of Analog Devices, each underwriter and their respective affiliates (the “Transaction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capable of evaluating investment risks independently, both in general and with regard to particular transactions and investment strategies, including the purchaser’s transactions with the Transaction Parties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advised that none of the Transaction Parties has undertaken or will undertake to provide impartial investment advice, or has given or will give advice in a fiduciary capacity, in connection with the purchaser’s transactions with the Transaction Parties contemplated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“fiduciary” under Section 3(21)(A) of ERISA or Section 4975(e)(3) of the Code, or both, as applicable, with respect to, and is responsible for exercising independent judgment in evaluating, the purchaser’s transactions with the Transaction Parties contemplated hereby;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and acknowledges the existence and nature of the underwriting discount,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w:t>
      </w:r>
      <w:r>
        <w:rPr>
          <w:rFonts w:ascii="Times New Roman" w:hAnsi="Times New Roman"/>
          <w:i/>
          <w:sz w:val="20"/>
        </w:rPr>
        <w:t xml:space="preserve">Prospectus Exemptions </w:t>
      </w:r>
      <w:r>
        <w:rPr>
          <w:rFonts w:ascii="Times New Roman" w:hAnsi="Times New Roman"/>
          <w:sz w:val="20"/>
        </w:rPr>
        <w:t xml:space="preserve">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amendments to the foregoing)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 xml:space="preserve">Underwriting Conflicts </w:t>
      </w:r>
      <w:r>
        <w:rPr>
          <w:rFonts w:ascii="Times New Roman" w:hAnsi="Times New Roman"/>
          <w:sz w:val="20"/>
        </w:rPr>
        <w:t xml:space="preserve">(“NI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Directive 2014/65/EU (as amended, “MiFID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Directive (EU) 2016/97 (as amended, the “Insurance Distribution Directive”),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Regulation (EU) 2017/1129 (as amended,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EEA selling restriction is in addition to any other selling restrictions set out in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For these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neither: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client as defined in point (8) of Article 2(1) of Regulation (EU) No. 600/2014 as it forms part of domestic law by virtue of the European Union (Withdrawal) Act 2018 (the “EUWA”); nor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investor as defined in paragraph 15 of Schedule 1 to the Public Offers and Admissions to Trading Regulations 2024 (“POATRs”);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buy or subscribe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the notes in the United Kingdom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Kingdom, this prospectus supplement and the accompanying prospectus are being distributed only to, and are directed only at (i) persons having professional experience in matters relating to investments falling within Article 19(5) of the Financial Services and Markets Act 2000 (Financial Promotion) Order 2005 (as amended, the “Order”); (ii) persons falling within the meaning of Article 49(2)(a) to (d) (“high net worth companies, unincorporated associations etc.”) of the Order; (iii) persons outside the United Kingdom or (iv)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In the United Kingdom, the notes or any investment or investment activity to which this prospectus supplement and the accompanying prospectus relate are available only to, and will be engaged in only with, Relevant Persons. Any person in the United Kingdom that is not a Relevant Person should not act or rely on this prospectus supplement or the accompanying prospectus or any of their contents. </w:t>
      </w:r>
    </w:p>
    <w:p>
      <w:pPr>
        <w:pStyle w:val="TextBody"/>
        <w:bidi w:val="0"/>
        <w:spacing w:before="240" w:after="0"/>
        <w:jc w:val="left"/>
        <w:rPr>
          <w:rFonts w:ascii="Times New Roman" w:hAnsi="Times New Roman"/>
          <w:sz w:val="20"/>
        </w:rPr>
      </w:pPr>
      <w:r>
        <w:rPr>
          <w:rFonts w:ascii="Times New Roman" w:hAnsi="Times New Roman"/>
          <w:sz w:val="20"/>
        </w:rPr>
        <w:t xml:space="preserve">This UK selling restriction is in addition to any other selling restrictions set out in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(i) The notes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whether in Hong Kong or elsewhere, any advertisement, invitation or document relating to the notes, has been issued or is in the possession of any person for the purposes of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will not be issued or come into the possession of any person for the purposes of issue,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reviewed or approved by any regulatory authorities in Hong Kong, including the SFO and the Companies Registry of Hong Kong and neither has it been registered with the Registrar of Companies in Hong Kong. Accordingly, this prospectus supplement may not be issued, circulated or distributed (in whole or in part) in Hong Kong or be used for any purpose in Hong Kong, and the notes may not be offered for subscription to members of the public in Hong Kong. Each person acquiring the notes will be required, and is deemed by the acquisition of the notes, to confirm that such person is aware of the restriction on offers of the notes described in this prospectus supplement and the relevant offering documents and that such person is not acquiring, and has not been offered any notes in circumstances that contravene any such restrictions. You are advised to exercise caution in relation to the offer. If you are in any doubt about any of the contents of this prospectus supplement, you should obtain independent professional advice.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“FIEA”) and, accordingly, will not be offered or sold, directly or indirectly, in Japan or to, or for the benefit of, any Japanese Person or to others for reoffering or resale, directly or indirectly, in Japan or to, or for the benefit of, any Japanese Person, except pursuant to an exemption from the registration requirements of, and otherwise in compliance with, the FIEA and any other applicable laws, regulations and governmental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six months after that corporation or that trust has acquired the notes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i/>
          <w:sz w:val="20"/>
        </w:rPr>
        <w:t>Singapore SFA Product Classification</w:t>
      </w:r>
      <w:r>
        <w:rPr>
          <w:rFonts w:ascii="Times New Roman" w:hAnsi="Times New Roman"/>
          <w:sz w:val="20"/>
        </w:rPr>
        <w:t xml:space="preserve">: solely for the purposes of its obligations pursuant to sections 309B(1)(a) and 309B(1)(c) of the SFA, we have determined and hereby notified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in Switzerland.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notes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South 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rom72941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of the notes will be passed upon for us by Sidley Austin LLP. The underwriters have been represented by Cravath, Swaine &amp; Moore LLP. </w:t>
      </w:r>
    </w:p>
    <w:p>
      <w:pPr>
        <w:pStyle w:val="TextBody"/>
        <w:bidi w:val="0"/>
        <w:spacing w:before="480" w:after="0"/>
        <w:jc w:val="center"/>
        <w:rPr>
          <w:rFonts w:ascii="Times New Roman" w:hAnsi="Times New Roman"/>
          <w:b/>
          <w:sz w:val="20"/>
        </w:rPr>
      </w:pPr>
      <w:bookmarkStart w:id="13" w:name="supprom72941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Analog Devices, Inc. appearing in Analog Devices, Inc.’s Annual Report (Form 10-K) for the year ended November 1, 2025 and the effectiveness of Analog Devices, Inc.’s internal control over financial reporting as of November 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14" w:name="supprom72941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http://www.analog.com. The information contained on, or that can be accessed through, our website is not a part of this prospectus supplement.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upprom72941_13"/>
      <w:bookmarkEnd w:id="1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and the accompanying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001-07819) and any future filings that we make with the SEC under Sections 13(a), 13(c), 14 or 15(d) of the Exchange Act, until the offering of the notes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November 1, 2025, as filed with the SEC on November  25, 2025, including the information specifically incorporated by reference into the Annual Report on </w:t>
            </w:r>
            <w:hyperlink r:id="rId3">
              <w:r>
                <w:rPr>
                  <w:rStyle w:val="InternetLink"/>
                  <w:rFonts w:ascii="Times New Roman" w:hAnsi="Times New Roman"/>
                  <w:sz w:val="20"/>
                </w:rPr>
                <w:t>Form 10-K</w:t>
              </w:r>
            </w:hyperlink>
            <w:r>
              <w:rPr>
                <w:rFonts w:ascii="Times New Roman" w:hAnsi="Times New Roman"/>
                <w:sz w:val="20"/>
              </w:rPr>
              <w:t xml:space="preserve">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for our 2026 Annual Meeting of Stockholders, as filed with the SEC on January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Reports on Form 10-Q for the fiscal quarter ended January 31, 2026, as filed with the SEC on </w:t>
            </w:r>
            <w:hyperlink r:id="rId5">
              <w:r>
                <w:rPr>
                  <w:rStyle w:val="InternetLink"/>
                  <w:rFonts w:ascii="Times New Roman" w:hAnsi="Times New Roman"/>
                  <w:sz w:val="20"/>
                </w:rPr>
                <w:t>February 18, 2026</w:t>
              </w:r>
            </w:hyperlink>
            <w:r>
              <w:rPr>
                <w:rFonts w:ascii="Times New Roman" w:hAnsi="Times New Roman"/>
                <w:sz w:val="20"/>
              </w:rPr>
              <w:t xml:space="preserve">, for the fiscal quarter ended May 2, 2026, as filed with the SEC on </w:t>
            </w:r>
            <w:hyperlink r:id="rId6">
              <w:r>
                <w:rPr>
                  <w:rStyle w:val="InternetLink"/>
                  <w:rFonts w:ascii="Times New Roman" w:hAnsi="Times New Roman"/>
                  <w:sz w:val="20"/>
                </w:rPr>
                <w:t>May 20, 2026</w:t>
              </w:r>
            </w:hyperlink>
            <w:r>
              <w:rPr>
                <w:rFonts w:ascii="Times New Roman" w:hAnsi="Times New Roman"/>
                <w:sz w:val="20"/>
              </w:rPr>
              <w:t xml:space="preserve"> and for the fiscal quarter ended August 1, 2026, as filed with the SEC on </w:t>
            </w:r>
            <w:hyperlink r:id="rId7">
              <w:r>
                <w:rPr>
                  <w:rStyle w:val="InternetLink"/>
                  <w:rFonts w:ascii="Times New Roman" w:hAnsi="Times New Roman"/>
                  <w:sz w:val="20"/>
                </w:rPr>
                <w:t>August 19,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8">
              <w:r>
                <w:rPr>
                  <w:rStyle w:val="InternetLink"/>
                  <w:rFonts w:ascii="Times New Roman" w:hAnsi="Times New Roman"/>
                  <w:sz w:val="20"/>
                </w:rPr>
                <w:t>January 23, 2026</w:t>
              </w:r>
            </w:hyperlink>
            <w:r>
              <w:rPr>
                <w:rFonts w:ascii="Times New Roman" w:hAnsi="Times New Roman"/>
                <w:sz w:val="20"/>
              </w:rPr>
              <w:t xml:space="preserve"> (Item 5.02 only), </w:t>
            </w:r>
            <w:hyperlink r:id="rId9">
              <w:r>
                <w:rPr>
                  <w:rStyle w:val="InternetLink"/>
                  <w:rFonts w:ascii="Times New Roman" w:hAnsi="Times New Roman"/>
                  <w:sz w:val="20"/>
                </w:rPr>
                <w:t>February  18, 2026</w:t>
              </w:r>
            </w:hyperlink>
            <w:r>
              <w:rPr>
                <w:rFonts w:ascii="Times New Roman" w:hAnsi="Times New Roman"/>
                <w:sz w:val="20"/>
              </w:rPr>
              <w:t xml:space="preserve"> (Item 8.01 and Exhibit 99.2 of Item 9.01 only), </w:t>
            </w:r>
            <w:hyperlink r:id="rId10">
              <w:r>
                <w:rPr>
                  <w:rStyle w:val="InternetLink"/>
                  <w:rFonts w:ascii="Times New Roman" w:hAnsi="Times New Roman"/>
                  <w:sz w:val="20"/>
                </w:rPr>
                <w:t>March  12, 2026</w:t>
              </w:r>
            </w:hyperlink>
            <w:r>
              <w:rPr>
                <w:rFonts w:ascii="Times New Roman" w:hAnsi="Times New Roman"/>
                <w:sz w:val="20"/>
              </w:rPr>
              <w:t xml:space="preserve">, </w:t>
            </w:r>
            <w:hyperlink r:id="rId11">
              <w:r>
                <w:rPr>
                  <w:rStyle w:val="InternetLink"/>
                  <w:rFonts w:ascii="Times New Roman" w:hAnsi="Times New Roman"/>
                  <w:sz w:val="20"/>
                </w:rPr>
                <w:t>July  2, 2026</w:t>
              </w:r>
            </w:hyperlink>
            <w:r>
              <w:rPr>
                <w:rFonts w:ascii="Times New Roman" w:hAnsi="Times New Roman"/>
                <w:sz w:val="20"/>
              </w:rPr>
              <w:t xml:space="preserve">, and </w:t>
            </w:r>
            <w:hyperlink r:id="rId12">
              <w:r>
                <w:rPr>
                  <w:rStyle w:val="InternetLink"/>
                  <w:rFonts w:ascii="Times New Roman" w:hAnsi="Times New Roman"/>
                  <w:sz w:val="20"/>
                </w:rPr>
                <w:t>July 29,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us pursuant to Sections 13(a), 13(c), 14 or 15(d) of the Exchange Act, after the date of this prospectus supplement and before the termination of the offering shall also be deemed to be incorporated herein by reference. The most recent information that we file with the SEC automatically updates and supersedes older information. The information contained in any such filing will be deemed to be a part of this prospectus supplement, commencing on the date on which the document is filed. </w:t>
      </w:r>
    </w:p>
    <w:p>
      <w:pPr>
        <w:pStyle w:val="TextBody"/>
        <w:bidi w:val="0"/>
        <w:spacing w:before="240" w:after="0"/>
        <w:jc w:val="left"/>
        <w:rPr>
          <w:rFonts w:ascii="Times New Roman" w:hAnsi="Times New Roman"/>
          <w:sz w:val="20"/>
        </w:rPr>
      </w:pPr>
      <w:r>
        <w:rPr>
          <w:rFonts w:ascii="Times New Roman" w:hAnsi="Times New Roman"/>
          <w:sz w:val="20"/>
        </w:rPr>
        <w:t xml:space="preserve">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One Analog Way </w:t>
      </w:r>
    </w:p>
    <w:p>
      <w:pPr>
        <w:pStyle w:val="TextBody"/>
        <w:bidi w:val="0"/>
        <w:spacing w:before="0" w:after="0"/>
        <w:jc w:val="center"/>
        <w:rPr>
          <w:rFonts w:ascii="Times New Roman" w:hAnsi="Times New Roman"/>
          <w:sz w:val="20"/>
        </w:rPr>
      </w:pPr>
      <w:r>
        <w:rPr>
          <w:rFonts w:ascii="Times New Roman" w:hAnsi="Times New Roman"/>
          <w:sz w:val="20"/>
        </w:rPr>
        <w:t xml:space="preserve">Wilmington, MA 01887 </w:t>
      </w:r>
    </w:p>
    <w:p>
      <w:pPr>
        <w:pStyle w:val="TextBody"/>
        <w:bidi w:val="0"/>
        <w:spacing w:before="0" w:after="0"/>
        <w:jc w:val="center"/>
        <w:rPr>
          <w:rFonts w:ascii="Times New Roman" w:hAnsi="Times New Roman"/>
          <w:sz w:val="20"/>
        </w:rPr>
      </w:pPr>
      <w:r>
        <w:rPr>
          <w:rFonts w:ascii="Times New Roman" w:hAnsi="Times New Roman"/>
          <w:sz w:val="20"/>
        </w:rPr>
        <w:t xml:space="preserve">Telephone: (781) 461-3282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19070" cy="7816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2719070" cy="7816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Analog Devices, Inc.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offer to sell the debt securities described in this prospectus. The debt securities will be senior unsecured obligations and will rank equally with all of our other senior unsecured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One Analog Way, Wilmington, Massachusetts 01887, and our telephone number is 781-935-5565. </w:t>
      </w:r>
    </w:p>
    <w:p>
      <w:pPr>
        <w:pStyle w:val="TextBody"/>
        <w:bidi w:val="0"/>
        <w:spacing w:before="240" w:after="0"/>
        <w:jc w:val="left"/>
        <w:rPr/>
      </w:pPr>
      <w:r>
        <w:rPr>
          <w:rFonts w:ascii="Times New Roman" w:hAnsi="Times New Roman"/>
          <w:b/>
          <w:sz w:val="24"/>
        </w:rPr>
        <w:t>Investing in these debt securities involves certain risks. See the information included under “</w:t>
      </w:r>
      <w:hyperlink w:anchor="toc72941_2">
        <w:r>
          <w:rPr>
            <w:rStyle w:val="InternetLink"/>
            <w:rFonts w:ascii="Times New Roman" w:hAnsi="Times New Roman"/>
            <w:b/>
            <w:sz w:val="24"/>
          </w:rPr>
          <w:t>Risk Factors</w:t>
        </w:r>
      </w:hyperlink>
      <w:r>
        <w:rPr>
          <w:rFonts w:ascii="Times New Roman" w:hAnsi="Times New Roman"/>
          <w:b/>
          <w:sz w:val="24"/>
        </w:rPr>
        <w:t xml:space="preserve">” included on page 5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21,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7294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4">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5">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6">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9">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72941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16" w:name="toc72941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this prospectus or such accompanying prospectus supplement or an offer to sell or the solicitation of an offer to buy such debt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The terms “the Company,” “Analog Devices,” “we,” “our,” “ours” and “us” refer to Analog Devices, Inc. and its subsidiaries on a consolidated basis, unless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oc72941_3"/>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https://www.sec.gov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https://www.analog.com</w:t>
      </w:r>
      <w:r>
        <w:rPr>
          <w:rFonts w:ascii="Times New Roman" w:hAnsi="Times New Roman"/>
          <w:sz w:val="20"/>
        </w:rPr>
        <w:t xml:space="preserve">. The information contained on, or that can be accessed through, our website is not a part of this prospectus and is not incorporated by reference. We have included our website address in this prospectus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72941_4"/>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October 28, 2023, as filed with the SEC on November 21, 2023, including the information specifically incorporated by reference into the Annual Report on Form 10-K from our </w:t>
            </w:r>
            <w:hyperlink r:id="rId15">
              <w:r>
                <w:rPr>
                  <w:rStyle w:val="InternetLink"/>
                  <w:rFonts w:ascii="Times New Roman" w:hAnsi="Times New Roman"/>
                  <w:sz w:val="20"/>
                </w:rPr>
                <w:t>Definitive Proxy Statement</w:t>
              </w:r>
            </w:hyperlink>
            <w:r>
              <w:rPr>
                <w:rFonts w:ascii="Times New Roman" w:hAnsi="Times New Roman"/>
                <w:sz w:val="20"/>
              </w:rPr>
              <w:t xml:space="preserve"> for our 2024 Annual Meeting of Stockholders, as filed with the SEC on January 19,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 on </w:t>
            </w:r>
            <w:hyperlink r:id="rId16">
              <w:r>
                <w:rPr>
                  <w:rStyle w:val="InternetLink"/>
                  <w:rFonts w:ascii="Times New Roman" w:hAnsi="Times New Roman"/>
                  <w:sz w:val="20"/>
                </w:rPr>
                <w:t>Form 10-Q</w:t>
              </w:r>
            </w:hyperlink>
            <w:r>
              <w:rPr>
                <w:rFonts w:ascii="Times New Roman" w:hAnsi="Times New Roman"/>
                <w:sz w:val="20"/>
              </w:rPr>
              <w:t xml:space="preserve"> for the fiscal quarter ended February 3, 2024, as filed with the SEC on February 21,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7">
              <w:r>
                <w:rPr>
                  <w:rStyle w:val="InternetLink"/>
                  <w:rFonts w:ascii="Times New Roman" w:hAnsi="Times New Roman"/>
                  <w:sz w:val="20"/>
                </w:rPr>
                <w:t>Form 10-Q</w:t>
              </w:r>
            </w:hyperlink>
            <w:r>
              <w:rPr>
                <w:rFonts w:ascii="Times New Roman" w:hAnsi="Times New Roman"/>
                <w:sz w:val="20"/>
              </w:rPr>
              <w:t xml:space="preserve"> for the fiscal quarter ended May 4, 2024, as filed with the SEC on May 22,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8">
              <w:r>
                <w:rPr>
                  <w:rStyle w:val="InternetLink"/>
                  <w:rFonts w:ascii="Times New Roman" w:hAnsi="Times New Roman"/>
                  <w:sz w:val="20"/>
                </w:rPr>
                <w:t>Form 10-Q</w:t>
              </w:r>
            </w:hyperlink>
            <w:r>
              <w:rPr>
                <w:rFonts w:ascii="Times New Roman" w:hAnsi="Times New Roman"/>
                <w:sz w:val="20"/>
              </w:rPr>
              <w:t xml:space="preserve"> for the fiscal quarter ended August 3, 2024, as filed with the SEC on August 21,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our Current Reports on Form 8-K, as filed with the SEC on</w:t>
            </w:r>
            <w:hyperlink r:id="rId19">
              <w:r>
                <w:rPr>
                  <w:rStyle w:val="InternetLink"/>
                  <w:rFonts w:ascii="Times New Roman" w:hAnsi="Times New Roman"/>
                  <w:sz w:val="20"/>
                </w:rPr>
                <w:t xml:space="preserve"> December 7, 2023</w:t>
              </w:r>
            </w:hyperlink>
            <w:r>
              <w:rPr>
                <w:rFonts w:ascii="Times New Roman" w:hAnsi="Times New Roman"/>
                <w:sz w:val="20"/>
              </w:rPr>
              <w:t xml:space="preserve">, </w:t>
            </w:r>
            <w:hyperlink r:id="rId20">
              <w:r>
                <w:rPr>
                  <w:rStyle w:val="InternetLink"/>
                  <w:rFonts w:ascii="Times New Roman" w:hAnsi="Times New Roman"/>
                  <w:sz w:val="20"/>
                </w:rPr>
                <w:t>January  19, 2024</w:t>
              </w:r>
            </w:hyperlink>
            <w:r>
              <w:rPr>
                <w:rFonts w:ascii="Times New Roman" w:hAnsi="Times New Roman"/>
                <w:sz w:val="20"/>
              </w:rPr>
              <w:t xml:space="preserve">, </w:t>
            </w:r>
            <w:hyperlink r:id="rId21">
              <w:r>
                <w:rPr>
                  <w:rStyle w:val="InternetLink"/>
                  <w:rFonts w:ascii="Times New Roman" w:hAnsi="Times New Roman"/>
                  <w:sz w:val="20"/>
                </w:rPr>
                <w:t>January  25, 2024</w:t>
              </w:r>
            </w:hyperlink>
            <w:r>
              <w:rPr>
                <w:rFonts w:ascii="Times New Roman" w:hAnsi="Times New Roman"/>
                <w:sz w:val="20"/>
              </w:rPr>
              <w:t xml:space="preserve"> (Item 5.02 only), </w:t>
            </w:r>
            <w:hyperlink r:id="rId22">
              <w:r>
                <w:rPr>
                  <w:rStyle w:val="InternetLink"/>
                  <w:rFonts w:ascii="Times New Roman" w:hAnsi="Times New Roman"/>
                  <w:sz w:val="20"/>
                </w:rPr>
                <w:t>February  21, 2024</w:t>
              </w:r>
            </w:hyperlink>
            <w:r>
              <w:rPr>
                <w:rFonts w:ascii="Times New Roman" w:hAnsi="Times New Roman"/>
                <w:sz w:val="20"/>
              </w:rPr>
              <w:t xml:space="preserve"> (Item 8.01 only), </w:t>
            </w:r>
            <w:hyperlink r:id="rId23">
              <w:r>
                <w:rPr>
                  <w:rStyle w:val="InternetLink"/>
                  <w:rFonts w:ascii="Times New Roman" w:hAnsi="Times New Roman"/>
                  <w:sz w:val="20"/>
                </w:rPr>
                <w:t>March  14, 2024</w:t>
              </w:r>
            </w:hyperlink>
            <w:r>
              <w:rPr>
                <w:rFonts w:ascii="Times New Roman" w:hAnsi="Times New Roman"/>
                <w:sz w:val="20"/>
              </w:rPr>
              <w:t xml:space="preserve">, </w:t>
            </w:r>
            <w:hyperlink r:id="rId24">
              <w:r>
                <w:rPr>
                  <w:rStyle w:val="InternetLink"/>
                  <w:rFonts w:ascii="Times New Roman" w:hAnsi="Times New Roman"/>
                  <w:sz w:val="20"/>
                </w:rPr>
                <w:t>and April 3,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One Analog Way </w:t>
      </w:r>
    </w:p>
    <w:p>
      <w:pPr>
        <w:pStyle w:val="TextBody"/>
        <w:bidi w:val="0"/>
        <w:spacing w:before="0" w:after="0"/>
        <w:jc w:val="center"/>
        <w:rPr>
          <w:rFonts w:ascii="Times New Roman" w:hAnsi="Times New Roman"/>
          <w:sz w:val="20"/>
        </w:rPr>
      </w:pPr>
      <w:r>
        <w:rPr>
          <w:rFonts w:ascii="Times New Roman" w:hAnsi="Times New Roman"/>
          <w:sz w:val="20"/>
        </w:rPr>
        <w:t xml:space="preserve">Wilmington, MA 01887 </w:t>
      </w:r>
    </w:p>
    <w:p>
      <w:pPr>
        <w:pStyle w:val="TextBody"/>
        <w:bidi w:val="0"/>
        <w:spacing w:before="0" w:after="0"/>
        <w:jc w:val="center"/>
        <w:rPr>
          <w:rFonts w:ascii="Times New Roman" w:hAnsi="Times New Roman"/>
          <w:sz w:val="20"/>
        </w:rPr>
      </w:pPr>
      <w:r>
        <w:rPr>
          <w:rFonts w:ascii="Times New Roman" w:hAnsi="Times New Roman"/>
          <w:sz w:val="20"/>
        </w:rPr>
        <w:t xml:space="preserve">Telephone: (781) 461-3282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oc72941_5"/>
      <w:bookmarkEnd w:id="19"/>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contain forward-looking statements regarding future events and our future results that are subject to the safe harbor created under the Private Securities Litigation Reform Act of 1995 and other safe harbors under the Securities Act of 1933, as amended, or the Securities Act, and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expected cost savings; the effect of new accounting pronouncements; our plans to integrate or realize the benefits or synergies expected of acquired businesses and technologies; our Global Repositioning Actions and Q4 2023 Plan (each as described in our Annual Report on Form 10-K for the fiscal year ended October 28, 2023 and our Quarterly Report on Form 10-Q for the quarter ended February 3, 2024); and other characterizations of future events or circumstances are forward-looking statements. Our actual results could differ materially from those anticipated in these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important factors and uncertainties, among others, could cause actual results to differ materially from those described in the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and unanticipated difficulties or expenditures relating to integrating Maxim Integrated Products, Inc. </w:t>
      </w:r>
    </w:p>
    <w:p>
      <w:pPr>
        <w:pStyle w:val="TextBody"/>
        <w:bidi w:val="0"/>
        <w:spacing w:before="240" w:after="0"/>
        <w:jc w:val="left"/>
        <w:rPr>
          <w:rFonts w:ascii="Times New Roman" w:hAnsi="Times New Roman"/>
          <w:sz w:val="20"/>
        </w:rPr>
      </w:pPr>
      <w:r>
        <w:rPr>
          <w:rFonts w:ascii="Times New Roman" w:hAnsi="Times New Roman"/>
          <w:sz w:val="20"/>
        </w:rPr>
        <w:t xml:space="preserve">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 on Form 10-Q for the quarter ended August 3, 2024 and our Current Reports on Form 8-K.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prospectus,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oc72941_2"/>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debt securities involves risk. You should carefully consider the risks and uncertainties described in the accompanying prospectus supplement, as well as all of the risk factors contained in our filings with the SEC that are incorporated by reference in this prospectus, including the risk factors in our Annual Report on Form 10-K for the fiscal year ended October 28, 2023, before making an investment decision pursuant to this prospectus and any accompanying prospectus supplement relating to a specific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72941_6"/>
      <w:bookmarkEnd w:id="21"/>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 We serve approximately 125,000 customers worldwide with more than 75,000 products in the industrial, automotive, communications, and consumer markets.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in Massachusetts in 1965. Our headquarters is near Boston, in Wilmington, Massachusetts. In addition, we have manufacturing facilities primarily in the United States, Ireland and Southeast Asia. Our common stock is listed on The Nasdaq Global Select Market under the symbol ADI and is included in the Standard &amp; Poor’s 500 Index.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One Analog Way, Wilmington, Massachusetts 01887, and our telephone number is (781) 935-5565.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72941_7"/>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and/or refinancing of debt, working capital, capital expenditures, repurchases of our common stock under our stock repurchase program and dividend payments. We have not determined the amount of net proceeds to be used specifically for such purposes. As a result, management will retain broad discretion over the allocation of the net proceeds of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72941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supplement to this prospectus, the debt securities will be our direct, unsecured obligations and will rank equally with all of our other unsecured and unsubordinated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“the Company,” “we,” “our” and “us” in this section, we mean Analog Devices, Inc. excluding, unless the context otherwise requires or as otherwise expressly stated,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(1) the title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(2) the price or prices (expressed as a percentage of the principal amount) at which we will sell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(3) any limit on the aggregate principal amount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(4) the date or dates on which we will pay the principal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(5) 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(6) the place or places where principal of, premium and any interest on the debt securities will be payable; </w:t>
      </w:r>
    </w:p>
    <w:p>
      <w:pPr>
        <w:pStyle w:val="TextBody"/>
        <w:bidi w:val="0"/>
        <w:spacing w:before="240" w:after="0"/>
        <w:jc w:val="left"/>
        <w:rPr>
          <w:rFonts w:ascii="Times New Roman" w:hAnsi="Times New Roman"/>
          <w:sz w:val="20"/>
        </w:rPr>
      </w:pPr>
      <w:r>
        <w:rPr>
          <w:rFonts w:ascii="Times New Roman" w:hAnsi="Times New Roman"/>
          <w:sz w:val="20"/>
        </w:rPr>
        <w:t xml:space="preserve">(7) the terms and conditions upon which we may redeem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(8) any obligation we have to redeem or purchase the debt securities pursuant to any sinking fund or analogous provisions or at the option of a holder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the dates on which and the price or prices at which we will repurchase debt securities at the option of the holders of debt securities and other detailed terms and provisions of these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(10) the denominations in which the debt securities will be issued, if other than denominations of $1,000 and any integral multiple thereof; </w:t>
      </w:r>
    </w:p>
    <w:p>
      <w:pPr>
        <w:pStyle w:val="TextBody"/>
        <w:bidi w:val="0"/>
        <w:spacing w:before="240" w:after="0"/>
        <w:jc w:val="left"/>
        <w:rPr>
          <w:rFonts w:ascii="Times New Roman" w:hAnsi="Times New Roman"/>
          <w:sz w:val="20"/>
        </w:rPr>
      </w:pPr>
      <w:r>
        <w:rPr>
          <w:rFonts w:ascii="Times New Roman" w:hAnsi="Times New Roman"/>
          <w:sz w:val="20"/>
        </w:rPr>
        <w:t xml:space="preserve">(11) whether the debt securities will be issued in the form of certificated debt securities or global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(12) the portion of the principal amount of the debt securities payable upon declaration of acceleration of the maturity date, if other than the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(13) the currency of denomination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(14) the designation of the currency, currencies or currency units in which payment of principal of, premium and any interest on the debt securities will be made; </w:t>
      </w:r>
    </w:p>
    <w:p>
      <w:pPr>
        <w:pStyle w:val="TextBody"/>
        <w:bidi w:val="0"/>
        <w:spacing w:before="240" w:after="0"/>
        <w:jc w:val="left"/>
        <w:rPr>
          <w:rFonts w:ascii="Times New Roman" w:hAnsi="Times New Roman"/>
          <w:sz w:val="20"/>
        </w:rPr>
      </w:pPr>
      <w:r>
        <w:rPr>
          <w:rFonts w:ascii="Times New Roman" w:hAnsi="Times New Roman"/>
          <w:sz w:val="20"/>
        </w:rPr>
        <w:t xml:space="preserve">(15) if payments of principal of, premium or any interest on the debt securities will be made in one or more currencies or currency units other than that or those in which the debt securities are denominated, the manner in which the exchange rate with respect to these payments will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(16) the manner in which the amounts of payment of principal of, premium or any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p>
      <w:pPr>
        <w:pStyle w:val="TextBody"/>
        <w:bidi w:val="0"/>
        <w:spacing w:before="240" w:after="0"/>
        <w:jc w:val="left"/>
        <w:rPr>
          <w:rFonts w:ascii="Times New Roman" w:hAnsi="Times New Roman"/>
          <w:sz w:val="20"/>
        </w:rPr>
      </w:pPr>
      <w:r>
        <w:rPr>
          <w:rFonts w:ascii="Times New Roman" w:hAnsi="Times New Roman"/>
          <w:sz w:val="20"/>
        </w:rPr>
        <w:t xml:space="preserve">(17) any provisions relating to any security provided for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(18) any addition to or change in the Events of Default described in this prospectus or in the indenture with respect to the debt securities and any change in the acceleration provisions described in this prospectus or in the indenture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(19) any addition to or change in the covenants described in this prospectus or in the indenture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(20) any listing on a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(21) the initial public offering price, if any is established for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(22) any other terms of the debt securities, which may supplement, modify or delete any provision of the indenture as it applies to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(23) any depositaries, interest rate calculation agents, exchange rate calculation agents or other agents with respect to the debt securities if other than those appointed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See “Forms of Securities” in this prospectus for a description of transfer and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240" w:after="0"/>
        <w:jc w:val="left"/>
        <w:rPr>
          <w:rFonts w:ascii="Times New Roman" w:hAnsi="Times New Roman"/>
          <w:sz w:val="20"/>
        </w:rPr>
      </w:pPr>
      <w:r>
        <w:rPr>
          <w:rFonts w:ascii="Times New Roman" w:hAnsi="Times New Roman"/>
          <w:sz w:val="20"/>
        </w:rPr>
        <w:t xml:space="preserve">(1) 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immediately after giving effect to the transaction, no Event of Default, and no event which, after notice or lapse of time, or both, would become an Event of Default, shall have occurred and be continuing under the indenture; and </w:t>
      </w:r>
    </w:p>
    <w:p>
      <w:pPr>
        <w:pStyle w:val="TextBody"/>
        <w:bidi w:val="0"/>
        <w:spacing w:before="240" w:after="0"/>
        <w:jc w:val="left"/>
        <w:rPr>
          <w:rFonts w:ascii="Times New Roman" w:hAnsi="Times New Roman"/>
          <w:sz w:val="20"/>
        </w:rPr>
      </w:pPr>
      <w:r>
        <w:rPr>
          <w:rFonts w:ascii="Times New Roman" w:hAnsi="Times New Roman"/>
          <w:sz w:val="20"/>
        </w:rPr>
        <w:t xml:space="preserve">(3) certain other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ours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i/>
          <w:sz w:val="20"/>
        </w:rPr>
        <w:t>Event of Default</w:t>
      </w:r>
      <w:r>
        <w:rPr>
          <w:rFonts w:ascii="Times New Roman" w:hAnsi="Times New Roman"/>
          <w:sz w:val="20"/>
        </w:rPr>
        <w:t xml:space="preserve">” means with respect to any series of debt securities, any of the following unless otherwise provided in the resolutions, officers’ certificate or supplemental indenture establishing such series: </w:t>
      </w:r>
    </w:p>
    <w:p>
      <w:pPr>
        <w:pStyle w:val="TextBody"/>
        <w:bidi w:val="0"/>
        <w:spacing w:before="240" w:after="0"/>
        <w:jc w:val="left"/>
        <w:rPr>
          <w:rFonts w:ascii="Times New Roman" w:hAnsi="Times New Roman"/>
          <w:sz w:val="20"/>
        </w:rPr>
      </w:pPr>
      <w:r>
        <w:rPr>
          <w:rFonts w:ascii="Times New Roman" w:hAnsi="Times New Roman"/>
          <w:sz w:val="20"/>
        </w:rPr>
        <w:t xml:space="preserve">(1) default in the payment of any interest upon any debt security of that series when it becomes due and payable, and continuance of that default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(2) default in the payment of principal of or any premium on any debt security of that series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(3) 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(4) certain events of bankruptcy, insolvency or reorganization involving us; and </w:t>
      </w:r>
    </w:p>
    <w:p>
      <w:pPr>
        <w:pStyle w:val="TextBody"/>
        <w:bidi w:val="0"/>
        <w:spacing w:before="240" w:after="0"/>
        <w:jc w:val="left"/>
        <w:rPr>
          <w:rFonts w:ascii="Times New Roman" w:hAnsi="Times New Roman"/>
          <w:sz w:val="20"/>
        </w:rPr>
      </w:pPr>
      <w:r>
        <w:rPr>
          <w:rFonts w:ascii="Times New Roman" w:hAnsi="Times New Roman"/>
          <w:sz w:val="20"/>
        </w:rPr>
        <w:t xml:space="preserve">(5) any other Event of Default provided with respect to debt securities of that series that is described in the applicable prospectus supplement accompanying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unless the trustee receives security or indemnity satisfactory to it against any cost,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240" w:after="0"/>
        <w:jc w:val="left"/>
        <w:rPr>
          <w:rFonts w:ascii="Times New Roman" w:hAnsi="Times New Roman"/>
          <w:sz w:val="20"/>
        </w:rPr>
      </w:pPr>
      <w:r>
        <w:rPr>
          <w:rFonts w:ascii="Times New Roman" w:hAnsi="Times New Roman"/>
          <w:sz w:val="20"/>
        </w:rPr>
        <w:t xml:space="preserve">(1) that holder has previously given to the trustee written notice of a continuing Event of Default with respect to debt securities of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(2) 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with respect to debt securities of that series if it in good faith determines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amend or supplement the indenture or the debt securities of one or more series without the consent of the holders of the outstanding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 to cure any ambiguity,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(2) to provide for a supplemental indenture as contemplated by Article V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(3) to provide for uncertificated debt securities in addition to or in place of certificated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(4) to make any change that does not adversely affect the rights of any holder of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(5) to provide for the issuance of and establish the form and terms and conditions of debt securities under the indenture as permitted thereunder; </w:t>
      </w:r>
    </w:p>
    <w:p>
      <w:pPr>
        <w:pStyle w:val="TextBody"/>
        <w:bidi w:val="0"/>
        <w:spacing w:before="240" w:after="0"/>
        <w:jc w:val="left"/>
        <w:rPr>
          <w:rFonts w:ascii="Times New Roman" w:hAnsi="Times New Roman"/>
          <w:sz w:val="20"/>
        </w:rPr>
      </w:pPr>
      <w:r>
        <w:rPr>
          <w:rFonts w:ascii="Times New Roman" w:hAnsi="Times New Roman"/>
          <w:sz w:val="20"/>
        </w:rPr>
        <w:t xml:space="preserve">(6) 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 </w:t>
      </w:r>
    </w:p>
    <w:p>
      <w:pPr>
        <w:pStyle w:val="TextBody"/>
        <w:bidi w:val="0"/>
        <w:spacing w:before="240" w:after="0"/>
        <w:jc w:val="left"/>
        <w:rPr>
          <w:rFonts w:ascii="Times New Roman" w:hAnsi="Times New Roman"/>
          <w:sz w:val="20"/>
        </w:rPr>
      </w:pPr>
      <w:r>
        <w:rPr>
          <w:rFonts w:ascii="Times New Roman" w:hAnsi="Times New Roman"/>
          <w:sz w:val="20"/>
        </w:rPr>
        <w:t xml:space="preserve">(7) to comply with requirements of the SEC in order to effect or maintain the qualification of the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and the trustee may enter into a supplemental indenture as to all other matters with the written consent of the holders of at least a majority in principal amount of the outstanding debt securities of each series affected by such supplemental indenture, provided however that we may not make any modification or amendment without the consent of the holders of each affected debt security then outstanding if that amendment will: </w:t>
      </w:r>
    </w:p>
    <w:p>
      <w:pPr>
        <w:pStyle w:val="TextBody"/>
        <w:bidi w:val="0"/>
        <w:spacing w:before="240" w:after="0"/>
        <w:jc w:val="left"/>
        <w:rPr>
          <w:rFonts w:ascii="Times New Roman" w:hAnsi="Times New Roman"/>
          <w:sz w:val="20"/>
        </w:rPr>
      </w:pPr>
      <w:r>
        <w:rPr>
          <w:rFonts w:ascii="Times New Roman" w:hAnsi="Times New Roman"/>
          <w:sz w:val="20"/>
        </w:rPr>
        <w:t xml:space="preserve">(1) reduce the principal amount of debt securities whose holders must consent to an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(2) reduce the rate of or extend the time for payment of interest (including default interest) on any debt security; </w:t>
      </w:r>
    </w:p>
    <w:p>
      <w:pPr>
        <w:pStyle w:val="TextBody"/>
        <w:bidi w:val="0"/>
        <w:spacing w:before="240" w:after="0"/>
        <w:jc w:val="left"/>
        <w:rPr>
          <w:rFonts w:ascii="Times New Roman" w:hAnsi="Times New Roman"/>
          <w:sz w:val="20"/>
        </w:rPr>
      </w:pPr>
      <w:r>
        <w:rPr>
          <w:rFonts w:ascii="Times New Roman" w:hAnsi="Times New Roman"/>
          <w:sz w:val="20"/>
        </w:rPr>
        <w:t xml:space="preserve">(3) reduce the principal of or premium on, or change the fixed maturity of any debt security or reduce the amount of, or postpone the date fixed for, the payment of any sinking fund or analogous obligation with respect to any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(4) reduce the principal amount of discount securities payable upon acceleration of maturity; </w:t>
      </w:r>
    </w:p>
    <w:p>
      <w:pPr>
        <w:pStyle w:val="TextBody"/>
        <w:bidi w:val="0"/>
        <w:spacing w:before="240" w:after="0"/>
        <w:jc w:val="left"/>
        <w:rPr>
          <w:rFonts w:ascii="Times New Roman" w:hAnsi="Times New Roman"/>
          <w:sz w:val="20"/>
        </w:rPr>
      </w:pPr>
      <w:r>
        <w:rPr>
          <w:rFonts w:ascii="Times New Roman" w:hAnsi="Times New Roman"/>
          <w:sz w:val="20"/>
        </w:rPr>
        <w:t xml:space="preserve">(5) waive a default in the payment of the principal of, premium or any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p>
      <w:pPr>
        <w:pStyle w:val="TextBody"/>
        <w:bidi w:val="0"/>
        <w:spacing w:before="240" w:after="0"/>
        <w:jc w:val="left"/>
        <w:rPr>
          <w:rFonts w:ascii="Times New Roman" w:hAnsi="Times New Roman"/>
          <w:sz w:val="20"/>
        </w:rPr>
      </w:pPr>
      <w:r>
        <w:rPr>
          <w:rFonts w:ascii="Times New Roman" w:hAnsi="Times New Roman"/>
          <w:sz w:val="20"/>
        </w:rPr>
        <w:t xml:space="preserve">(6) make the principal of or premium or interest on any debt security payable in currency other than that stated in the debt security;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w:t>
      </w:r>
    </w:p>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(1) we may omit to comply with the covenant described under the heading “Consolidation, Merger and Sale of Assets” and certain other covenants set forth in the indenture, as well as any additional covenants which may be set forth in the applicable prospectus supplement; and </w:t>
      </w:r>
    </w:p>
    <w:p>
      <w:pPr>
        <w:pStyle w:val="TextBody"/>
        <w:bidi w:val="0"/>
        <w:spacing w:before="240" w:after="0"/>
        <w:jc w:val="left"/>
        <w:rPr>
          <w:rFonts w:ascii="Times New Roman" w:hAnsi="Times New Roman"/>
          <w:sz w:val="20"/>
        </w:rPr>
      </w:pPr>
      <w:r>
        <w:rPr>
          <w:rFonts w:ascii="Times New Roman" w:hAnsi="Times New Roman"/>
          <w:sz w:val="20"/>
        </w:rPr>
        <w:t xml:space="preserve">(2) any omission to comply with those covenants will not constitute a default or an event of default with respect to the debt securities of that series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240" w:after="0"/>
        <w:jc w:val="left"/>
        <w:rPr>
          <w:rFonts w:ascii="Times New Roman" w:hAnsi="Times New Roman"/>
          <w:sz w:val="20"/>
        </w:rPr>
      </w:pPr>
      <w:r>
        <w:rPr>
          <w:rFonts w:ascii="Times New Roman" w:hAnsi="Times New Roman"/>
          <w:sz w:val="20"/>
        </w:rPr>
        <w:t xml:space="preserve">(1) 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(2) 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p>
      <w:pPr>
        <w:pStyle w:val="TextBody"/>
        <w:bidi w:val="0"/>
        <w:spacing w:before="240" w:after="0"/>
        <w:jc w:val="left"/>
        <w:rPr>
          <w:rFonts w:ascii="Times New Roman" w:hAnsi="Times New Roman"/>
          <w:sz w:val="20"/>
        </w:rPr>
      </w:pPr>
      <w:r>
        <w:rPr>
          <w:rFonts w:ascii="Times New Roman" w:hAnsi="Times New Roman"/>
          <w:i/>
          <w:sz w:val="20"/>
        </w:rPr>
        <w:t>Covenant Defeasance and Events of Default</w:t>
      </w:r>
      <w:r>
        <w:rPr>
          <w:rFonts w:ascii="Times New Roman" w:hAnsi="Times New Roman"/>
          <w:sz w:val="20"/>
        </w:rPr>
        <w:t xml:space="preserve">. 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debt securities of any series that are denominated in a currency other than U.S. Dollars: </w:t>
      </w:r>
    </w:p>
    <w:p>
      <w:pPr>
        <w:pStyle w:val="TextBody"/>
        <w:bidi w:val="0"/>
        <w:spacing w:before="240" w:after="0"/>
        <w:jc w:val="left"/>
        <w:rPr>
          <w:rFonts w:ascii="Times New Roman" w:hAnsi="Times New Roman"/>
          <w:sz w:val="20"/>
        </w:rPr>
      </w:pPr>
      <w:r>
        <w:rPr>
          <w:rFonts w:ascii="Times New Roman" w:hAnsi="Times New Roman"/>
          <w:sz w:val="20"/>
        </w:rPr>
        <w:t xml:space="preserve">(1) direct obligations of the government that issued or caused to be issued such currency for the payment of which obligations its full faith and credit is pledged which are not callable or redeemable at the option of the issuer thereof; or </w:t>
      </w:r>
    </w:p>
    <w:p>
      <w:pPr>
        <w:pStyle w:val="TextBody"/>
        <w:bidi w:val="0"/>
        <w:spacing w:before="240" w:after="0"/>
        <w:jc w:val="left"/>
        <w:rPr>
          <w:rFonts w:ascii="Times New Roman" w:hAnsi="Times New Roman"/>
          <w:sz w:val="20"/>
        </w:rPr>
      </w:pPr>
      <w:r>
        <w:rPr>
          <w:rFonts w:ascii="Times New Roman" w:hAnsi="Times New Roman"/>
          <w:sz w:val="20"/>
        </w:rPr>
        <w:t xml:space="preserve">(2) 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the right at any time to satisfy and discharge its obligations, other than certain specified obligations, under all debt securities issued pursuant to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72941_9"/>
      <w:bookmarkEnd w:id="24"/>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particular series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or other relevant agent of ours or theirs. It is expected that the depositary’s instructions will be based on directions received by the depositary from participants with respect to ownership of beneficial interests in the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72941_10"/>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 through underwriters; </w:t>
      </w:r>
    </w:p>
    <w:p>
      <w:pPr>
        <w:pStyle w:val="TextBody"/>
        <w:bidi w:val="0"/>
        <w:spacing w:before="240" w:after="0"/>
        <w:jc w:val="left"/>
        <w:rPr>
          <w:rFonts w:ascii="Times New Roman" w:hAnsi="Times New Roman"/>
          <w:sz w:val="20"/>
        </w:rPr>
      </w:pPr>
      <w:r>
        <w:rPr>
          <w:rFonts w:ascii="Times New Roman" w:hAnsi="Times New Roman"/>
          <w:sz w:val="20"/>
        </w:rPr>
        <w:t xml:space="preserve">(2) through dealers; </w:t>
      </w:r>
    </w:p>
    <w:p>
      <w:pPr>
        <w:pStyle w:val="TextBody"/>
        <w:bidi w:val="0"/>
        <w:spacing w:before="240" w:after="0"/>
        <w:jc w:val="left"/>
        <w:rPr>
          <w:rFonts w:ascii="Times New Roman" w:hAnsi="Times New Roman"/>
          <w:sz w:val="20"/>
        </w:rPr>
      </w:pPr>
      <w:r>
        <w:rPr>
          <w:rFonts w:ascii="Times New Roman" w:hAnsi="Times New Roman"/>
          <w:sz w:val="20"/>
        </w:rPr>
        <w:t xml:space="preserve">(3) through agents; </w:t>
      </w:r>
    </w:p>
    <w:p>
      <w:pPr>
        <w:pStyle w:val="TextBody"/>
        <w:bidi w:val="0"/>
        <w:spacing w:before="240" w:after="0"/>
        <w:jc w:val="left"/>
        <w:rPr>
          <w:rFonts w:ascii="Times New Roman" w:hAnsi="Times New Roman"/>
          <w:sz w:val="20"/>
        </w:rPr>
      </w:pPr>
      <w:r>
        <w:rPr>
          <w:rFonts w:ascii="Times New Roman" w:hAnsi="Times New Roman"/>
          <w:sz w:val="20"/>
        </w:rPr>
        <w:t xml:space="preserve">(4) directly to purchasers; or </w:t>
      </w:r>
    </w:p>
    <w:p>
      <w:pPr>
        <w:pStyle w:val="TextBody"/>
        <w:bidi w:val="0"/>
        <w:spacing w:before="240" w:after="0"/>
        <w:jc w:val="left"/>
        <w:rPr>
          <w:rFonts w:ascii="Times New Roman" w:hAnsi="Times New Roman"/>
          <w:sz w:val="20"/>
        </w:rPr>
      </w:pPr>
      <w:r>
        <w:rPr>
          <w:rFonts w:ascii="Times New Roman" w:hAnsi="Times New Roman"/>
          <w:sz w:val="20"/>
        </w:rPr>
        <w:t xml:space="preserve">(5) through a combination of any of these methods of sale.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be used in connection with any offering of our debt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debt securities may be effected from time to time in one or more transactions: </w:t>
      </w:r>
    </w:p>
    <w:p>
      <w:pPr>
        <w:pStyle w:val="TextBody"/>
        <w:bidi w:val="0"/>
        <w:spacing w:before="240" w:after="0"/>
        <w:jc w:val="left"/>
        <w:rPr>
          <w:rFonts w:ascii="Times New Roman" w:hAnsi="Times New Roman"/>
          <w:sz w:val="20"/>
        </w:rPr>
      </w:pPr>
      <w:r>
        <w:rPr>
          <w:rFonts w:ascii="Times New Roman" w:hAnsi="Times New Roman"/>
          <w:sz w:val="20"/>
        </w:rPr>
        <w:t xml:space="preserve">(1) at a fixed price, or prices, which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(2) at market prices prevailing at the time of sale; </w:t>
      </w:r>
    </w:p>
    <w:p>
      <w:pPr>
        <w:pStyle w:val="TextBody"/>
        <w:bidi w:val="0"/>
        <w:spacing w:before="240" w:after="0"/>
        <w:jc w:val="left"/>
        <w:rPr>
          <w:rFonts w:ascii="Times New Roman" w:hAnsi="Times New Roman"/>
          <w:sz w:val="20"/>
        </w:rPr>
      </w:pPr>
      <w:r>
        <w:rPr>
          <w:rFonts w:ascii="Times New Roman" w:hAnsi="Times New Roman"/>
          <w:sz w:val="20"/>
        </w:rPr>
        <w:t xml:space="preserve">(3) at prices related to such prevailing market prices; or </w:t>
      </w:r>
    </w:p>
    <w:p>
      <w:pPr>
        <w:pStyle w:val="TextBody"/>
        <w:bidi w:val="0"/>
        <w:spacing w:before="240" w:after="0"/>
        <w:jc w:val="left"/>
        <w:rPr>
          <w:rFonts w:ascii="Times New Roman" w:hAnsi="Times New Roman"/>
          <w:sz w:val="20"/>
        </w:rPr>
      </w:pPr>
      <w:r>
        <w:rPr>
          <w:rFonts w:ascii="Times New Roman" w:hAnsi="Times New Roman"/>
          <w:sz w:val="20"/>
        </w:rPr>
        <w:t xml:space="preserve">(4)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debt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debt securities of a particular series will describe the terms of the offering of the debt securities, including the following: </w:t>
      </w:r>
    </w:p>
    <w:p>
      <w:pPr>
        <w:pStyle w:val="TextBody"/>
        <w:bidi w:val="0"/>
        <w:spacing w:before="240" w:after="0"/>
        <w:jc w:val="left"/>
        <w:rPr>
          <w:rFonts w:ascii="Times New Roman" w:hAnsi="Times New Roman"/>
          <w:sz w:val="20"/>
        </w:rPr>
      </w:pPr>
      <w:r>
        <w:rPr>
          <w:rFonts w:ascii="Times New Roman" w:hAnsi="Times New Roman"/>
          <w:sz w:val="20"/>
        </w:rPr>
        <w:t xml:space="preserve">(1) the name of the agent or any underwriters; </w:t>
      </w:r>
    </w:p>
    <w:p>
      <w:pPr>
        <w:pStyle w:val="TextBody"/>
        <w:bidi w:val="0"/>
        <w:spacing w:before="240" w:after="0"/>
        <w:jc w:val="left"/>
        <w:rPr>
          <w:rFonts w:ascii="Times New Roman" w:hAnsi="Times New Roman"/>
          <w:sz w:val="20"/>
        </w:rPr>
      </w:pPr>
      <w:r>
        <w:rPr>
          <w:rFonts w:ascii="Times New Roman" w:hAnsi="Times New Roman"/>
          <w:sz w:val="20"/>
        </w:rPr>
        <w:t xml:space="preserve">(2) the public offering or purchase price and the proceeds we will receive from the sale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(3) any discounts and commissions to be allowed or re-allowed or paid to the agent or underwriters; </w:t>
      </w:r>
    </w:p>
    <w:p>
      <w:pPr>
        <w:pStyle w:val="TextBody"/>
        <w:bidi w:val="0"/>
        <w:spacing w:before="240" w:after="0"/>
        <w:jc w:val="left"/>
        <w:rPr>
          <w:rFonts w:ascii="Times New Roman" w:hAnsi="Times New Roman"/>
          <w:sz w:val="20"/>
        </w:rPr>
      </w:pPr>
      <w:r>
        <w:rPr>
          <w:rFonts w:ascii="Times New Roman" w:hAnsi="Times New Roman"/>
          <w:sz w:val="20"/>
        </w:rPr>
        <w:t xml:space="preserve">(4) all other items constituting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(5) any discounts and commissions to be allowed or re-allowed or paid to dealers; and </w:t>
      </w:r>
    </w:p>
    <w:p>
      <w:pPr>
        <w:pStyle w:val="TextBody"/>
        <w:bidi w:val="0"/>
        <w:spacing w:before="240" w:after="0"/>
        <w:jc w:val="left"/>
        <w:rPr>
          <w:rFonts w:ascii="Times New Roman" w:hAnsi="Times New Roman"/>
          <w:sz w:val="20"/>
        </w:rPr>
      </w:pPr>
      <w:r>
        <w:rPr>
          <w:rFonts w:ascii="Times New Roman" w:hAnsi="Times New Roman"/>
          <w:sz w:val="20"/>
        </w:rPr>
        <w:t xml:space="preserve">(6) any exchanges on which the debt securities will be listed.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240" w:after="0"/>
        <w:jc w:val="left"/>
        <w:rPr>
          <w:rFonts w:ascii="Times New Roman" w:hAnsi="Times New Roman"/>
          <w:sz w:val="20"/>
        </w:rPr>
      </w:pPr>
      <w:r>
        <w:rPr>
          <w:rFonts w:ascii="Times New Roman" w:hAnsi="Times New Roman"/>
          <w:sz w:val="20"/>
        </w:rPr>
        <w:t xml:space="preserve">(1) the purchase by an institution of the debt securities covered under that contract shall not at the time of delivery be prohibited under the laws of the jurisdiction to which that institution is subject; and </w:t>
      </w:r>
    </w:p>
    <w:p>
      <w:pPr>
        <w:pStyle w:val="TextBody"/>
        <w:bidi w:val="0"/>
        <w:spacing w:before="240" w:after="0"/>
        <w:jc w:val="left"/>
        <w:rPr>
          <w:rFonts w:ascii="Times New Roman" w:hAnsi="Times New Roman"/>
          <w:sz w:val="20"/>
        </w:rPr>
      </w:pPr>
      <w:r>
        <w:rPr>
          <w:rFonts w:ascii="Times New Roman" w:hAnsi="Times New Roman"/>
          <w:sz w:val="20"/>
        </w:rPr>
        <w:t xml:space="preserve">(2) 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72941_11"/>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debt securities in respect of which this prospectus is being delivered will be passed upon by Wilmer Cutler Pickering Hale and Dorr LLP. </w:t>
      </w:r>
    </w:p>
    <w:p>
      <w:pPr>
        <w:pStyle w:val="TextBody"/>
        <w:bidi w:val="0"/>
        <w:spacing w:before="480" w:after="0"/>
        <w:jc w:val="center"/>
        <w:rPr>
          <w:rFonts w:ascii="Times New Roman" w:hAnsi="Times New Roman"/>
          <w:b/>
          <w:sz w:val="20"/>
        </w:rPr>
      </w:pPr>
      <w:bookmarkStart w:id="27" w:name="toc72941_12"/>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Analog Devices, Inc. appearing in Analog Devices, Inc.’s Annual Report (Form 10-K) for the year ended October 28, 2023, and the effectiveness of Analog Devices, Inc.’s internal control over financial reporting as of October 28,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00" w:after="0"/>
        <w:jc w:val="center"/>
        <w:rPr>
          <w:rFonts w:ascii="Times New Roman" w:hAnsi="Times New Roman"/>
          <w:b/>
          <w:sz w:val="32"/>
        </w:rPr>
      </w:pPr>
      <w:r>
        <w:rPr>
          <w:rFonts w:ascii="Times New Roman" w:hAnsi="Times New Roman"/>
          <w:b/>
          <w:sz w:val="32"/>
        </w:rPr>
        <w:t xml:space="preserve">$3,000,000,000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4055" cy="892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3234055" cy="8921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500" w:after="0"/>
        <w:jc w:val="center"/>
        <w:rPr>
          <w:rFonts w:ascii="Times New Roman" w:hAnsi="Times New Roman"/>
          <w:b/>
          <w:sz w:val="24"/>
        </w:rPr>
      </w:pPr>
      <w:r>
        <w:rPr>
          <w:rFonts w:ascii="Times New Roman" w:hAnsi="Times New Roman"/>
          <w:b/>
          <w:sz w:val="24"/>
        </w:rPr>
        <w:t xml:space="preserve">$500,000,000 5.100% Senior Notes Due 2029 </w:t>
      </w:r>
    </w:p>
    <w:p>
      <w:pPr>
        <w:pStyle w:val="TextBody"/>
        <w:bidi w:val="0"/>
        <w:spacing w:before="240" w:after="0"/>
        <w:jc w:val="center"/>
        <w:rPr>
          <w:rFonts w:ascii="Times New Roman" w:hAnsi="Times New Roman"/>
          <w:b/>
          <w:sz w:val="24"/>
        </w:rPr>
      </w:pPr>
      <w:r>
        <w:rPr>
          <w:rFonts w:ascii="Times New Roman" w:hAnsi="Times New Roman"/>
          <w:b/>
          <w:sz w:val="24"/>
        </w:rPr>
        <w:t xml:space="preserve">$500,000,000 5.350% Senior Notes Due 2031 </w:t>
      </w:r>
    </w:p>
    <w:p>
      <w:pPr>
        <w:pStyle w:val="TextBody"/>
        <w:bidi w:val="0"/>
        <w:spacing w:before="240" w:after="0"/>
        <w:jc w:val="center"/>
        <w:rPr>
          <w:rFonts w:ascii="Times New Roman" w:hAnsi="Times New Roman"/>
          <w:b/>
          <w:sz w:val="24"/>
        </w:rPr>
      </w:pPr>
      <w:r>
        <w:rPr>
          <w:rFonts w:ascii="Times New Roman" w:hAnsi="Times New Roman"/>
          <w:b/>
          <w:sz w:val="24"/>
        </w:rPr>
        <w:t xml:space="preserve">$1,000,000,000 5.600% Senior Notes Due 2033 </w:t>
      </w:r>
    </w:p>
    <w:p>
      <w:pPr>
        <w:pStyle w:val="TextBody"/>
        <w:bidi w:val="0"/>
        <w:spacing w:before="240" w:after="0"/>
        <w:jc w:val="center"/>
        <w:rPr>
          <w:rFonts w:ascii="Times New Roman" w:hAnsi="Times New Roman"/>
          <w:b/>
          <w:sz w:val="24"/>
        </w:rPr>
      </w:pPr>
      <w:r>
        <w:rPr>
          <w:rFonts w:ascii="Times New Roman" w:hAnsi="Times New Roman"/>
          <w:b/>
          <w:sz w:val="24"/>
        </w:rPr>
        <w:t xml:space="preserve">$1,000,000,000 5.750% Senior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0" w:after="0"/>
        <w:jc w:val="center"/>
        <w:rPr>
          <w:rFonts w:ascii="Times New Roman" w:hAnsi="Times New Roman"/>
          <w:b/>
          <w:i/>
          <w:sz w:val="18"/>
        </w:rPr>
      </w:pPr>
      <w:r>
        <w:rPr>
          <w:rFonts w:ascii="Times New Roman" w:hAnsi="Times New Roman"/>
          <w:b/>
          <w:i/>
          <w:sz w:val="18"/>
        </w:rPr>
        <w:t xml:space="preserve">Joint Book-Running Managers for the 2029 Notes, the 2031 Notes and the 2033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01"/>
        <w:gridCol w:w="86"/>
        <w:gridCol w:w="1259"/>
        <w:gridCol w:w="86"/>
        <w:gridCol w:w="2023"/>
        <w:gridCol w:w="86"/>
        <w:gridCol w:w="1986"/>
        <w:gridCol w:w="86"/>
        <w:gridCol w:w="1374"/>
        <w:gridCol w:w="86"/>
        <w:gridCol w:w="1832"/>
      </w:tblGrid>
      <w:tr>
        <w:trPr/>
        <w:tc>
          <w:tcPr>
            <w:tcW w:w="1301"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301" w:type="dxa"/>
            <w:tcBorders/>
            <w:vAlign w:val="center"/>
          </w:tcPr>
          <w:p>
            <w:pPr>
              <w:pStyle w:val="TableContents"/>
              <w:bidi w:val="0"/>
              <w:spacing w:before="0" w:after="283"/>
              <w:jc w:val="left"/>
              <w:rPr>
                <w:sz w:val="4"/>
                <w:szCs w:val="4"/>
              </w:rPr>
            </w:pPr>
            <w:r>
              <w:rPr>
                <w:sz w:val="4"/>
                <w:szCs w:val="4"/>
              </w:rPr>
            </w:r>
          </w:p>
        </w:tc>
        <w:tc>
          <w:tcPr>
            <w:tcW w:w="1345" w:type="dxa"/>
            <w:gridSpan w:val="2"/>
            <w:tcBorders/>
            <w:vAlign w:val="center"/>
          </w:tcPr>
          <w:p>
            <w:pPr>
              <w:pStyle w:val="TableContents"/>
              <w:bidi w:val="0"/>
              <w:spacing w:before="0" w:after="283"/>
              <w:jc w:val="left"/>
              <w:rPr>
                <w:sz w:val="4"/>
                <w:szCs w:val="4"/>
              </w:rPr>
            </w:pPr>
            <w:r>
              <w:rPr>
                <w:sz w:val="4"/>
                <w:szCs w:val="4"/>
              </w:rPr>
            </w:r>
          </w:p>
        </w:tc>
        <w:tc>
          <w:tcPr>
            <w:tcW w:w="2109" w:type="dxa"/>
            <w:gridSpan w:val="2"/>
            <w:tcBorders/>
            <w:vAlign w:val="center"/>
          </w:tcPr>
          <w:p>
            <w:pPr>
              <w:pStyle w:val="TableContents"/>
              <w:bidi w:val="0"/>
              <w:spacing w:before="0" w:after="283"/>
              <w:jc w:val="left"/>
              <w:rPr>
                <w:sz w:val="4"/>
                <w:szCs w:val="4"/>
              </w:rPr>
            </w:pPr>
            <w:r>
              <w:rPr>
                <w:sz w:val="4"/>
                <w:szCs w:val="4"/>
              </w:rPr>
            </w:r>
          </w:p>
        </w:tc>
        <w:tc>
          <w:tcPr>
            <w:tcW w:w="2072" w:type="dxa"/>
            <w:gridSpan w:val="2"/>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918" w:type="dxa"/>
            <w:gridSpan w:val="2"/>
            <w:tcBorders/>
            <w:vAlign w:val="center"/>
          </w:tcPr>
          <w:p>
            <w:pPr>
              <w:pStyle w:val="TableContents"/>
              <w:bidi w:val="0"/>
              <w:spacing w:before="0" w:after="283"/>
              <w:jc w:val="left"/>
              <w:rPr>
                <w:sz w:val="4"/>
                <w:szCs w:val="4"/>
              </w:rPr>
            </w:pPr>
            <w:r>
              <w:rPr>
                <w:sz w:val="4"/>
                <w:szCs w:val="4"/>
              </w:rPr>
            </w:r>
          </w:p>
        </w:tc>
      </w:tr>
      <w:tr>
        <w:trPr/>
        <w:tc>
          <w:tcPr>
            <w:tcW w:w="1301" w:type="dxa"/>
            <w:tcBorders/>
          </w:tcPr>
          <w:p>
            <w:pPr>
              <w:pStyle w:val="TableContents"/>
              <w:bidi w:val="0"/>
              <w:spacing w:before="0" w:after="283"/>
              <w:jc w:val="left"/>
              <w:rPr>
                <w:b/>
              </w:rPr>
            </w:pPr>
            <w:r>
              <w:rPr>
                <w:b/>
              </w:rPr>
              <w:t>J.P. Morgan</w:t>
            </w:r>
          </w:p>
        </w:tc>
        <w:tc>
          <w:tcPr>
            <w:tcW w:w="86"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right"/>
              <w:rPr>
                <w:b/>
              </w:rPr>
            </w:pPr>
            <w:r>
              <w:rPr>
                <w:b/>
              </w:rPr>
              <w:t>Barclays</w:t>
            </w:r>
          </w:p>
        </w:tc>
        <w:tc>
          <w:tcPr>
            <w:tcW w:w="86"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right"/>
              <w:rPr>
                <w:b/>
              </w:rPr>
            </w:pPr>
            <w:r>
              <w:rPr>
                <w:b/>
              </w:rPr>
              <w:t>BNP PARIBAS</w:t>
            </w:r>
          </w:p>
        </w:tc>
        <w:tc>
          <w:tcPr>
            <w:tcW w:w="86" w:type="dxa"/>
            <w:tcBorders/>
            <w:vAlign w:val="bottom"/>
          </w:tcPr>
          <w:p>
            <w:pPr>
              <w:pStyle w:val="TableContents"/>
              <w:bidi w:val="0"/>
              <w:spacing w:before="0" w:after="283"/>
              <w:jc w:val="left"/>
              <w:rPr/>
            </w:pPr>
            <w:r>
              <w:rPr/>
              <w:t> </w:t>
            </w:r>
          </w:p>
        </w:tc>
        <w:tc>
          <w:tcPr>
            <w:tcW w:w="1986" w:type="dxa"/>
            <w:tcBorders/>
          </w:tcPr>
          <w:p>
            <w:pPr>
              <w:pStyle w:val="TableContents"/>
              <w:bidi w:val="0"/>
              <w:spacing w:before="0" w:after="283"/>
              <w:jc w:val="right"/>
              <w:rPr>
                <w:b/>
              </w:rPr>
            </w:pPr>
            <w:r>
              <w:rPr>
                <w:b/>
              </w:rPr>
              <w:t>BofA Securities</w:t>
            </w:r>
          </w:p>
        </w:tc>
        <w:tc>
          <w:tcPr>
            <w:tcW w:w="86"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right"/>
              <w:rPr>
                <w:b/>
              </w:rPr>
            </w:pPr>
            <w:r>
              <w:rPr>
                <w:b/>
              </w:rPr>
              <w:t>Citigroup</w:t>
            </w:r>
          </w:p>
        </w:tc>
        <w:tc>
          <w:tcPr>
            <w:tcW w:w="86"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right"/>
              <w:rPr>
                <w:b/>
              </w:rPr>
            </w:pPr>
            <w:r>
              <w:rPr>
                <w:b/>
              </w:rPr>
              <w:t>Morgan Stanley</w:t>
            </w:r>
          </w:p>
        </w:tc>
      </w:tr>
    </w:tbl>
    <w:p>
      <w:pPr>
        <w:pStyle w:val="TextBody"/>
        <w:bidi w:val="0"/>
        <w:spacing w:before="240" w:after="0"/>
        <w:jc w:val="center"/>
        <w:rPr>
          <w:rFonts w:ascii="Times New Roman" w:hAnsi="Times New Roman"/>
          <w:b/>
          <w:i/>
          <w:sz w:val="18"/>
        </w:rPr>
      </w:pPr>
      <w:r>
        <w:rPr>
          <w:rFonts w:ascii="Times New Roman" w:hAnsi="Times New Roman"/>
          <w:b/>
          <w:i/>
          <w:sz w:val="18"/>
        </w:rPr>
        <w:t xml:space="preserve">Joint Book-Running Managers for the 2036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2"/>
        <w:gridCol w:w="2654"/>
        <w:gridCol w:w="101"/>
        <w:gridCol w:w="3164"/>
        <w:gridCol w:w="102"/>
        <w:gridCol w:w="2245"/>
      </w:tblGrid>
      <w:tr>
        <w:trPr/>
        <w:tc>
          <w:tcPr>
            <w:tcW w:w="18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756" w:type="dxa"/>
            <w:gridSpan w:val="2"/>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2347"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J.P. Morgan</w:t>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right"/>
              <w:rPr>
                <w:b/>
              </w:rPr>
            </w:pPr>
            <w:r>
              <w:rPr>
                <w:b/>
              </w:rPr>
              <w:t>Barclays</w:t>
            </w:r>
          </w:p>
        </w:tc>
        <w:tc>
          <w:tcPr>
            <w:tcW w:w="101"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right"/>
              <w:rPr>
                <w:b/>
              </w:rPr>
            </w:pPr>
            <w:r>
              <w:rPr>
                <w:b/>
              </w:rPr>
              <w:t>BNP PARIBAS</w:t>
            </w:r>
          </w:p>
        </w:tc>
        <w:tc>
          <w:tcPr>
            <w:tcW w:w="102"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right"/>
              <w:rPr>
                <w:b/>
              </w:rPr>
            </w:pPr>
            <w:r>
              <w:rPr>
                <w:b/>
              </w:rPr>
              <w:t>BofA Securities</w:t>
            </w:r>
          </w:p>
        </w:tc>
      </w:tr>
    </w:tbl>
    <w:tbl>
      <w:tblPr>
        <w:tblW w:w="5000" w:type="pct"/>
        <w:jc w:val="center"/>
        <w:tblInd w:w="0" w:type="dxa"/>
        <w:tblLayout w:type="fixed"/>
        <w:tblCellMar>
          <w:top w:w="0" w:type="dxa"/>
          <w:left w:w="0" w:type="dxa"/>
          <w:bottom w:w="0" w:type="dxa"/>
          <w:right w:w="0" w:type="dxa"/>
        </w:tblCellMar>
      </w:tblPr>
      <w:tblGrid>
        <w:gridCol w:w="2244"/>
        <w:gridCol w:w="102"/>
        <w:gridCol w:w="4389"/>
        <w:gridCol w:w="102"/>
        <w:gridCol w:w="3368"/>
      </w:tblGrid>
      <w:tr>
        <w:trPr/>
        <w:tc>
          <w:tcPr>
            <w:tcW w:w="224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center"/>
              <w:rPr>
                <w:b/>
              </w:rPr>
            </w:pPr>
            <w:r>
              <w:rPr>
                <w:b/>
              </w:rPr>
              <w:t>Morgan Stanley</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Wells Fargo Securities</w:t>
            </w:r>
          </w:p>
        </w:tc>
      </w:tr>
    </w:tbl>
    <w:p>
      <w:pPr>
        <w:pStyle w:val="TextBody"/>
        <w:bidi w:val="0"/>
        <w:spacing w:before="240" w:after="0"/>
        <w:jc w:val="center"/>
        <w:rPr>
          <w:rFonts w:ascii="Times New Roman" w:hAnsi="Times New Roman"/>
          <w:b/>
          <w:i/>
          <w:sz w:val="18"/>
        </w:rPr>
      </w:pPr>
      <w:r>
        <w:rPr>
          <w:rFonts w:ascii="Times New Roman" w:hAnsi="Times New Roman"/>
          <w:b/>
          <w:i/>
          <w:sz w:val="18"/>
        </w:rPr>
        <w:t xml:space="preserve">Co-Managers for the 2029 Notes, the 2031 Notes and the 2033 Notes </w:t>
      </w:r>
    </w:p>
    <w:p>
      <w:pPr>
        <w:pStyle w:val="TextBody"/>
        <w:bidi w:val="0"/>
        <w:spacing w:before="0" w:after="0"/>
        <w:jc w:val="left"/>
        <w:rPr/>
      </w:pPr>
      <w:r>
        <w:rPr/>
        <w:t> </w:t>
      </w:r>
    </w:p>
    <w:tbl>
      <w:tblPr>
        <w:tblW w:w="11740" w:type="dxa"/>
        <w:jc w:val="center"/>
        <w:tblInd w:w="0" w:type="dxa"/>
        <w:tblLayout w:type="fixed"/>
        <w:tblCellMar>
          <w:top w:w="0" w:type="dxa"/>
          <w:left w:w="0" w:type="dxa"/>
          <w:bottom w:w="0" w:type="dxa"/>
          <w:right w:w="0" w:type="dxa"/>
        </w:tblCellMar>
      </w:tblPr>
      <w:tblGrid>
        <w:gridCol w:w="2315"/>
        <w:gridCol w:w="60"/>
        <w:gridCol w:w="1700"/>
        <w:gridCol w:w="60"/>
        <w:gridCol w:w="2285"/>
        <w:gridCol w:w="60"/>
        <w:gridCol w:w="2375"/>
        <w:gridCol w:w="60"/>
        <w:gridCol w:w="282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15" w:type="dxa"/>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BMO Capital Markets</w:t>
            </w:r>
          </w:p>
        </w:tc>
        <w:tc>
          <w:tcPr>
            <w:tcW w:w="60"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b/>
              </w:rPr>
            </w:pPr>
            <w:r>
              <w:rPr>
                <w:b/>
              </w:rPr>
              <w:t>HSBC</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Mizuho</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MUFG</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right"/>
              <w:rPr>
                <w:b/>
              </w:rPr>
            </w:pPr>
            <w:r>
              <w:rPr>
                <w:b/>
              </w:rPr>
              <w:t>PNC Capital Markets LLC</w:t>
            </w:r>
          </w:p>
        </w:tc>
      </w:tr>
      <w:tr>
        <w:trPr>
          <w:trHeight w:val="120" w:hRule="atLeast"/>
        </w:trPr>
        <w:tc>
          <w:tcPr>
            <w:tcW w:w="2315" w:type="dxa"/>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SMBC Nikko</w:t>
            </w:r>
          </w:p>
        </w:tc>
        <w:tc>
          <w:tcPr>
            <w:tcW w:w="60"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b/>
              </w:rPr>
            </w:pPr>
            <w:r>
              <w:rPr>
                <w:b/>
              </w:rPr>
              <w:t>TD Securities</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Wells Fargo Securities</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Academy Securities</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right"/>
              <w:rPr>
                <w:b/>
              </w:rPr>
            </w:pPr>
            <w:r>
              <w:rPr>
                <w:b/>
              </w:rPr>
              <w:t>Roberts &amp; Ryan</w:t>
            </w:r>
          </w:p>
        </w:tc>
      </w:tr>
      <w:tr>
        <w:trPr>
          <w:trHeight w:val="120" w:hRule="atLeast"/>
        </w:trPr>
        <w:tc>
          <w:tcPr>
            <w:tcW w:w="2315" w:type="dxa"/>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Blaylock Van, LLC</w:t>
            </w:r>
          </w:p>
        </w:tc>
        <w:tc>
          <w:tcPr>
            <w:tcW w:w="60"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b/>
              </w:rPr>
            </w:pPr>
            <w:r>
              <w:rPr>
                <w:b/>
              </w:rPr>
              <w:t>Drexel Hamilton</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Guzman &amp; Company</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83"/>
              <w:jc w:val="center"/>
              <w:rPr>
                <w:b/>
              </w:rPr>
            </w:pPr>
            <w:r>
              <w:rPr>
                <w:b/>
              </w:rPr>
              <w:t>R. Seelaus &amp; Co., LLC</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right"/>
              <w:rPr>
                <w:b/>
              </w:rPr>
            </w:pPr>
            <w:r>
              <w:rPr>
                <w:b/>
              </w:rPr>
              <w:t>Siebert Williams Shank</w:t>
            </w:r>
          </w:p>
        </w:tc>
      </w:tr>
    </w:tbl>
    <w:p>
      <w:pPr>
        <w:pStyle w:val="TextBody"/>
        <w:bidi w:val="0"/>
        <w:spacing w:before="240" w:after="0"/>
        <w:jc w:val="center"/>
        <w:rPr>
          <w:rFonts w:ascii="Times New Roman" w:hAnsi="Times New Roman"/>
          <w:b/>
          <w:i/>
          <w:sz w:val="18"/>
        </w:rPr>
      </w:pPr>
      <w:r>
        <w:rPr>
          <w:rFonts w:ascii="Times New Roman" w:hAnsi="Times New Roman"/>
          <w:b/>
          <w:i/>
          <w:sz w:val="18"/>
        </w:rPr>
        <w:t xml:space="preserve">Co-Managers for the 2036 Notes </w:t>
      </w:r>
    </w:p>
    <w:p>
      <w:pPr>
        <w:pStyle w:val="TextBody"/>
        <w:bidi w:val="0"/>
        <w:spacing w:before="0" w:after="0"/>
        <w:jc w:val="left"/>
        <w:rPr/>
      </w:pPr>
      <w:r>
        <w:rPr/>
        <w:t> </w:t>
      </w:r>
    </w:p>
    <w:tbl>
      <w:tblPr>
        <w:tblW w:w="10495" w:type="dxa"/>
        <w:jc w:val="center"/>
        <w:tblInd w:w="0" w:type="dxa"/>
        <w:tblLayout w:type="fixed"/>
        <w:tblCellMar>
          <w:top w:w="0" w:type="dxa"/>
          <w:left w:w="0" w:type="dxa"/>
          <w:bottom w:w="0" w:type="dxa"/>
          <w:right w:w="0" w:type="dxa"/>
        </w:tblCellMar>
      </w:tblPr>
      <w:tblGrid>
        <w:gridCol w:w="2315"/>
        <w:gridCol w:w="60"/>
        <w:gridCol w:w="1400"/>
        <w:gridCol w:w="60"/>
        <w:gridCol w:w="2015"/>
        <w:gridCol w:w="60"/>
        <w:gridCol w:w="1700"/>
        <w:gridCol w:w="60"/>
        <w:gridCol w:w="282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15" w:type="dxa"/>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BMO Capital Markets</w:t>
            </w:r>
          </w:p>
        </w:tc>
        <w:tc>
          <w:tcPr>
            <w:tcW w:w="60" w:type="dxa"/>
            <w:tcBorders/>
            <w:vAlign w:val="bottom"/>
          </w:tcPr>
          <w:p>
            <w:pPr>
              <w:pStyle w:val="TableContents"/>
              <w:bidi w:val="0"/>
              <w:spacing w:before="0" w:after="283"/>
              <w:jc w:val="left"/>
              <w:rPr/>
            </w:pPr>
            <w:r>
              <w:rPr/>
              <w:t> </w:t>
            </w:r>
          </w:p>
        </w:tc>
        <w:tc>
          <w:tcPr>
            <w:tcW w:w="1400" w:type="dxa"/>
            <w:tcBorders/>
          </w:tcPr>
          <w:p>
            <w:pPr>
              <w:pStyle w:val="TableContents"/>
              <w:bidi w:val="0"/>
              <w:spacing w:before="0" w:after="283"/>
              <w:jc w:val="center"/>
              <w:rPr>
                <w:b/>
              </w:rPr>
            </w:pPr>
            <w:r>
              <w:rPr>
                <w:b/>
              </w:rPr>
              <w:t>HSBC</w:t>
            </w:r>
          </w:p>
        </w:tc>
        <w:tc>
          <w:tcPr>
            <w:tcW w:w="60" w:type="dxa"/>
            <w:tcBorders/>
            <w:vAlign w:val="bottom"/>
          </w:tcPr>
          <w:p>
            <w:pPr>
              <w:pStyle w:val="TableContents"/>
              <w:bidi w:val="0"/>
              <w:spacing w:before="0" w:after="283"/>
              <w:jc w:val="left"/>
              <w:rPr/>
            </w:pPr>
            <w:r>
              <w:rPr/>
              <w:t> </w:t>
            </w:r>
          </w:p>
        </w:tc>
        <w:tc>
          <w:tcPr>
            <w:tcW w:w="2015" w:type="dxa"/>
            <w:tcBorders/>
          </w:tcPr>
          <w:p>
            <w:pPr>
              <w:pStyle w:val="TableContents"/>
              <w:bidi w:val="0"/>
              <w:spacing w:before="0" w:after="283"/>
              <w:jc w:val="center"/>
              <w:rPr>
                <w:b/>
              </w:rPr>
            </w:pPr>
            <w:r>
              <w:rPr>
                <w:b/>
              </w:rPr>
              <w:t>Mizuho</w:t>
            </w:r>
          </w:p>
        </w:tc>
        <w:tc>
          <w:tcPr>
            <w:tcW w:w="60"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b/>
              </w:rPr>
            </w:pPr>
            <w:r>
              <w:rPr>
                <w:b/>
              </w:rPr>
              <w:t>MUFG</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right"/>
              <w:rPr>
                <w:b/>
              </w:rPr>
            </w:pPr>
            <w:r>
              <w:rPr>
                <w:b/>
              </w:rPr>
              <w:t>PNC Capital Markets LLC</w:t>
            </w:r>
          </w:p>
        </w:tc>
      </w:tr>
      <w:tr>
        <w:trPr>
          <w:trHeight w:val="120" w:hRule="atLeast"/>
        </w:trPr>
        <w:tc>
          <w:tcPr>
            <w:tcW w:w="2315" w:type="dxa"/>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SMBC Nikko</w:t>
            </w:r>
          </w:p>
        </w:tc>
        <w:tc>
          <w:tcPr>
            <w:tcW w:w="60" w:type="dxa"/>
            <w:tcBorders/>
            <w:vAlign w:val="bottom"/>
          </w:tcPr>
          <w:p>
            <w:pPr>
              <w:pStyle w:val="TableContents"/>
              <w:bidi w:val="0"/>
              <w:spacing w:before="0" w:after="283"/>
              <w:jc w:val="left"/>
              <w:rPr/>
            </w:pPr>
            <w:r>
              <w:rPr/>
              <w:t> </w:t>
            </w:r>
          </w:p>
        </w:tc>
        <w:tc>
          <w:tcPr>
            <w:tcW w:w="1400" w:type="dxa"/>
            <w:tcBorders/>
          </w:tcPr>
          <w:p>
            <w:pPr>
              <w:pStyle w:val="TableContents"/>
              <w:bidi w:val="0"/>
              <w:spacing w:before="0" w:after="283"/>
              <w:jc w:val="center"/>
              <w:rPr>
                <w:b/>
              </w:rPr>
            </w:pPr>
            <w:r>
              <w:rPr>
                <w:b/>
              </w:rPr>
              <w:t>TD Securities</w:t>
            </w:r>
          </w:p>
        </w:tc>
        <w:tc>
          <w:tcPr>
            <w:tcW w:w="60" w:type="dxa"/>
            <w:tcBorders/>
            <w:vAlign w:val="bottom"/>
          </w:tcPr>
          <w:p>
            <w:pPr>
              <w:pStyle w:val="TableContents"/>
              <w:bidi w:val="0"/>
              <w:spacing w:before="0" w:after="283"/>
              <w:jc w:val="left"/>
              <w:rPr/>
            </w:pPr>
            <w:r>
              <w:rPr/>
              <w:t> </w:t>
            </w:r>
          </w:p>
        </w:tc>
        <w:tc>
          <w:tcPr>
            <w:tcW w:w="2015" w:type="dxa"/>
            <w:tcBorders/>
          </w:tcPr>
          <w:p>
            <w:pPr>
              <w:pStyle w:val="TableContents"/>
              <w:bidi w:val="0"/>
              <w:spacing w:before="0" w:after="283"/>
              <w:jc w:val="center"/>
              <w:rPr>
                <w:b/>
              </w:rPr>
            </w:pPr>
            <w:r>
              <w:rPr>
                <w:b/>
              </w:rPr>
              <w:t>Academy Securities</w:t>
            </w:r>
          </w:p>
        </w:tc>
        <w:tc>
          <w:tcPr>
            <w:tcW w:w="60"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b/>
              </w:rPr>
            </w:pPr>
            <w:r>
              <w:rPr>
                <w:b/>
              </w:rPr>
              <w:t>Roberts &amp; Ryan</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right"/>
              <w:rPr>
                <w:b/>
              </w:rPr>
            </w:pPr>
            <w:r>
              <w:rPr>
                <w:b/>
              </w:rPr>
              <w:t>Blaylock Van, LLC</w:t>
            </w:r>
          </w:p>
        </w:tc>
      </w:tr>
    </w:tbl>
    <w:tbl>
      <w:tblPr>
        <w:tblW w:w="5000" w:type="pct"/>
        <w:jc w:val="center"/>
        <w:tblInd w:w="0" w:type="dxa"/>
        <w:tblLayout w:type="fixed"/>
        <w:tblCellMar>
          <w:top w:w="0" w:type="dxa"/>
          <w:left w:w="0" w:type="dxa"/>
          <w:bottom w:w="0" w:type="dxa"/>
          <w:right w:w="0" w:type="dxa"/>
        </w:tblCellMar>
      </w:tblPr>
      <w:tblGrid>
        <w:gridCol w:w="1837"/>
        <w:gridCol w:w="101"/>
        <w:gridCol w:w="2756"/>
        <w:gridCol w:w="101"/>
        <w:gridCol w:w="2858"/>
        <w:gridCol w:w="101"/>
        <w:gridCol w:w="2451"/>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Drexel Hamilton</w:t>
            </w:r>
          </w:p>
        </w:tc>
        <w:tc>
          <w:tcPr>
            <w:tcW w:w="101"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center"/>
              <w:rPr>
                <w:b/>
              </w:rPr>
            </w:pPr>
            <w:r>
              <w:rPr>
                <w:b/>
              </w:rPr>
              <w:t>Guzman &amp; Company</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center"/>
              <w:rPr>
                <w:b/>
              </w:rPr>
            </w:pPr>
            <w:r>
              <w:rPr>
                <w:b/>
              </w:rPr>
              <w:t>R. Seelaus &amp; Co., LLC</w:t>
            </w:r>
          </w:p>
        </w:tc>
        <w:tc>
          <w:tcPr>
            <w:tcW w:w="101"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center"/>
              <w:rPr>
                <w:b/>
              </w:rPr>
            </w:pPr>
            <w:r>
              <w:rPr>
                <w:b/>
              </w:rPr>
              <w:t>Siebert Williams Shank</w:t>
            </w:r>
          </w:p>
        </w:tc>
      </w:tr>
    </w:tbl>
    <w:p>
      <w:pPr>
        <w:pStyle w:val="TextBody"/>
        <w:bidi w:val="0"/>
        <w:spacing w:before="600" w:after="0"/>
        <w:jc w:val="center"/>
        <w:rPr>
          <w:rFonts w:ascii="Times New Roman" w:hAnsi="Times New Roman"/>
          <w:b/>
          <w:sz w:val="20"/>
        </w:rPr>
      </w:pPr>
      <w:r>
        <w:rPr>
          <w:rFonts w:ascii="Times New Roman" w:hAnsi="Times New Roman"/>
          <w:b/>
          <w:sz w:val="20"/>
        </w:rPr>
        <w:t xml:space="preserve">September 15,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8" w:name="d72941dexfilingfees.htm"/>
      <w:bookmarkStart w:id="29" w:name="ksd72941dexfilingfees"/>
      <w:bookmarkStart w:id="30" w:name="d72941dexfilingfees.htm"/>
      <w:bookmarkStart w:id="31" w:name="ksd72941dexfilingfees"/>
      <w:bookmarkEnd w:id="30"/>
      <w:bookmarkEnd w:id="31"/>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ANALOG DEVICES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04" w:type="dxa"/>
        <w:jc w:val="left"/>
        <w:tblInd w:w="0" w:type="dxa"/>
        <w:tblLayout w:type="fixed"/>
        <w:tblCellMar>
          <w:top w:w="28" w:type="dxa"/>
          <w:left w:w="28" w:type="dxa"/>
          <w:bottom w:w="28" w:type="dxa"/>
          <w:right w:w="28" w:type="dxa"/>
        </w:tblCellMar>
      </w:tblPr>
      <w:tblGrid>
        <w:gridCol w:w="1126"/>
        <w:gridCol w:w="226"/>
        <w:gridCol w:w="946"/>
        <w:gridCol w:w="946"/>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5.100%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$ 499,795,000.00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$ 69,021.69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5.350%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$ 499,330,000.00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$ 68,957.47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5.600% Notes due 2033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$ 999,570,000.00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$ 138,040.62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5.750%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$ 996,500,000.00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$ 137,616.65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2" w:name="MaxAggtOfferingPrice"/>
            <w:bookmarkEnd w:id="32"/>
            <w:r>
              <w:rPr/>
              <w:t xml:space="preserve">$ 2,995,195,000.00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$ 413,636.43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NetFeeAmt"/>
            <w:bookmarkEnd w:id="36"/>
            <w:r>
              <w:rPr/>
              <w:t xml:space="preserve">$ 413,636.43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3"/>
        <w:gridCol w:w="8707"/>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Analog Devices, Inc. (the "Company") deferred payment of registration fees for the Registration Statement on Form S-3 (File No. 333-281670), filed with the Securities and Exchange Commission (the "Commission") on August 21, 2024. This filing fee exhibit is in connection with a final prospectus supplement (the "prospectus supplement") dated September 15, 2026, filed by the Company with the Commission pursuant to Rule 424(b) of the Securities Act for the related offering.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0"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Analog Devices, Inc. (the "Company") deferred payment of registration fees for the Registration Statement on Form S-3 (File No. 333-281670), filed with the Securities and Exchange Commission (the "Commission") on August 21, 2024. This filing fee exhibit is in connection with a final prospectus supplement (the "prospectus supplement") dated September 15, 2026, filed by the Company with the Commission pursuant to Rule 424(b) of the Securities Act for the related offering.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5"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0"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Analog Devices, Inc. (the "Company") deferred payment of registration fees for the Registration Statement on Form S-3 (File No. 333-281670), filed with the Securities and Exchange Commission (the "Commission") on August 21, 2024. This filing fee exhibit is in connection with a final prospectus supplement (the "prospectus supplement") dated September 15, 2026, filed by the Company with the Commission pursuant to Rule 424(b) of the Securities Act for the related offering.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5"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0"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Analog Devices, Inc. (the "Company") deferred payment of registration fees for the Registration Statement on Form S-3 (File No. 333-281670), filed with the Securities and Exchange Commission (the "Commission") on August 21, 2024. This filing fee exhibit is in connection with a final prospectus supplement (the "prospectus supplement") dated September 15, 2026, filed by the Company with the Commission pursuant to Rule 424(b) of the Securities Act for the related offering.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6281/000000628125000153/adi-20251101.htm" TargetMode="External"/><Relationship Id="rId3" Type="http://schemas.openxmlformats.org/officeDocument/2006/relationships/hyperlink" Target="http://www.sec.gov/Archives/edgar/data/../../../ix?doc=/Archives/edgar/data/6281/000000628125000153/adi-20251101.htm" TargetMode="External"/><Relationship Id="rId4" Type="http://schemas.openxmlformats.org/officeDocument/2006/relationships/hyperlink" Target="http://www.sec.gov/Archives/edgar/data/../../../ix?doc=/Archives/edgar/data/6281/000000628126000010/adi-20260122.htm" TargetMode="External"/><Relationship Id="rId5" Type="http://schemas.openxmlformats.org/officeDocument/2006/relationships/hyperlink" Target="http://www.sec.gov/Archives/edgar/data/../../../ix?doc=/Archives/edgar/data/6281/000000628126000016/adi-20260131.htm" TargetMode="External"/><Relationship Id="rId6" Type="http://schemas.openxmlformats.org/officeDocument/2006/relationships/hyperlink" Target="http://www.sec.gov/Archives/edgar/data/../../../ix?doc=/Archives/edgar/data/6281/000000628126000052/adi-20260502.htm" TargetMode="External"/><Relationship Id="rId7" Type="http://schemas.openxmlformats.org/officeDocument/2006/relationships/hyperlink" Target="http://www.sec.gov/Archives/edgar/data/../../../ix?doc=/Archives/edgar/data/6281/000000628126000073/adi-20260801.htm" TargetMode="External"/><Relationship Id="rId8" Type="http://schemas.openxmlformats.org/officeDocument/2006/relationships/hyperlink" Target="http://www.sec.gov/Archives/edgar/data/../../../ix?doc=/Archives/edgar/data/6281/000000628126000008/adi-20260120.htm" TargetMode="External"/><Relationship Id="rId9" Type="http://schemas.openxmlformats.org/officeDocument/2006/relationships/hyperlink" Target="http://www.sec.gov/Archives/edgar/data/../../../ix?doc=/Archives/edgar/data/6281/000000628126000015/adi-20260217.htm" TargetMode="External"/><Relationship Id="rId10" Type="http://schemas.openxmlformats.org/officeDocument/2006/relationships/hyperlink" Target="http://www.sec.gov/Archives/edgar/data/../../../ix?doc=/Archives/edgar/data/6281/000000628126000022/adi-20260311.htm" TargetMode="External"/><Relationship Id="rId11" Type="http://schemas.openxmlformats.org/officeDocument/2006/relationships/hyperlink" Target="http://www.sec.gov/Archives/edgar/data/../../../ix?doc=/Archives/edgar/data/6281/000119312526294488/d112344d8k.htm" TargetMode="External"/><Relationship Id="rId12" Type="http://schemas.openxmlformats.org/officeDocument/2006/relationships/hyperlink" Target="http://www.sec.gov/Archives/edgar/data/../../../ix?doc=/Archives/edgar/data/6281/000119312526324223/d158253d8k.htm" TargetMode="External"/><Relationship Id="rId13" Type="http://schemas.openxmlformats.org/officeDocument/2006/relationships/image" Target="media/image1.jpeg"/><Relationship Id="rId14" Type="http://schemas.openxmlformats.org/officeDocument/2006/relationships/hyperlink" Target="http://www.sec.gov/Archives/edgar/data/../../../ix?doc=/Archives/edgar/data/0000006281/000000628123000203/adi-20231028.htm" TargetMode="External"/><Relationship Id="rId15" Type="http://schemas.openxmlformats.org/officeDocument/2006/relationships/hyperlink" Target="http://www.sec.gov/Archives/edgar/data/../../../ix?doc=/Archives/edgar/data/0000006281/000000628124000014/adi-20240118.htm" TargetMode="External"/><Relationship Id="rId16" Type="http://schemas.openxmlformats.org/officeDocument/2006/relationships/hyperlink" Target="http://www.sec.gov/Archives/edgar/data/../../../ix?doc=/Archives/edgar/data/0000006281/000000628124000034/adi-20240203.htm" TargetMode="External"/><Relationship Id="rId17" Type="http://schemas.openxmlformats.org/officeDocument/2006/relationships/hyperlink" Target="http://www.sec.gov/Archives/edgar/data/../../../ix?doc=/Archives/edgar/data/6281/000000628124000132/adi-20240504.htm" TargetMode="External"/><Relationship Id="rId18" Type="http://schemas.openxmlformats.org/officeDocument/2006/relationships/hyperlink" Target="http://www.sec.gov/Archives/edgar/data/../../../ix?doc=/Archives/edgar/data/6281/000000628124000159/adi-20240803.htm" TargetMode="External"/><Relationship Id="rId19" Type="http://schemas.openxmlformats.org/officeDocument/2006/relationships/hyperlink" Target="http://www.sec.gov/Archives/edgar/data/../../../ix?doc=/Archives/edgar/data/0000006281/000000628123000209/adi-20231205.htm" TargetMode="External"/><Relationship Id="rId20" Type="http://schemas.openxmlformats.org/officeDocument/2006/relationships/hyperlink" Target="http://www.sec.gov/Archives/edgar/data/../../../ix?doc=/Archives/edgar/data/0000006281/000000628124000012/adi-20240116.htm" TargetMode="External"/><Relationship Id="rId21" Type="http://schemas.openxmlformats.org/officeDocument/2006/relationships/hyperlink" Target="http://www.sec.gov/Archives/edgar/data/../../../ix?doc=/Archives/edgar/data/0000006281/000000628124000019/adi-20240124.htm" TargetMode="External"/><Relationship Id="rId22" Type="http://schemas.openxmlformats.org/officeDocument/2006/relationships/hyperlink" Target="http://www.sec.gov/Archives/edgar/data/../../../ix?doc=/Archives/edgar/data/0000006281/000000628124000032/adi-20240220.htm" TargetMode="External"/><Relationship Id="rId23" Type="http://schemas.openxmlformats.org/officeDocument/2006/relationships/hyperlink" Target="http://www.sec.gov/Archives/edgar/data/../../../ix?doc=/Archives/edgar/data/0000006281/000000628124000071/adi-20240313.htm" TargetMode="External"/><Relationship Id="rId24" Type="http://schemas.openxmlformats.org/officeDocument/2006/relationships/hyperlink" Target="http://www.sec.gov/Archives/edgar/data/../../../ix?doc=/Archives/edgar/data/0000006281/000119312524085997/d786555d8k.htm" TargetMode="External"/><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32058</Words>
  <Characters>167109</Characters>
  <CharactersWithSpaces>200005</CharactersWithSpaces>
  <Paragraphs>2450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