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2941d424b2.htm"/>
        <w:bookmarkStart w:id="1" w:name="ksd72941d424b2"/>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424(b)(2)</w:t>
        <w:br/>
        <w:t xml:space="preserve">Registration No. 333-281670 </w:t>
      </w:r>
    </w:p>
    <w:p>
      <w:pPr>
        <w:pStyle w:val="TextBody"/>
        <w:bidi w:val="0"/>
        <w:spacing w:before="0" w:after="0"/>
        <w:jc w:val="left"/>
        <w:rPr/>
      </w:pPr>
      <w:r>
        <w:rPr/>
        <w:t> </w:t>
      </w:r>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This preliminary prospectus supplement is not complete and may be changed. This preliminary prospectus supplement and the accompanying prospectus is not an offer to sell these securities and is not soliciting an offer to buy these securities in any state or jurisdiction where the offer or sale is not permitted. </w:t>
      </w:r>
    </w:p>
    <w:p>
      <w:pPr>
        <w:pStyle w:val="TextBody"/>
        <w:bidi w:val="0"/>
        <w:spacing w:before="0" w:after="0"/>
        <w:ind w:left="760" w:right="760" w:hanging="0"/>
        <w:jc w:val="left"/>
        <w:rPr/>
      </w:pPr>
      <w:r>
        <w:rPr/>
        <w:t> </w:t>
      </w:r>
    </w:p>
    <w:p>
      <w:pPr>
        <w:pStyle w:val="TextBody"/>
        <w:bidi w:val="0"/>
        <w:spacing w:before="0" w:after="0"/>
        <w:ind w:left="760" w:right="760" w:hanging="0"/>
        <w:jc w:val="center"/>
        <w:rPr>
          <w:rFonts w:ascii="Times New Roman" w:hAnsi="Times New Roman"/>
          <w:b/>
          <w:color w:val="FF4338"/>
          <w:sz w:val="18"/>
        </w:rPr>
      </w:pPr>
      <w:r>
        <w:rPr>
          <w:rFonts w:ascii="Times New Roman" w:hAnsi="Times New Roman"/>
          <w:b/>
          <w:color w:val="FF4338"/>
          <w:sz w:val="18"/>
        </w:rPr>
        <w:t xml:space="preserve">SUBJECT TO COMPLETION, DATED SEPTEMBER 15, 2026 </w:t>
      </w:r>
    </w:p>
    <w:p>
      <w:pPr>
        <w:pStyle w:val="TextBody"/>
        <w:bidi w:val="0"/>
        <w:spacing w:before="120" w:after="0"/>
        <w:ind w:left="760" w:right="760" w:hanging="0"/>
        <w:jc w:val="left"/>
        <w:rPr>
          <w:rFonts w:ascii="Times New Roman" w:hAnsi="Times New Roman"/>
          <w:b/>
          <w:sz w:val="18"/>
        </w:rPr>
      </w:pPr>
      <w:r>
        <w:rPr>
          <w:rFonts w:ascii="Times New Roman" w:hAnsi="Times New Roman"/>
          <w:b/>
          <w:sz w:val="18"/>
        </w:rPr>
        <w:t xml:space="preserve">PRELIMINARY PROSPECTUS SUPPLEMENT </w:t>
      </w:r>
    </w:p>
    <w:p>
      <w:pPr>
        <w:pStyle w:val="TextBody"/>
        <w:bidi w:val="0"/>
        <w:spacing w:before="0" w:after="0"/>
        <w:ind w:left="760" w:right="760" w:hanging="0"/>
        <w:jc w:val="left"/>
        <w:rPr>
          <w:rFonts w:ascii="Times New Roman" w:hAnsi="Times New Roman"/>
          <w:b/>
          <w:sz w:val="18"/>
        </w:rPr>
      </w:pPr>
      <w:r>
        <w:rPr>
          <w:rFonts w:ascii="Times New Roman" w:hAnsi="Times New Roman"/>
          <w:b/>
          <w:sz w:val="18"/>
        </w:rPr>
        <w:t xml:space="preserve">(TO PROSPECTUS DATED AUGUST 21, 2024) </w:t>
      </w:r>
    </w:p>
    <w:p>
      <w:pPr>
        <w:pStyle w:val="TextBody"/>
        <w:bidi w:val="0"/>
        <w:spacing w:before="120" w:after="0"/>
        <w:ind w:left="760" w:right="760" w:hanging="0"/>
        <w:jc w:val="center"/>
        <w:rPr>
          <w:rFonts w:ascii="Times New Roman" w:hAnsi="Times New Roman"/>
          <w:b/>
          <w:sz w:val="32"/>
        </w:rPr>
      </w:pPr>
      <w:r>
        <w:rPr>
          <w:rFonts w:ascii="Times New Roman" w:hAnsi="Times New Roman"/>
          <w:b/>
          <w:sz w:val="32"/>
        </w:rPr>
        <w:t xml:space="preserve">$    </w:t>
      </w:r>
    </w:p>
    <w:p>
      <w:pPr>
        <w:pStyle w:val="TextBody"/>
        <w:bidi w:val="0"/>
        <w:spacing w:before="120" w:after="0"/>
        <w:ind w:left="760" w:right="760" w:hanging="0"/>
        <w:jc w:val="center"/>
        <w:rPr>
          <w:rFonts w:ascii="Times New Roman" w:hAnsi="Times New Roman"/>
          <w:b/>
          <w:sz w:val="44"/>
        </w:rPr>
      </w:pPr>
      <w:r>
        <w:rPr>
          <w:rFonts w:ascii="Times New Roman" w:hAnsi="Times New Roman"/>
          <w:b/>
          <w:sz w:val="44"/>
        </w:rPr>
        <w:t xml:space="preserve">Analog Devices, Inc. </w:t>
      </w:r>
    </w:p>
    <w:p>
      <w:pPr>
        <w:pStyle w:val="TextBody"/>
        <w:bidi w:val="0"/>
        <w:spacing w:before="120" w:after="0"/>
        <w:ind w:left="760" w:right="760" w:hanging="0"/>
        <w:jc w:val="center"/>
        <w:rPr>
          <w:rFonts w:ascii="Times New Roman" w:hAnsi="Times New Roman"/>
          <w:b/>
          <w:sz w:val="26"/>
        </w:rPr>
      </w:pPr>
      <w:r>
        <w:rPr>
          <w:rFonts w:ascii="Times New Roman" w:hAnsi="Times New Roman"/>
          <w:b/>
          <w:sz w:val="26"/>
        </w:rPr>
        <w:t xml:space="preserve">$    Floating Rate Senior Notes Due 20  </w:t>
      </w:r>
    </w:p>
    <w:p>
      <w:pPr>
        <w:pStyle w:val="TextBody"/>
        <w:bidi w:val="0"/>
        <w:spacing w:before="0" w:after="0"/>
        <w:ind w:left="760" w:right="760" w:hanging="0"/>
        <w:jc w:val="center"/>
        <w:rPr>
          <w:rFonts w:ascii="Times New Roman" w:hAnsi="Times New Roman"/>
          <w:b/>
          <w:sz w:val="26"/>
        </w:rPr>
      </w:pPr>
      <w:r>
        <w:rPr>
          <w:rFonts w:ascii="Times New Roman" w:hAnsi="Times New Roman"/>
          <w:b/>
          <w:sz w:val="26"/>
        </w:rPr>
        <w:t xml:space="preserve">$    % Senior Notes Due 20  </w:t>
      </w:r>
    </w:p>
    <w:p>
      <w:pPr>
        <w:pStyle w:val="TextBody"/>
        <w:bidi w:val="0"/>
        <w:spacing w:before="0" w:after="0"/>
        <w:ind w:left="760" w:right="760" w:hanging="0"/>
        <w:jc w:val="center"/>
        <w:rPr>
          <w:rFonts w:ascii="Times New Roman" w:hAnsi="Times New Roman"/>
          <w:b/>
          <w:sz w:val="26"/>
        </w:rPr>
      </w:pPr>
      <w:r>
        <w:rPr>
          <w:rFonts w:ascii="Times New Roman" w:hAnsi="Times New Roman"/>
          <w:b/>
          <w:sz w:val="26"/>
        </w:rPr>
        <w:t xml:space="preserve">$    % Senior Notes Due 20  </w:t>
      </w:r>
    </w:p>
    <w:p>
      <w:pPr>
        <w:pStyle w:val="TextBody"/>
        <w:bidi w:val="0"/>
        <w:spacing w:before="0" w:after="0"/>
        <w:ind w:left="760" w:right="760" w:hanging="0"/>
        <w:jc w:val="center"/>
        <w:rPr>
          <w:rFonts w:ascii="Times New Roman" w:hAnsi="Times New Roman"/>
          <w:b/>
          <w:sz w:val="26"/>
        </w:rPr>
      </w:pPr>
      <w:r>
        <w:rPr>
          <w:rFonts w:ascii="Times New Roman" w:hAnsi="Times New Roman"/>
          <w:b/>
          <w:sz w:val="26"/>
        </w:rPr>
        <w:t xml:space="preserve">$    % Senior Notes Due 20  </w:t>
      </w:r>
    </w:p>
    <w:p>
      <w:pPr>
        <w:pStyle w:val="TextBody"/>
        <w:bidi w:val="0"/>
        <w:spacing w:before="0" w:after="0"/>
        <w:ind w:left="760" w:right="760" w:hanging="0"/>
        <w:jc w:val="center"/>
        <w:rPr>
          <w:rFonts w:ascii="Times New Roman" w:hAnsi="Times New Roman"/>
          <w:b/>
          <w:sz w:val="26"/>
        </w:rPr>
      </w:pPr>
      <w:r>
        <w:rPr>
          <w:rFonts w:ascii="Times New Roman" w:hAnsi="Times New Roman"/>
          <w:b/>
          <w:sz w:val="26"/>
        </w:rPr>
        <w:t xml:space="preserve">$    % Senior Notes Due 20  </w:t>
      </w:r>
    </w:p>
    <w:p>
      <w:pPr>
        <w:pStyle w:val="TextBody"/>
        <w:bidi w:val="0"/>
        <w:spacing w:before="0" w:after="0"/>
        <w:ind w:left="760" w:right="760" w:hanging="0"/>
        <w:jc w:val="left"/>
        <w:rPr/>
      </w:pPr>
      <w:r>
        <w:rPr/>
        <w:t> </w:t>
      </w:r>
    </w:p>
    <w:p>
      <w:pPr>
        <w:pStyle w:val="TextBody"/>
        <w:bidi w:val="0"/>
        <w:spacing w:lineRule="atLeast" w:line="142" w:before="0" w:after="40"/>
        <w:ind w:left="760" w:right="760" w:hanging="0"/>
        <w:jc w:val="center"/>
        <w:rPr>
          <w:bdr w:val="single" w:sz="8" w:space="1" w:color="000000"/>
        </w:rPr>
      </w:pPr>
      <w:r>
        <w:rPr>
          <w:bdr w:val="single" w:sz="8" w:space="1" w:color="000000"/>
        </w:rPr>
        <w:t> </w:t>
      </w:r>
    </w:p>
    <w:p>
      <w:pPr>
        <w:pStyle w:val="TextBody"/>
        <w:bidi w:val="0"/>
        <w:spacing w:before="120" w:after="0"/>
        <w:ind w:left="760" w:right="760" w:hanging="0"/>
        <w:jc w:val="left"/>
        <w:rPr>
          <w:rFonts w:ascii="Times New Roman" w:hAnsi="Times New Roman"/>
          <w:sz w:val="18"/>
        </w:rPr>
      </w:pPr>
      <w:r>
        <w:rPr>
          <w:rFonts w:ascii="Times New Roman" w:hAnsi="Times New Roman"/>
          <w:sz w:val="18"/>
        </w:rPr>
        <w:t xml:space="preserve">We are offering $     aggregate principal amount of our     floating rate senior notes due     , 20  , which we refer to as the “Floating Rate Notes,” $     aggregate principal amount of our  % senior notes due     , 20  , which we refer to as the “20   Notes,” $     aggregate principal amount of our  % senior notes due     , 20  , which we refer to as the “20   Notes,” $     aggregate principal amount of our  % senior notes due     , 20  , which we refer to as the “20  Notes” and $     aggregate principal amount of our  % senior notes due     , 20  , which we refer to as the “20   Notes.” We refer to the 20  Notes, the 20  Notes, the 20   Notes and the 20  Notes, collectively, as the “Fixed Rate Notes,” and to the Floating Rate Notes and the Fixed Rate Notes, collectively, as the “notes.” </w:t>
      </w:r>
    </w:p>
    <w:p>
      <w:pPr>
        <w:pStyle w:val="TextBody"/>
        <w:bidi w:val="0"/>
        <w:spacing w:before="120" w:after="0"/>
        <w:ind w:left="760" w:right="760" w:hanging="0"/>
        <w:jc w:val="left"/>
        <w:rPr>
          <w:rFonts w:ascii="Times New Roman" w:hAnsi="Times New Roman"/>
          <w:sz w:val="18"/>
        </w:rPr>
      </w:pPr>
      <w:r>
        <w:rPr>
          <w:rFonts w:ascii="Times New Roman" w:hAnsi="Times New Roman"/>
          <w:sz w:val="18"/>
        </w:rPr>
        <w:t xml:space="preserve">We will pay interest on the Floating Rate Notes quarterly in arrears on     ,     ,      and      of each year. The first interest payment for the Floating Rate Notes will be made on     , 2026. We will pay interest on the 20 Notes semi-annually in arrears each      and     . The first interest payment for the 20  Notes will be made on     , 2027. We will pay interest on the 20 Notes, the 20 Notes and the 20 Notes semi-annually in arrears each     and     . The first interest payment for the 20 Notes, the 20 Notes and the 20 Notes will be made on    , 2027. </w:t>
      </w:r>
    </w:p>
    <w:p>
      <w:pPr>
        <w:pStyle w:val="TextBody"/>
        <w:bidi w:val="0"/>
        <w:spacing w:before="120" w:after="0"/>
        <w:ind w:left="760" w:right="760" w:hanging="0"/>
        <w:jc w:val="left"/>
        <w:rPr>
          <w:rFonts w:ascii="Times New Roman" w:hAnsi="Times New Roman"/>
          <w:sz w:val="18"/>
        </w:rPr>
      </w:pPr>
      <w:r>
        <w:rPr>
          <w:rFonts w:ascii="Times New Roman" w:hAnsi="Times New Roman"/>
          <w:sz w:val="18"/>
        </w:rPr>
        <w:t xml:space="preserve">The Floating Rate Notes will bear interest at a floating annual rate equal to a benchmark rate, which will initially be Compounded SOFR (as defined under “Description of the Notes”), plus a spread of      basis points (  %) per annum. See “Description of the Notes—Interest—Floating Rate Notes.” </w:t>
      </w:r>
    </w:p>
    <w:p>
      <w:pPr>
        <w:pStyle w:val="TextBody"/>
        <w:bidi w:val="0"/>
        <w:spacing w:before="120" w:after="0"/>
        <w:ind w:left="760" w:right="760" w:hanging="0"/>
        <w:jc w:val="left"/>
        <w:rPr>
          <w:rFonts w:ascii="Times New Roman" w:hAnsi="Times New Roman"/>
          <w:sz w:val="18"/>
        </w:rPr>
      </w:pPr>
      <w:r>
        <w:rPr>
          <w:rFonts w:ascii="Times New Roman" w:hAnsi="Times New Roman"/>
          <w:sz w:val="18"/>
        </w:rPr>
        <w:t xml:space="preserve">We may not redeem the Floating Rate Notes prior to their maturity. We may redeem some or all of any series of the Fixed Rate Notes at any time and from time to time at the applicable redemption prices described under the caption “Description of the Notes—Optional Redemption.” If a Change of Control Triggering Event (as defined under the caption “Description of the Notes—Change of Control Offer”) occurs, we may be required to offer to purchase each series of notes from holders in cash at a repurchase price equal to 101% of the principal amount thereof, plus accrued and unpaid interest, if any, to the date of repurchase. There are no sinking funds for the notes. </w:t>
      </w:r>
    </w:p>
    <w:p>
      <w:pPr>
        <w:pStyle w:val="TextBody"/>
        <w:bidi w:val="0"/>
        <w:spacing w:before="120" w:after="0"/>
        <w:ind w:left="760" w:right="760" w:hanging="0"/>
        <w:jc w:val="left"/>
        <w:rPr>
          <w:rFonts w:ascii="Times New Roman" w:hAnsi="Times New Roman"/>
          <w:sz w:val="18"/>
        </w:rPr>
      </w:pPr>
      <w:r>
        <w:rPr>
          <w:rFonts w:ascii="Times New Roman" w:hAnsi="Times New Roman"/>
          <w:sz w:val="18"/>
        </w:rPr>
        <w:t xml:space="preserve">The notes will be our senior unsecured obligations. Each series of notes will rank without preference or priority among themselves and equally in right of payment with all of our other existing and future senior unsecured and unsubordinated debt and rank senior in right of payment to all of our future subordinated debt. </w:t>
      </w:r>
    </w:p>
    <w:p>
      <w:pPr>
        <w:pStyle w:val="TextBody"/>
        <w:bidi w:val="0"/>
        <w:spacing w:before="120" w:after="0"/>
        <w:ind w:left="760" w:right="760" w:hanging="0"/>
        <w:jc w:val="left"/>
        <w:rPr>
          <w:rFonts w:ascii="Times New Roman" w:hAnsi="Times New Roman"/>
          <w:sz w:val="18"/>
        </w:rPr>
      </w:pPr>
      <w:r>
        <w:rPr>
          <w:rFonts w:ascii="Times New Roman" w:hAnsi="Times New Roman"/>
          <w:sz w:val="18"/>
        </w:rPr>
        <w:t xml:space="preserve">The notes are new issues of securities with no established trading markets. We do not intend to apply for the listing of the notes on any securities exchange or for inclusion of the notes on any automated dealer quotation system. </w:t>
      </w:r>
    </w:p>
    <w:p>
      <w:pPr>
        <w:pStyle w:val="TextBody"/>
        <w:bidi w:val="0"/>
        <w:spacing w:before="120" w:after="0"/>
        <w:ind w:left="760" w:right="760" w:hanging="0"/>
        <w:jc w:val="left"/>
        <w:rPr/>
      </w:pPr>
      <w:r>
        <w:rPr>
          <w:rFonts w:ascii="Times New Roman" w:hAnsi="Times New Roman"/>
          <w:b/>
          <w:sz w:val="22"/>
        </w:rPr>
        <w:t>Investing in the notes involves risks. See “</w:t>
      </w:r>
      <w:hyperlink w:anchor="supprom72941_4">
        <w:r>
          <w:rPr>
            <w:rStyle w:val="InternetLink"/>
            <w:rFonts w:ascii="Times New Roman" w:hAnsi="Times New Roman"/>
            <w:b/>
            <w:sz w:val="22"/>
          </w:rPr>
          <w:t>Risk Factors</w:t>
        </w:r>
      </w:hyperlink>
      <w:r>
        <w:rPr>
          <w:rFonts w:ascii="Times New Roman" w:hAnsi="Times New Roman"/>
          <w:b/>
          <w:sz w:val="22"/>
        </w:rPr>
        <w:t xml:space="preserve">” beginning on page S-6. </w:t>
      </w:r>
    </w:p>
    <w:p>
      <w:pPr>
        <w:pStyle w:val="TextBody"/>
        <w:bidi w:val="0"/>
        <w:spacing w:before="0" w:after="0"/>
        <w:ind w:left="760" w:right="760" w:hanging="0"/>
        <w:jc w:val="left"/>
        <w:rPr/>
      </w:pPr>
      <w:r>
        <w:rPr/>
        <w:t> </w:t>
      </w:r>
    </w:p>
    <w:tbl>
      <w:tblPr>
        <w:tblW w:w="4200" w:type="pct"/>
        <w:jc w:val="center"/>
        <w:tblInd w:w="0" w:type="dxa"/>
        <w:tblLayout w:type="fixed"/>
        <w:tblCellMar>
          <w:top w:w="0" w:type="dxa"/>
          <w:left w:w="0" w:type="dxa"/>
          <w:bottom w:w="0" w:type="dxa"/>
          <w:right w:w="0" w:type="dxa"/>
        </w:tblCellMar>
      </w:tblPr>
      <w:tblGrid>
        <w:gridCol w:w="1525"/>
        <w:gridCol w:w="239"/>
        <w:gridCol w:w="274"/>
        <w:gridCol w:w="1572"/>
        <w:gridCol w:w="323"/>
        <w:gridCol w:w="161"/>
        <w:gridCol w:w="247"/>
        <w:gridCol w:w="1416"/>
        <w:gridCol w:w="323"/>
        <w:gridCol w:w="161"/>
        <w:gridCol w:w="297"/>
        <w:gridCol w:w="1705"/>
        <w:gridCol w:w="329"/>
      </w:tblGrid>
      <w:tr>
        <w:trPr/>
        <w:tc>
          <w:tcPr>
            <w:tcW w:w="1525"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525"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8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Price to public(1)</w:t>
            </w:r>
          </w:p>
        </w:tc>
        <w:tc>
          <w:tcPr>
            <w:tcW w:w="32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6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Underwriting</w:t>
              <w:br/>
              <w:t>discounts</w:t>
            </w:r>
          </w:p>
        </w:tc>
        <w:tc>
          <w:tcPr>
            <w:tcW w:w="32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0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Proceeds, before</w:t>
              <w:br/>
              <w:t>expenses, to us(1)</w:t>
            </w:r>
          </w:p>
        </w:tc>
        <w:tc>
          <w:tcPr>
            <w:tcW w:w="329" w:type="dxa"/>
            <w:tcBorders/>
            <w:vAlign w:val="bottom"/>
          </w:tcPr>
          <w:p>
            <w:pPr>
              <w:pStyle w:val="TableContents"/>
              <w:bidi w:val="0"/>
              <w:spacing w:before="0" w:after="283"/>
              <w:jc w:val="left"/>
              <w:rPr/>
            </w:pPr>
            <w:r>
              <w:rPr/>
              <w:t> </w:t>
            </w:r>
          </w:p>
        </w:tc>
      </w:tr>
      <w:tr>
        <w:trPr/>
        <w:tc>
          <w:tcPr>
            <w:tcW w:w="152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Per Floating Rate Note</w:t>
            </w:r>
          </w:p>
        </w:tc>
        <w:tc>
          <w:tcPr>
            <w:tcW w:w="239"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572" w:type="dxa"/>
            <w:tcBorders/>
            <w:shd w:fill="CCEEFF" w:val="clear"/>
            <w:vAlign w:val="bottom"/>
          </w:tcPr>
          <w:p>
            <w:pPr>
              <w:pStyle w:val="TableContents"/>
              <w:bidi w:val="0"/>
              <w:spacing w:before="0" w:after="283"/>
              <w:jc w:val="right"/>
              <w:rPr/>
            </w:pPr>
            <w:r>
              <w:rPr/>
              <w:t> </w:t>
            </w:r>
          </w:p>
        </w:tc>
        <w:tc>
          <w:tcPr>
            <w:tcW w:w="32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416" w:type="dxa"/>
            <w:tcBorders/>
            <w:shd w:fill="CCEEFF" w:val="clear"/>
            <w:vAlign w:val="bottom"/>
          </w:tcPr>
          <w:p>
            <w:pPr>
              <w:pStyle w:val="TableContents"/>
              <w:bidi w:val="0"/>
              <w:spacing w:before="0" w:after="283"/>
              <w:jc w:val="right"/>
              <w:rPr/>
            </w:pPr>
            <w:r>
              <w:rPr/>
              <w:t> </w:t>
            </w:r>
          </w:p>
        </w:tc>
        <w:tc>
          <w:tcPr>
            <w:tcW w:w="32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705" w:type="dxa"/>
            <w:tcBorders/>
            <w:shd w:fill="CCEEFF" w:val="clear"/>
            <w:vAlign w:val="bottom"/>
          </w:tcPr>
          <w:p>
            <w:pPr>
              <w:pStyle w:val="TableContents"/>
              <w:bidi w:val="0"/>
              <w:spacing w:before="0" w:after="283"/>
              <w:jc w:val="right"/>
              <w:rPr/>
            </w:pPr>
            <w:r>
              <w:rPr/>
              <w:t> </w:t>
            </w:r>
          </w:p>
        </w:tc>
        <w:tc>
          <w:tcPr>
            <w:tcW w:w="329" w:type="dxa"/>
            <w:tcBorders/>
            <w:shd w:fill="CCEEFF" w:val="clear"/>
            <w:vAlign w:val="bottom"/>
          </w:tcPr>
          <w:p>
            <w:pPr>
              <w:pStyle w:val="TableContents"/>
              <w:bidi w:val="0"/>
              <w:spacing w:before="0" w:after="283"/>
              <w:jc w:val="left"/>
              <w:rPr/>
            </w:pPr>
            <w:r>
              <w:rPr/>
              <w:t>% </w:t>
            </w:r>
          </w:p>
        </w:tc>
      </w:tr>
      <w:tr>
        <w:trPr/>
        <w:tc>
          <w:tcPr>
            <w:tcW w:w="1525" w:type="dxa"/>
            <w:tcBorders/>
          </w:tcPr>
          <w:p>
            <w:pPr>
              <w:pStyle w:val="TableContents"/>
              <w:bidi w:val="0"/>
              <w:spacing w:before="0" w:after="0"/>
              <w:jc w:val="left"/>
              <w:rPr>
                <w:rFonts w:ascii="Times New Roman" w:hAnsi="Times New Roman"/>
                <w:sz w:val="18"/>
              </w:rPr>
            </w:pPr>
            <w:r>
              <w:rPr>
                <w:rFonts w:ascii="Times New Roman" w:hAnsi="Times New Roman"/>
                <w:sz w:val="18"/>
              </w:rPr>
              <w:t>Floating Rate Notes Total</w:t>
            </w:r>
          </w:p>
        </w:tc>
        <w:tc>
          <w:tcPr>
            <w:tcW w:w="239"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w:t>
            </w:r>
          </w:p>
        </w:tc>
        <w:tc>
          <w:tcPr>
            <w:tcW w:w="1572" w:type="dxa"/>
            <w:tcBorders/>
            <w:vAlign w:val="bottom"/>
          </w:tcPr>
          <w:p>
            <w:pPr>
              <w:pStyle w:val="TableContents"/>
              <w:bidi w:val="0"/>
              <w:spacing w:before="0" w:after="283"/>
              <w:jc w:val="right"/>
              <w:rPr/>
            </w:pPr>
            <w:r>
              <w:rPr/>
              <w:t>    </w:t>
            </w:r>
          </w:p>
        </w:tc>
        <w:tc>
          <w:tcPr>
            <w:tcW w:w="32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16" w:type="dxa"/>
            <w:tcBorders/>
            <w:vAlign w:val="bottom"/>
          </w:tcPr>
          <w:p>
            <w:pPr>
              <w:pStyle w:val="TableContents"/>
              <w:bidi w:val="0"/>
              <w:spacing w:before="0" w:after="283"/>
              <w:jc w:val="right"/>
              <w:rPr/>
            </w:pPr>
            <w:r>
              <w:rPr/>
              <w:t>    </w:t>
            </w:r>
          </w:p>
        </w:tc>
        <w:tc>
          <w:tcPr>
            <w:tcW w:w="32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w:t>
            </w:r>
          </w:p>
        </w:tc>
        <w:tc>
          <w:tcPr>
            <w:tcW w:w="1705" w:type="dxa"/>
            <w:tcBorders/>
            <w:vAlign w:val="bottom"/>
          </w:tcPr>
          <w:p>
            <w:pPr>
              <w:pStyle w:val="TableContents"/>
              <w:bidi w:val="0"/>
              <w:spacing w:before="0" w:after="283"/>
              <w:jc w:val="right"/>
              <w:rPr/>
            </w:pPr>
            <w:r>
              <w:rPr/>
              <w:t>    </w:t>
            </w:r>
          </w:p>
        </w:tc>
        <w:tc>
          <w:tcPr>
            <w:tcW w:w="329" w:type="dxa"/>
            <w:tcBorders/>
            <w:vAlign w:val="bottom"/>
          </w:tcPr>
          <w:p>
            <w:pPr>
              <w:pStyle w:val="TableContents"/>
              <w:bidi w:val="0"/>
              <w:spacing w:before="0" w:after="283"/>
              <w:jc w:val="left"/>
              <w:rPr/>
            </w:pPr>
            <w:r>
              <w:rPr/>
              <w:t> </w:t>
            </w:r>
          </w:p>
        </w:tc>
      </w:tr>
      <w:tr>
        <w:trPr/>
        <w:tc>
          <w:tcPr>
            <w:tcW w:w="152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Per 20  Note</w:t>
            </w:r>
          </w:p>
        </w:tc>
        <w:tc>
          <w:tcPr>
            <w:tcW w:w="239"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572" w:type="dxa"/>
            <w:tcBorders/>
            <w:shd w:fill="CCEEFF" w:val="clear"/>
            <w:vAlign w:val="bottom"/>
          </w:tcPr>
          <w:p>
            <w:pPr>
              <w:pStyle w:val="TableContents"/>
              <w:bidi w:val="0"/>
              <w:spacing w:before="0" w:after="283"/>
              <w:jc w:val="right"/>
              <w:rPr/>
            </w:pPr>
            <w:r>
              <w:rPr/>
              <w:t> </w:t>
            </w:r>
          </w:p>
        </w:tc>
        <w:tc>
          <w:tcPr>
            <w:tcW w:w="32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416" w:type="dxa"/>
            <w:tcBorders/>
            <w:shd w:fill="CCEEFF" w:val="clear"/>
            <w:vAlign w:val="bottom"/>
          </w:tcPr>
          <w:p>
            <w:pPr>
              <w:pStyle w:val="TableContents"/>
              <w:bidi w:val="0"/>
              <w:spacing w:before="0" w:after="283"/>
              <w:jc w:val="right"/>
              <w:rPr/>
            </w:pPr>
            <w:r>
              <w:rPr/>
              <w:t> </w:t>
            </w:r>
          </w:p>
        </w:tc>
        <w:tc>
          <w:tcPr>
            <w:tcW w:w="32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705" w:type="dxa"/>
            <w:tcBorders/>
            <w:shd w:fill="CCEEFF" w:val="clear"/>
            <w:vAlign w:val="bottom"/>
          </w:tcPr>
          <w:p>
            <w:pPr>
              <w:pStyle w:val="TableContents"/>
              <w:bidi w:val="0"/>
              <w:spacing w:before="0" w:after="283"/>
              <w:jc w:val="right"/>
              <w:rPr/>
            </w:pPr>
            <w:r>
              <w:rPr/>
              <w:t> </w:t>
            </w:r>
          </w:p>
        </w:tc>
        <w:tc>
          <w:tcPr>
            <w:tcW w:w="329" w:type="dxa"/>
            <w:tcBorders/>
            <w:shd w:fill="CCEEFF" w:val="clear"/>
            <w:vAlign w:val="bottom"/>
          </w:tcPr>
          <w:p>
            <w:pPr>
              <w:pStyle w:val="TableContents"/>
              <w:bidi w:val="0"/>
              <w:spacing w:before="0" w:after="283"/>
              <w:jc w:val="left"/>
              <w:rPr/>
            </w:pPr>
            <w:r>
              <w:rPr/>
              <w:t>% </w:t>
            </w:r>
          </w:p>
        </w:tc>
      </w:tr>
      <w:tr>
        <w:trPr/>
        <w:tc>
          <w:tcPr>
            <w:tcW w:w="1525" w:type="dxa"/>
            <w:tcBorders/>
          </w:tcPr>
          <w:p>
            <w:pPr>
              <w:pStyle w:val="TableContents"/>
              <w:bidi w:val="0"/>
              <w:spacing w:before="0" w:after="0"/>
              <w:jc w:val="left"/>
              <w:rPr>
                <w:rFonts w:ascii="Times New Roman" w:hAnsi="Times New Roman"/>
                <w:sz w:val="18"/>
              </w:rPr>
            </w:pPr>
            <w:r>
              <w:rPr>
                <w:rFonts w:ascii="Times New Roman" w:hAnsi="Times New Roman"/>
                <w:sz w:val="18"/>
              </w:rPr>
              <w:t>20  Notes Total</w:t>
            </w:r>
          </w:p>
        </w:tc>
        <w:tc>
          <w:tcPr>
            <w:tcW w:w="239"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w:t>
            </w:r>
          </w:p>
        </w:tc>
        <w:tc>
          <w:tcPr>
            <w:tcW w:w="1572" w:type="dxa"/>
            <w:tcBorders/>
            <w:vAlign w:val="bottom"/>
          </w:tcPr>
          <w:p>
            <w:pPr>
              <w:pStyle w:val="TableContents"/>
              <w:bidi w:val="0"/>
              <w:spacing w:before="0" w:after="283"/>
              <w:jc w:val="right"/>
              <w:rPr/>
            </w:pPr>
            <w:r>
              <w:rPr/>
              <w:t> </w:t>
            </w:r>
          </w:p>
        </w:tc>
        <w:tc>
          <w:tcPr>
            <w:tcW w:w="32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16" w:type="dxa"/>
            <w:tcBorders/>
            <w:vAlign w:val="bottom"/>
          </w:tcPr>
          <w:p>
            <w:pPr>
              <w:pStyle w:val="TableContents"/>
              <w:bidi w:val="0"/>
              <w:spacing w:before="0" w:after="283"/>
              <w:jc w:val="right"/>
              <w:rPr/>
            </w:pPr>
            <w:r>
              <w:rPr/>
              <w:t> </w:t>
            </w:r>
          </w:p>
        </w:tc>
        <w:tc>
          <w:tcPr>
            <w:tcW w:w="32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w:t>
            </w:r>
          </w:p>
        </w:tc>
        <w:tc>
          <w:tcPr>
            <w:tcW w:w="1705" w:type="dxa"/>
            <w:tcBorders/>
            <w:vAlign w:val="bottom"/>
          </w:tcPr>
          <w:p>
            <w:pPr>
              <w:pStyle w:val="TableContents"/>
              <w:bidi w:val="0"/>
              <w:spacing w:before="0" w:after="283"/>
              <w:jc w:val="right"/>
              <w:rPr/>
            </w:pPr>
            <w:r>
              <w:rPr/>
              <w:t> </w:t>
            </w:r>
          </w:p>
        </w:tc>
        <w:tc>
          <w:tcPr>
            <w:tcW w:w="329" w:type="dxa"/>
            <w:tcBorders/>
            <w:vAlign w:val="bottom"/>
          </w:tcPr>
          <w:p>
            <w:pPr>
              <w:pStyle w:val="TableContents"/>
              <w:bidi w:val="0"/>
              <w:spacing w:before="0" w:after="283"/>
              <w:jc w:val="left"/>
              <w:rPr/>
            </w:pPr>
            <w:r>
              <w:rPr/>
              <w:t> </w:t>
            </w:r>
          </w:p>
        </w:tc>
      </w:tr>
      <w:tr>
        <w:trPr/>
        <w:tc>
          <w:tcPr>
            <w:tcW w:w="152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Per 20  Note</w:t>
            </w:r>
          </w:p>
        </w:tc>
        <w:tc>
          <w:tcPr>
            <w:tcW w:w="239"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572" w:type="dxa"/>
            <w:tcBorders/>
            <w:shd w:fill="CCEEFF" w:val="clear"/>
            <w:vAlign w:val="bottom"/>
          </w:tcPr>
          <w:p>
            <w:pPr>
              <w:pStyle w:val="TableContents"/>
              <w:bidi w:val="0"/>
              <w:spacing w:before="0" w:after="283"/>
              <w:jc w:val="right"/>
              <w:rPr/>
            </w:pPr>
            <w:r>
              <w:rPr/>
              <w:t> </w:t>
            </w:r>
          </w:p>
        </w:tc>
        <w:tc>
          <w:tcPr>
            <w:tcW w:w="32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416" w:type="dxa"/>
            <w:tcBorders/>
            <w:shd w:fill="CCEEFF" w:val="clear"/>
            <w:vAlign w:val="bottom"/>
          </w:tcPr>
          <w:p>
            <w:pPr>
              <w:pStyle w:val="TableContents"/>
              <w:bidi w:val="0"/>
              <w:spacing w:before="0" w:after="283"/>
              <w:jc w:val="right"/>
              <w:rPr/>
            </w:pPr>
            <w:r>
              <w:rPr/>
              <w:t> </w:t>
            </w:r>
          </w:p>
        </w:tc>
        <w:tc>
          <w:tcPr>
            <w:tcW w:w="32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705" w:type="dxa"/>
            <w:tcBorders/>
            <w:shd w:fill="CCEEFF" w:val="clear"/>
            <w:vAlign w:val="bottom"/>
          </w:tcPr>
          <w:p>
            <w:pPr>
              <w:pStyle w:val="TableContents"/>
              <w:bidi w:val="0"/>
              <w:spacing w:before="0" w:after="283"/>
              <w:jc w:val="right"/>
              <w:rPr/>
            </w:pPr>
            <w:r>
              <w:rPr/>
              <w:t> </w:t>
            </w:r>
          </w:p>
        </w:tc>
        <w:tc>
          <w:tcPr>
            <w:tcW w:w="329" w:type="dxa"/>
            <w:tcBorders/>
            <w:shd w:fill="CCEEFF" w:val="clear"/>
            <w:vAlign w:val="bottom"/>
          </w:tcPr>
          <w:p>
            <w:pPr>
              <w:pStyle w:val="TableContents"/>
              <w:bidi w:val="0"/>
              <w:spacing w:before="0" w:after="283"/>
              <w:jc w:val="left"/>
              <w:rPr/>
            </w:pPr>
            <w:r>
              <w:rPr/>
              <w:t>% </w:t>
            </w:r>
          </w:p>
        </w:tc>
      </w:tr>
      <w:tr>
        <w:trPr/>
        <w:tc>
          <w:tcPr>
            <w:tcW w:w="1525" w:type="dxa"/>
            <w:tcBorders/>
          </w:tcPr>
          <w:p>
            <w:pPr>
              <w:pStyle w:val="TableContents"/>
              <w:bidi w:val="0"/>
              <w:spacing w:before="0" w:after="0"/>
              <w:jc w:val="left"/>
              <w:rPr>
                <w:rFonts w:ascii="Times New Roman" w:hAnsi="Times New Roman"/>
                <w:sz w:val="18"/>
              </w:rPr>
            </w:pPr>
            <w:r>
              <w:rPr>
                <w:rFonts w:ascii="Times New Roman" w:hAnsi="Times New Roman"/>
                <w:sz w:val="18"/>
              </w:rPr>
              <w:t>20  Notes Total</w:t>
            </w:r>
          </w:p>
        </w:tc>
        <w:tc>
          <w:tcPr>
            <w:tcW w:w="239"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w:t>
            </w:r>
          </w:p>
        </w:tc>
        <w:tc>
          <w:tcPr>
            <w:tcW w:w="1572" w:type="dxa"/>
            <w:tcBorders/>
            <w:vAlign w:val="bottom"/>
          </w:tcPr>
          <w:p>
            <w:pPr>
              <w:pStyle w:val="TableContents"/>
              <w:bidi w:val="0"/>
              <w:spacing w:before="0" w:after="283"/>
              <w:jc w:val="right"/>
              <w:rPr/>
            </w:pPr>
            <w:r>
              <w:rPr/>
              <w:t> </w:t>
            </w:r>
          </w:p>
        </w:tc>
        <w:tc>
          <w:tcPr>
            <w:tcW w:w="32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16" w:type="dxa"/>
            <w:tcBorders/>
            <w:vAlign w:val="bottom"/>
          </w:tcPr>
          <w:p>
            <w:pPr>
              <w:pStyle w:val="TableContents"/>
              <w:bidi w:val="0"/>
              <w:spacing w:before="0" w:after="283"/>
              <w:jc w:val="right"/>
              <w:rPr/>
            </w:pPr>
            <w:r>
              <w:rPr/>
              <w:t> </w:t>
            </w:r>
          </w:p>
        </w:tc>
        <w:tc>
          <w:tcPr>
            <w:tcW w:w="32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w:t>
            </w:r>
          </w:p>
        </w:tc>
        <w:tc>
          <w:tcPr>
            <w:tcW w:w="1705" w:type="dxa"/>
            <w:tcBorders/>
            <w:vAlign w:val="bottom"/>
          </w:tcPr>
          <w:p>
            <w:pPr>
              <w:pStyle w:val="TableContents"/>
              <w:bidi w:val="0"/>
              <w:spacing w:before="0" w:after="283"/>
              <w:jc w:val="right"/>
              <w:rPr/>
            </w:pPr>
            <w:r>
              <w:rPr/>
              <w:t> </w:t>
            </w:r>
          </w:p>
        </w:tc>
        <w:tc>
          <w:tcPr>
            <w:tcW w:w="329" w:type="dxa"/>
            <w:tcBorders/>
            <w:vAlign w:val="bottom"/>
          </w:tcPr>
          <w:p>
            <w:pPr>
              <w:pStyle w:val="TableContents"/>
              <w:bidi w:val="0"/>
              <w:spacing w:before="0" w:after="283"/>
              <w:jc w:val="left"/>
              <w:rPr/>
            </w:pPr>
            <w:r>
              <w:rPr/>
              <w:t> </w:t>
            </w:r>
          </w:p>
        </w:tc>
      </w:tr>
      <w:tr>
        <w:trPr/>
        <w:tc>
          <w:tcPr>
            <w:tcW w:w="152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Per 20  Note</w:t>
            </w:r>
          </w:p>
        </w:tc>
        <w:tc>
          <w:tcPr>
            <w:tcW w:w="239"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572" w:type="dxa"/>
            <w:tcBorders/>
            <w:shd w:fill="CCEEFF" w:val="clear"/>
            <w:vAlign w:val="bottom"/>
          </w:tcPr>
          <w:p>
            <w:pPr>
              <w:pStyle w:val="TableContents"/>
              <w:bidi w:val="0"/>
              <w:spacing w:before="0" w:after="283"/>
              <w:jc w:val="right"/>
              <w:rPr/>
            </w:pPr>
            <w:r>
              <w:rPr/>
              <w:t> </w:t>
            </w:r>
          </w:p>
        </w:tc>
        <w:tc>
          <w:tcPr>
            <w:tcW w:w="32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416" w:type="dxa"/>
            <w:tcBorders/>
            <w:shd w:fill="CCEEFF" w:val="clear"/>
            <w:vAlign w:val="bottom"/>
          </w:tcPr>
          <w:p>
            <w:pPr>
              <w:pStyle w:val="TableContents"/>
              <w:bidi w:val="0"/>
              <w:spacing w:before="0" w:after="283"/>
              <w:jc w:val="right"/>
              <w:rPr/>
            </w:pPr>
            <w:r>
              <w:rPr/>
              <w:t> </w:t>
            </w:r>
          </w:p>
        </w:tc>
        <w:tc>
          <w:tcPr>
            <w:tcW w:w="32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705" w:type="dxa"/>
            <w:tcBorders/>
            <w:shd w:fill="CCEEFF" w:val="clear"/>
            <w:vAlign w:val="bottom"/>
          </w:tcPr>
          <w:p>
            <w:pPr>
              <w:pStyle w:val="TableContents"/>
              <w:bidi w:val="0"/>
              <w:spacing w:before="0" w:after="283"/>
              <w:jc w:val="right"/>
              <w:rPr/>
            </w:pPr>
            <w:r>
              <w:rPr/>
              <w:t> </w:t>
            </w:r>
          </w:p>
        </w:tc>
        <w:tc>
          <w:tcPr>
            <w:tcW w:w="329" w:type="dxa"/>
            <w:tcBorders/>
            <w:shd w:fill="CCEEFF" w:val="clear"/>
            <w:vAlign w:val="bottom"/>
          </w:tcPr>
          <w:p>
            <w:pPr>
              <w:pStyle w:val="TableContents"/>
              <w:bidi w:val="0"/>
              <w:spacing w:before="0" w:after="283"/>
              <w:jc w:val="left"/>
              <w:rPr/>
            </w:pPr>
            <w:r>
              <w:rPr/>
              <w:t>% </w:t>
            </w:r>
          </w:p>
        </w:tc>
      </w:tr>
      <w:tr>
        <w:trPr/>
        <w:tc>
          <w:tcPr>
            <w:tcW w:w="1525" w:type="dxa"/>
            <w:tcBorders/>
          </w:tcPr>
          <w:p>
            <w:pPr>
              <w:pStyle w:val="TableContents"/>
              <w:bidi w:val="0"/>
              <w:spacing w:before="0" w:after="0"/>
              <w:jc w:val="left"/>
              <w:rPr>
                <w:rFonts w:ascii="Times New Roman" w:hAnsi="Times New Roman"/>
                <w:sz w:val="18"/>
              </w:rPr>
            </w:pPr>
            <w:r>
              <w:rPr>
                <w:rFonts w:ascii="Times New Roman" w:hAnsi="Times New Roman"/>
                <w:sz w:val="18"/>
              </w:rPr>
              <w:t>20  Notes Total</w:t>
            </w:r>
          </w:p>
        </w:tc>
        <w:tc>
          <w:tcPr>
            <w:tcW w:w="239"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w:t>
            </w:r>
          </w:p>
        </w:tc>
        <w:tc>
          <w:tcPr>
            <w:tcW w:w="1572" w:type="dxa"/>
            <w:tcBorders/>
            <w:vAlign w:val="bottom"/>
          </w:tcPr>
          <w:p>
            <w:pPr>
              <w:pStyle w:val="TableContents"/>
              <w:bidi w:val="0"/>
              <w:spacing w:before="0" w:after="283"/>
              <w:jc w:val="right"/>
              <w:rPr/>
            </w:pPr>
            <w:r>
              <w:rPr/>
              <w:t> </w:t>
            </w:r>
          </w:p>
        </w:tc>
        <w:tc>
          <w:tcPr>
            <w:tcW w:w="32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16" w:type="dxa"/>
            <w:tcBorders/>
            <w:vAlign w:val="bottom"/>
          </w:tcPr>
          <w:p>
            <w:pPr>
              <w:pStyle w:val="TableContents"/>
              <w:bidi w:val="0"/>
              <w:spacing w:before="0" w:after="283"/>
              <w:jc w:val="right"/>
              <w:rPr/>
            </w:pPr>
            <w:r>
              <w:rPr/>
              <w:t> </w:t>
            </w:r>
          </w:p>
        </w:tc>
        <w:tc>
          <w:tcPr>
            <w:tcW w:w="32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w:t>
            </w:r>
          </w:p>
        </w:tc>
        <w:tc>
          <w:tcPr>
            <w:tcW w:w="1705" w:type="dxa"/>
            <w:tcBorders/>
            <w:vAlign w:val="bottom"/>
          </w:tcPr>
          <w:p>
            <w:pPr>
              <w:pStyle w:val="TableContents"/>
              <w:bidi w:val="0"/>
              <w:spacing w:before="0" w:after="283"/>
              <w:jc w:val="right"/>
              <w:rPr/>
            </w:pPr>
            <w:r>
              <w:rPr/>
              <w:t> </w:t>
            </w:r>
          </w:p>
        </w:tc>
        <w:tc>
          <w:tcPr>
            <w:tcW w:w="329" w:type="dxa"/>
            <w:tcBorders/>
            <w:vAlign w:val="bottom"/>
          </w:tcPr>
          <w:p>
            <w:pPr>
              <w:pStyle w:val="TableContents"/>
              <w:bidi w:val="0"/>
              <w:spacing w:before="0" w:after="283"/>
              <w:jc w:val="left"/>
              <w:rPr/>
            </w:pPr>
            <w:r>
              <w:rPr/>
              <w:t> </w:t>
            </w:r>
          </w:p>
        </w:tc>
      </w:tr>
      <w:tr>
        <w:trPr/>
        <w:tc>
          <w:tcPr>
            <w:tcW w:w="152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Per 20  Note</w:t>
            </w:r>
          </w:p>
        </w:tc>
        <w:tc>
          <w:tcPr>
            <w:tcW w:w="239"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572" w:type="dxa"/>
            <w:tcBorders/>
            <w:shd w:fill="CCEEFF" w:val="clear"/>
            <w:vAlign w:val="bottom"/>
          </w:tcPr>
          <w:p>
            <w:pPr>
              <w:pStyle w:val="TableContents"/>
              <w:bidi w:val="0"/>
              <w:spacing w:before="0" w:after="283"/>
              <w:jc w:val="right"/>
              <w:rPr/>
            </w:pPr>
            <w:r>
              <w:rPr/>
              <w:t> </w:t>
            </w:r>
          </w:p>
        </w:tc>
        <w:tc>
          <w:tcPr>
            <w:tcW w:w="32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416" w:type="dxa"/>
            <w:tcBorders/>
            <w:shd w:fill="CCEEFF" w:val="clear"/>
            <w:vAlign w:val="bottom"/>
          </w:tcPr>
          <w:p>
            <w:pPr>
              <w:pStyle w:val="TableContents"/>
              <w:bidi w:val="0"/>
              <w:spacing w:before="0" w:after="283"/>
              <w:jc w:val="right"/>
              <w:rPr/>
            </w:pPr>
            <w:r>
              <w:rPr/>
              <w:t> </w:t>
            </w:r>
          </w:p>
        </w:tc>
        <w:tc>
          <w:tcPr>
            <w:tcW w:w="32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705" w:type="dxa"/>
            <w:tcBorders/>
            <w:shd w:fill="CCEEFF" w:val="clear"/>
            <w:vAlign w:val="bottom"/>
          </w:tcPr>
          <w:p>
            <w:pPr>
              <w:pStyle w:val="TableContents"/>
              <w:bidi w:val="0"/>
              <w:spacing w:before="0" w:after="283"/>
              <w:jc w:val="right"/>
              <w:rPr/>
            </w:pPr>
            <w:r>
              <w:rPr/>
              <w:t> </w:t>
            </w:r>
          </w:p>
        </w:tc>
        <w:tc>
          <w:tcPr>
            <w:tcW w:w="329" w:type="dxa"/>
            <w:tcBorders/>
            <w:shd w:fill="CCEEFF" w:val="clear"/>
            <w:vAlign w:val="bottom"/>
          </w:tcPr>
          <w:p>
            <w:pPr>
              <w:pStyle w:val="TableContents"/>
              <w:bidi w:val="0"/>
              <w:spacing w:before="0" w:after="283"/>
              <w:jc w:val="left"/>
              <w:rPr/>
            </w:pPr>
            <w:r>
              <w:rPr/>
              <w:t>% </w:t>
            </w:r>
          </w:p>
        </w:tc>
      </w:tr>
      <w:tr>
        <w:trPr/>
        <w:tc>
          <w:tcPr>
            <w:tcW w:w="1525" w:type="dxa"/>
            <w:tcBorders/>
          </w:tcPr>
          <w:p>
            <w:pPr>
              <w:pStyle w:val="TableContents"/>
              <w:bidi w:val="0"/>
              <w:spacing w:before="0" w:after="0"/>
              <w:jc w:val="left"/>
              <w:rPr>
                <w:rFonts w:ascii="Times New Roman" w:hAnsi="Times New Roman"/>
                <w:sz w:val="18"/>
              </w:rPr>
            </w:pPr>
            <w:r>
              <w:rPr>
                <w:rFonts w:ascii="Times New Roman" w:hAnsi="Times New Roman"/>
                <w:sz w:val="18"/>
              </w:rPr>
              <w:t>20  Notes Total</w:t>
            </w:r>
          </w:p>
        </w:tc>
        <w:tc>
          <w:tcPr>
            <w:tcW w:w="239"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w:t>
            </w:r>
          </w:p>
        </w:tc>
        <w:tc>
          <w:tcPr>
            <w:tcW w:w="1572" w:type="dxa"/>
            <w:tcBorders/>
            <w:vAlign w:val="bottom"/>
          </w:tcPr>
          <w:p>
            <w:pPr>
              <w:pStyle w:val="TableContents"/>
              <w:bidi w:val="0"/>
              <w:spacing w:before="0" w:after="283"/>
              <w:jc w:val="right"/>
              <w:rPr/>
            </w:pPr>
            <w:r>
              <w:rPr/>
              <w:t> </w:t>
            </w:r>
          </w:p>
        </w:tc>
        <w:tc>
          <w:tcPr>
            <w:tcW w:w="32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16" w:type="dxa"/>
            <w:tcBorders/>
            <w:vAlign w:val="bottom"/>
          </w:tcPr>
          <w:p>
            <w:pPr>
              <w:pStyle w:val="TableContents"/>
              <w:bidi w:val="0"/>
              <w:spacing w:before="0" w:after="283"/>
              <w:jc w:val="right"/>
              <w:rPr/>
            </w:pPr>
            <w:r>
              <w:rPr/>
              <w:t> </w:t>
            </w:r>
          </w:p>
        </w:tc>
        <w:tc>
          <w:tcPr>
            <w:tcW w:w="32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w:t>
            </w:r>
          </w:p>
        </w:tc>
        <w:tc>
          <w:tcPr>
            <w:tcW w:w="1705" w:type="dxa"/>
            <w:tcBorders/>
            <w:vAlign w:val="bottom"/>
          </w:tcPr>
          <w:p>
            <w:pPr>
              <w:pStyle w:val="TableContents"/>
              <w:bidi w:val="0"/>
              <w:spacing w:before="0" w:after="283"/>
              <w:jc w:val="right"/>
              <w:rPr/>
            </w:pPr>
            <w:r>
              <w:rPr/>
              <w:t> </w:t>
            </w:r>
          </w:p>
        </w:tc>
        <w:tc>
          <w:tcPr>
            <w:tcW w:w="329" w:type="dxa"/>
            <w:tcBorders/>
            <w:vAlign w:val="bottom"/>
          </w:tcPr>
          <w:p>
            <w:pPr>
              <w:pStyle w:val="TableContents"/>
              <w:bidi w:val="0"/>
              <w:spacing w:before="0" w:after="283"/>
              <w:jc w:val="left"/>
              <w:rPr/>
            </w:pPr>
            <w:r>
              <w:rPr/>
              <w:t> </w:t>
            </w:r>
          </w:p>
        </w:tc>
      </w:tr>
      <w:tr>
        <w:trPr/>
        <w:tc>
          <w:tcPr>
            <w:tcW w:w="1525"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572"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416"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1705"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r>
      <w:tr>
        <w:trPr/>
        <w:tc>
          <w:tcPr>
            <w:tcW w:w="152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w:t>
            </w:r>
          </w:p>
        </w:tc>
        <w:tc>
          <w:tcPr>
            <w:tcW w:w="239"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w:t>
            </w:r>
          </w:p>
        </w:tc>
        <w:tc>
          <w:tcPr>
            <w:tcW w:w="1572" w:type="dxa"/>
            <w:tcBorders/>
            <w:shd w:fill="CCEEFF" w:val="clear"/>
            <w:vAlign w:val="bottom"/>
          </w:tcPr>
          <w:p>
            <w:pPr>
              <w:pStyle w:val="TableContents"/>
              <w:bidi w:val="0"/>
              <w:spacing w:before="0" w:after="283"/>
              <w:jc w:val="right"/>
              <w:rPr/>
            </w:pPr>
            <w:r>
              <w:rPr/>
              <w:t> </w:t>
            </w:r>
          </w:p>
        </w:tc>
        <w:tc>
          <w:tcPr>
            <w:tcW w:w="32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416" w:type="dxa"/>
            <w:tcBorders/>
            <w:shd w:fill="CCEEFF" w:val="clear"/>
            <w:vAlign w:val="bottom"/>
          </w:tcPr>
          <w:p>
            <w:pPr>
              <w:pStyle w:val="TableContents"/>
              <w:bidi w:val="0"/>
              <w:spacing w:before="0" w:after="283"/>
              <w:jc w:val="right"/>
              <w:rPr/>
            </w:pPr>
            <w:r>
              <w:rPr/>
              <w:t> </w:t>
            </w:r>
          </w:p>
        </w:tc>
        <w:tc>
          <w:tcPr>
            <w:tcW w:w="32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w:t>
            </w:r>
          </w:p>
        </w:tc>
        <w:tc>
          <w:tcPr>
            <w:tcW w:w="1705" w:type="dxa"/>
            <w:tcBorders/>
            <w:shd w:fill="CCEEFF" w:val="clear"/>
            <w:vAlign w:val="bottom"/>
          </w:tcPr>
          <w:p>
            <w:pPr>
              <w:pStyle w:val="TableContents"/>
              <w:bidi w:val="0"/>
              <w:spacing w:before="0" w:after="283"/>
              <w:jc w:val="right"/>
              <w:rPr/>
            </w:pPr>
            <w:r>
              <w:rPr/>
              <w:t> </w:t>
            </w:r>
          </w:p>
        </w:tc>
        <w:tc>
          <w:tcPr>
            <w:tcW w:w="329"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ind w:left="760" w:right="760" w:hanging="0"/>
        <w:jc w:val="left"/>
        <w:rPr>
          <w:bdr w:val="single" w:sz="2" w:space="1" w:color="000000"/>
        </w:rPr>
      </w:pPr>
      <w:r>
        <w:rPr>
          <w:bdr w:val="single" w:sz="2" w:space="1" w:color="000000"/>
        </w:rPr>
        <w:t> </w:t>
      </w:r>
    </w:p>
    <w:tbl>
      <w:tblPr>
        <w:tblW w:w="5000" w:type="pct"/>
        <w:jc w:val="left"/>
        <w:tblInd w:w="76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Plus accrued interest, if any, from     , 2026, if settlement occurs after that date. </w:t>
            </w:r>
          </w:p>
        </w:tc>
      </w:tr>
    </w:tbl>
    <w:p>
      <w:pPr>
        <w:pStyle w:val="TextBody"/>
        <w:bidi w:val="0"/>
        <w:spacing w:before="120" w:after="0"/>
        <w:ind w:left="760" w:right="760" w:hanging="0"/>
        <w:jc w:val="left"/>
        <w:rPr>
          <w:rFonts w:ascii="Times New Roman" w:hAnsi="Times New Roman"/>
          <w:b/>
          <w:sz w:val="18"/>
        </w:rPr>
      </w:pPr>
      <w:r>
        <w:rPr>
          <w:rFonts w:ascii="Times New Roman" w:hAnsi="Times New Roman"/>
          <w:b/>
          <w:sz w:val="18"/>
        </w:rPr>
        <w:t xml:space="preserve">Neither the Securities and Exchange Commission (the “SEC”) nor any state securities commission has approved or disapproved of these securities or passed upon the adequacy or accuracy of this prospectus supplement or the accompanying prospectus. Any representation to the contrary is a criminal offense. </w:t>
      </w:r>
    </w:p>
    <w:p>
      <w:pPr>
        <w:pStyle w:val="TextBody"/>
        <w:bidi w:val="0"/>
        <w:spacing w:before="120" w:after="0"/>
        <w:ind w:left="760" w:right="760" w:hanging="0"/>
        <w:jc w:val="left"/>
        <w:rPr>
          <w:rFonts w:ascii="Times New Roman" w:hAnsi="Times New Roman"/>
          <w:sz w:val="18"/>
        </w:rPr>
      </w:pPr>
      <w:r>
        <w:rPr>
          <w:rFonts w:ascii="Times New Roman" w:hAnsi="Times New Roman"/>
          <w:sz w:val="18"/>
        </w:rPr>
        <w:t xml:space="preserve">We expect that delivery of the notes in book-entry form will be made to investors through the facilities of The Depository Trust Company and its direct participants, including Clearstream Banking S.A. and Euroclear Bank SA/NV, on or about     , 2026. </w:t>
      </w:r>
    </w:p>
    <w:p>
      <w:pPr>
        <w:pStyle w:val="TextBody"/>
        <w:bidi w:val="0"/>
        <w:spacing w:before="0" w:after="0"/>
        <w:ind w:left="760" w:right="760" w:hanging="0"/>
        <w:jc w:val="left"/>
        <w:rPr/>
      </w:pPr>
      <w:r>
        <w:rPr/>
        <w:t> </w:t>
      </w:r>
    </w:p>
    <w:p>
      <w:pPr>
        <w:pStyle w:val="TextBody"/>
        <w:bidi w:val="0"/>
        <w:spacing w:lineRule="atLeast" w:line="142" w:before="0" w:after="40"/>
        <w:ind w:left="760" w:right="760" w:hanging="0"/>
        <w:jc w:val="center"/>
        <w:rPr>
          <w:bdr w:val="single" w:sz="8" w:space="1" w:color="000000"/>
        </w:rPr>
      </w:pPr>
      <w:r>
        <w:rPr>
          <w:bdr w:val="single" w:sz="8" w:space="1" w:color="000000"/>
        </w:rPr>
        <w:t> </w:t>
      </w:r>
    </w:p>
    <w:p>
      <w:pPr>
        <w:pStyle w:val="TextBody"/>
        <w:bidi w:val="0"/>
        <w:spacing w:before="120" w:after="0"/>
        <w:ind w:left="760" w:right="760" w:hanging="0"/>
        <w:jc w:val="center"/>
        <w:rPr>
          <w:rFonts w:ascii="Times New Roman" w:hAnsi="Times New Roman"/>
          <w:b/>
          <w:i/>
          <w:sz w:val="22"/>
        </w:rPr>
      </w:pPr>
      <w:r>
        <w:rPr>
          <w:rFonts w:ascii="Times New Roman" w:hAnsi="Times New Roman"/>
          <w:b/>
          <w:i/>
          <w:sz w:val="22"/>
        </w:rPr>
        <w:t xml:space="preserve">Joint Book-Running Managers </w:t>
      </w:r>
    </w:p>
    <w:p>
      <w:pPr>
        <w:pStyle w:val="TextBody"/>
        <w:bidi w:val="0"/>
        <w:spacing w:before="0" w:after="0"/>
        <w:ind w:left="760" w:right="760" w:hanging="0"/>
        <w:jc w:val="left"/>
        <w:rPr/>
      </w:pPr>
      <w:r>
        <w:rPr/>
        <w:t> </w:t>
      </w:r>
    </w:p>
    <w:tbl>
      <w:tblPr>
        <w:tblW w:w="5000" w:type="pct"/>
        <w:jc w:val="center"/>
        <w:tblInd w:w="0" w:type="dxa"/>
        <w:tblLayout w:type="fixed"/>
        <w:tblCellMar>
          <w:top w:w="0" w:type="dxa"/>
          <w:left w:w="0" w:type="dxa"/>
          <w:bottom w:w="0" w:type="dxa"/>
          <w:right w:w="0" w:type="dxa"/>
        </w:tblCellMar>
      </w:tblPr>
      <w:tblGrid>
        <w:gridCol w:w="1523"/>
        <w:gridCol w:w="85"/>
        <w:gridCol w:w="1168"/>
        <w:gridCol w:w="84"/>
        <w:gridCol w:w="1715"/>
        <w:gridCol w:w="84"/>
        <w:gridCol w:w="2018"/>
        <w:gridCol w:w="84"/>
        <w:gridCol w:w="1324"/>
        <w:gridCol w:w="85"/>
        <w:gridCol w:w="2035"/>
      </w:tblGrid>
      <w:tr>
        <w:trPr/>
        <w:tc>
          <w:tcPr>
            <w:tcW w:w="1523"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523" w:type="dxa"/>
            <w:tcBorders/>
            <w:vAlign w:val="center"/>
          </w:tcPr>
          <w:p>
            <w:pPr>
              <w:pStyle w:val="TableContents"/>
              <w:bidi w:val="0"/>
              <w:spacing w:before="0" w:after="283"/>
              <w:jc w:val="left"/>
              <w:rPr>
                <w:sz w:val="4"/>
                <w:szCs w:val="4"/>
              </w:rPr>
            </w:pPr>
            <w:r>
              <w:rPr>
                <w:sz w:val="4"/>
                <w:szCs w:val="4"/>
              </w:rPr>
            </w:r>
          </w:p>
        </w:tc>
        <w:tc>
          <w:tcPr>
            <w:tcW w:w="1253" w:type="dxa"/>
            <w:gridSpan w:val="2"/>
            <w:tcBorders/>
            <w:vAlign w:val="center"/>
          </w:tcPr>
          <w:p>
            <w:pPr>
              <w:pStyle w:val="TableContents"/>
              <w:bidi w:val="0"/>
              <w:spacing w:before="0" w:after="283"/>
              <w:jc w:val="left"/>
              <w:rPr>
                <w:sz w:val="4"/>
                <w:szCs w:val="4"/>
              </w:rPr>
            </w:pPr>
            <w:r>
              <w:rPr>
                <w:sz w:val="4"/>
                <w:szCs w:val="4"/>
              </w:rPr>
            </w:r>
          </w:p>
        </w:tc>
        <w:tc>
          <w:tcPr>
            <w:tcW w:w="1799" w:type="dxa"/>
            <w:gridSpan w:val="2"/>
            <w:tcBorders/>
            <w:vAlign w:val="center"/>
          </w:tcPr>
          <w:p>
            <w:pPr>
              <w:pStyle w:val="TableContents"/>
              <w:bidi w:val="0"/>
              <w:spacing w:before="0" w:after="283"/>
              <w:jc w:val="left"/>
              <w:rPr>
                <w:sz w:val="4"/>
                <w:szCs w:val="4"/>
              </w:rPr>
            </w:pPr>
            <w:r>
              <w:rPr>
                <w:sz w:val="4"/>
                <w:szCs w:val="4"/>
              </w:rPr>
            </w:r>
          </w:p>
        </w:tc>
        <w:tc>
          <w:tcPr>
            <w:tcW w:w="2102" w:type="dxa"/>
            <w:gridSpan w:val="2"/>
            <w:tcBorders/>
            <w:vAlign w:val="center"/>
          </w:tcPr>
          <w:p>
            <w:pPr>
              <w:pStyle w:val="TableContents"/>
              <w:bidi w:val="0"/>
              <w:spacing w:before="0" w:after="283"/>
              <w:jc w:val="left"/>
              <w:rPr>
                <w:sz w:val="4"/>
                <w:szCs w:val="4"/>
              </w:rPr>
            </w:pPr>
            <w:r>
              <w:rPr>
                <w:sz w:val="4"/>
                <w:szCs w:val="4"/>
              </w:rPr>
            </w:r>
          </w:p>
        </w:tc>
        <w:tc>
          <w:tcPr>
            <w:tcW w:w="1408" w:type="dxa"/>
            <w:gridSpan w:val="2"/>
            <w:tcBorders/>
            <w:vAlign w:val="center"/>
          </w:tcPr>
          <w:p>
            <w:pPr>
              <w:pStyle w:val="TableContents"/>
              <w:bidi w:val="0"/>
              <w:spacing w:before="0" w:after="283"/>
              <w:jc w:val="left"/>
              <w:rPr>
                <w:sz w:val="4"/>
                <w:szCs w:val="4"/>
              </w:rPr>
            </w:pPr>
            <w:r>
              <w:rPr>
                <w:sz w:val="4"/>
                <w:szCs w:val="4"/>
              </w:rPr>
            </w:r>
          </w:p>
        </w:tc>
        <w:tc>
          <w:tcPr>
            <w:tcW w:w="2120" w:type="dxa"/>
            <w:gridSpan w:val="2"/>
            <w:tcBorders/>
            <w:vAlign w:val="center"/>
          </w:tcPr>
          <w:p>
            <w:pPr>
              <w:pStyle w:val="TableContents"/>
              <w:bidi w:val="0"/>
              <w:spacing w:before="0" w:after="283"/>
              <w:jc w:val="left"/>
              <w:rPr>
                <w:sz w:val="4"/>
                <w:szCs w:val="4"/>
              </w:rPr>
            </w:pPr>
            <w:r>
              <w:rPr>
                <w:sz w:val="4"/>
                <w:szCs w:val="4"/>
              </w:rPr>
            </w:r>
          </w:p>
        </w:tc>
      </w:tr>
      <w:tr>
        <w:trPr/>
        <w:tc>
          <w:tcPr>
            <w:tcW w:w="1523" w:type="dxa"/>
            <w:tcBorders/>
          </w:tcPr>
          <w:p>
            <w:pPr>
              <w:pStyle w:val="TableContents"/>
              <w:bidi w:val="0"/>
              <w:spacing w:before="0" w:after="283"/>
              <w:jc w:val="left"/>
              <w:rPr>
                <w:b/>
              </w:rPr>
            </w:pPr>
            <w:r>
              <w:rPr>
                <w:b/>
              </w:rPr>
              <w:t>J.P. Morgan</w:t>
            </w:r>
          </w:p>
        </w:tc>
        <w:tc>
          <w:tcPr>
            <w:tcW w:w="85" w:type="dxa"/>
            <w:tcBorders/>
            <w:vAlign w:val="bottom"/>
          </w:tcPr>
          <w:p>
            <w:pPr>
              <w:pStyle w:val="TableContents"/>
              <w:bidi w:val="0"/>
              <w:spacing w:before="0" w:after="283"/>
              <w:jc w:val="left"/>
              <w:rPr/>
            </w:pPr>
            <w:r>
              <w:rPr/>
              <w:t> </w:t>
            </w:r>
          </w:p>
        </w:tc>
        <w:tc>
          <w:tcPr>
            <w:tcW w:w="1168" w:type="dxa"/>
            <w:tcBorders/>
          </w:tcPr>
          <w:p>
            <w:pPr>
              <w:pStyle w:val="TableContents"/>
              <w:bidi w:val="0"/>
              <w:spacing w:before="0" w:after="283"/>
              <w:jc w:val="center"/>
              <w:rPr>
                <w:b/>
              </w:rPr>
            </w:pPr>
            <w:r>
              <w:rPr>
                <w:b/>
              </w:rPr>
              <w:t>Barclays</w:t>
            </w:r>
          </w:p>
        </w:tc>
        <w:tc>
          <w:tcPr>
            <w:tcW w:w="84" w:type="dxa"/>
            <w:tcBorders/>
            <w:vAlign w:val="bottom"/>
          </w:tcPr>
          <w:p>
            <w:pPr>
              <w:pStyle w:val="TableContents"/>
              <w:bidi w:val="0"/>
              <w:spacing w:before="0" w:after="283"/>
              <w:jc w:val="left"/>
              <w:rPr/>
            </w:pPr>
            <w:r>
              <w:rPr/>
              <w:t> </w:t>
            </w:r>
          </w:p>
        </w:tc>
        <w:tc>
          <w:tcPr>
            <w:tcW w:w="1715" w:type="dxa"/>
            <w:tcBorders/>
          </w:tcPr>
          <w:p>
            <w:pPr>
              <w:pStyle w:val="TableContents"/>
              <w:bidi w:val="0"/>
              <w:spacing w:before="0" w:after="283"/>
              <w:jc w:val="center"/>
              <w:rPr>
                <w:b/>
              </w:rPr>
            </w:pPr>
            <w:r>
              <w:rPr>
                <w:b/>
              </w:rPr>
              <w:t>BNP Paribas</w:t>
            </w:r>
          </w:p>
        </w:tc>
        <w:tc>
          <w:tcPr>
            <w:tcW w:w="84" w:type="dxa"/>
            <w:tcBorders/>
            <w:vAlign w:val="bottom"/>
          </w:tcPr>
          <w:p>
            <w:pPr>
              <w:pStyle w:val="TableContents"/>
              <w:bidi w:val="0"/>
              <w:spacing w:before="0" w:after="283"/>
              <w:jc w:val="left"/>
              <w:rPr/>
            </w:pPr>
            <w:r>
              <w:rPr/>
              <w:t> </w:t>
            </w:r>
          </w:p>
        </w:tc>
        <w:tc>
          <w:tcPr>
            <w:tcW w:w="2018" w:type="dxa"/>
            <w:tcBorders/>
          </w:tcPr>
          <w:p>
            <w:pPr>
              <w:pStyle w:val="TableContents"/>
              <w:bidi w:val="0"/>
              <w:spacing w:before="0" w:after="283"/>
              <w:jc w:val="center"/>
              <w:rPr>
                <w:b/>
              </w:rPr>
            </w:pPr>
            <w:r>
              <w:rPr>
                <w:b/>
              </w:rPr>
              <w:t>BofA Securities</w:t>
            </w:r>
          </w:p>
        </w:tc>
        <w:tc>
          <w:tcPr>
            <w:tcW w:w="84" w:type="dxa"/>
            <w:tcBorders/>
            <w:vAlign w:val="bottom"/>
          </w:tcPr>
          <w:p>
            <w:pPr>
              <w:pStyle w:val="TableContents"/>
              <w:bidi w:val="0"/>
              <w:spacing w:before="0" w:after="283"/>
              <w:jc w:val="left"/>
              <w:rPr/>
            </w:pPr>
            <w:r>
              <w:rPr/>
              <w:t> </w:t>
            </w:r>
          </w:p>
        </w:tc>
        <w:tc>
          <w:tcPr>
            <w:tcW w:w="1324" w:type="dxa"/>
            <w:tcBorders/>
          </w:tcPr>
          <w:p>
            <w:pPr>
              <w:pStyle w:val="TableContents"/>
              <w:bidi w:val="0"/>
              <w:spacing w:before="0" w:after="283"/>
              <w:jc w:val="center"/>
              <w:rPr>
                <w:b/>
              </w:rPr>
            </w:pPr>
            <w:r>
              <w:rPr>
                <w:b/>
              </w:rPr>
              <w:t>Citigroup</w:t>
            </w:r>
          </w:p>
        </w:tc>
        <w:tc>
          <w:tcPr>
            <w:tcW w:w="85" w:type="dxa"/>
            <w:tcBorders/>
            <w:vAlign w:val="bottom"/>
          </w:tcPr>
          <w:p>
            <w:pPr>
              <w:pStyle w:val="TableContents"/>
              <w:bidi w:val="0"/>
              <w:spacing w:before="0" w:after="283"/>
              <w:jc w:val="left"/>
              <w:rPr/>
            </w:pPr>
            <w:r>
              <w:rPr/>
              <w:t> </w:t>
            </w:r>
          </w:p>
        </w:tc>
        <w:tc>
          <w:tcPr>
            <w:tcW w:w="2035" w:type="dxa"/>
            <w:tcBorders/>
          </w:tcPr>
          <w:p>
            <w:pPr>
              <w:pStyle w:val="TableContents"/>
              <w:bidi w:val="0"/>
              <w:spacing w:before="0" w:after="283"/>
              <w:jc w:val="right"/>
              <w:rPr>
                <w:b/>
              </w:rPr>
            </w:pPr>
            <w:r>
              <w:rPr>
                <w:b/>
              </w:rPr>
              <w:t>Morgan Stanley</w:t>
            </w:r>
          </w:p>
        </w:tc>
      </w:tr>
    </w:tbl>
    <w:p>
      <w:pPr>
        <w:pStyle w:val="TextBody"/>
        <w:bidi w:val="0"/>
        <w:spacing w:before="120" w:after="0"/>
        <w:ind w:left="760" w:right="760" w:hanging="0"/>
        <w:jc w:val="center"/>
        <w:rPr>
          <w:rFonts w:ascii="Times New Roman" w:hAnsi="Times New Roman"/>
          <w:b/>
          <w:sz w:val="18"/>
        </w:rPr>
      </w:pPr>
      <w:r>
        <w:rPr>
          <w:rFonts w:ascii="Times New Roman" w:hAnsi="Times New Roman"/>
          <w:b/>
          <w:sz w:val="18"/>
        </w:rPr>
        <w:t xml:space="preserve">The date of this prospectus supplement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rom72941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rom72941_2">
              <w:r>
                <w:rPr>
                  <w:rStyle w:val="InternetLink"/>
                  <w:rFonts w:ascii="Times New Roman" w:hAnsi="Times New Roman"/>
                  <w:sz w:val="20"/>
                </w:rPr>
                <w:t>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S-iii</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rom72941_3">
              <w:r>
                <w:rPr>
                  <w:rStyle w:val="InternetLink"/>
                  <w:rFonts w:ascii="Times New Roman" w:hAnsi="Times New Roman"/>
                  <w:sz w:val="20"/>
                </w:rPr>
                <w:t>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rom72941_4">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rom72941_5">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rom72941_6">
              <w:r>
                <w:rPr>
                  <w:rStyle w:val="InternetLink"/>
                  <w:rFonts w:ascii="Times New Roman" w:hAnsi="Times New Roman"/>
                  <w:sz w:val="20"/>
                </w:rPr>
                <w:t>CAPITALIZATION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rom72941_7">
              <w:r>
                <w:rPr>
                  <w:rStyle w:val="InternetLink"/>
                  <w:rFonts w:ascii="Times New Roman" w:hAnsi="Times New Roman"/>
                  <w:sz w:val="20"/>
                </w:rPr>
                <w:t>DESCRIPTION OF THE NOTES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rom72941_8">
              <w:r>
                <w:rPr>
                  <w:rStyle w:val="InternetLink"/>
                  <w:rFonts w:ascii="Times New Roman" w:hAnsi="Times New Roman"/>
                  <w:sz w:val="20"/>
                </w:rPr>
                <w:t>MATERIAL UNITED STATES FEDERAL INCOME TAX CONSEQUENCES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S-30</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rom72941_9">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rom72941_10">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rom72941_11">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rom72941_12">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rom72941_13">
              <w:r>
                <w:rPr>
                  <w:rStyle w:val="InternetLink"/>
                  <w:rFonts w:ascii="Times New Roman" w:hAnsi="Times New Roman"/>
                  <w:sz w:val="20"/>
                </w:rPr>
                <w:t>INCORPORATION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S-43</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72941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72941_3">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72941_4">
              <w:r>
                <w:rPr>
                  <w:rStyle w:val="InternetLink"/>
                  <w:rFonts w:ascii="Times New Roman" w:hAnsi="Times New Roman"/>
                  <w:sz w:val="20"/>
                </w:rPr>
                <w:t>INCORPORATION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72941_5">
              <w:r>
                <w:rPr>
                  <w:rStyle w:val="InternetLink"/>
                  <w:rFonts w:ascii="Times New Roman" w:hAnsi="Times New Roman"/>
                  <w:sz w:val="20"/>
                </w:rPr>
                <w:t>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72941_2">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72941_6">
              <w:r>
                <w:rPr>
                  <w:rStyle w:val="InternetLink"/>
                  <w:rFonts w:ascii="Times New Roman" w:hAnsi="Times New Roman"/>
                  <w:sz w:val="20"/>
                </w:rPr>
                <w:t>THE COMPANY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72941_7">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72941_8">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72941_9">
              <w:r>
                <w:rPr>
                  <w:rStyle w:val="InternetLink"/>
                  <w:rFonts w:ascii="Times New Roman" w:hAnsi="Times New Roman"/>
                  <w:sz w:val="20"/>
                </w:rPr>
                <w:t>FORMS OF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72941_10">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72941_11">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72941_12">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We are responsible only for the information contained in or incorporated by reference into this prospectus supplement and the accompanying prospectus or information contained in a free writing prospectus that we authorize to be delivered to you. This prospectus supplement and the accompanying prospectus may be used only for the purpose for which they have been prepared. No one is authorized to give information other than that contained in or incorporated by reference into this prospectus supplement, the accompanying prospectus or any free writing prospectus that we authorize to be delivered to you. We have not, and the underwriters have not, authorized any other person to provide you with different information. Neither we nor any of the underwriters or their affiliates take any responsibility for, nor can we or any of the underwriters or their affiliates provide any assurance as to the reliability of, any information that others may give you. </w:t>
      </w:r>
    </w:p>
    <w:p>
      <w:pPr>
        <w:pStyle w:val="TextBody"/>
        <w:bidi w:val="0"/>
        <w:spacing w:before="240" w:after="0"/>
        <w:jc w:val="left"/>
        <w:rPr>
          <w:rFonts w:ascii="Times New Roman" w:hAnsi="Times New Roman"/>
          <w:b/>
          <w:sz w:val="20"/>
        </w:rPr>
      </w:pPr>
      <w:r>
        <w:rPr>
          <w:rFonts w:ascii="Times New Roman" w:hAnsi="Times New Roman"/>
          <w:b/>
          <w:sz w:val="20"/>
        </w:rPr>
        <w:t xml:space="preserve">We are not, and the underwriters are not, making an offer to sell these securities in any jurisdiction where the offer or sale is not permitted. You should not assume that the information appearing in this prospectus supplement, the accompanying prospectus or any document incorporated by reference herein or therein is accurate as of any date other than the date of the applicable document. Our business, financial condition, results of operations and prospects may have changed since that date. Neither this prospectus supplement nor the accompanying prospectus constitutes an offer, or an invitation on our behalf or on behalf of the underwriters, to subscribe for and purchase any of the notes and may not be used for or in connection with an offer or solicitation by anyone, in any jurisdiction in which such an offer or solicitation is not authorized or to any person to whom it is unlawful to make such an offer or solicitation.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rom72941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consists of two parts. The first part is the prospectus supplement, which describes the specific terms of this offering and the notes offered. The second part is the accompanying prospectus, which describes more general information about debt securities we may offer from time to time, some of which may not apply to this offering of the notes. If the information set forth in this prospectus supplement differs in any way from the information set forth in the accompanying prospectus, you should rely on the information set forth in this prospectus supplement. You should read this prospectus supplement, the accompanying prospectus and any related free writing prospectus together with additional information described under the caption “Where You Can Find More Information” on page S-42.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supplement and the accompanying prospectus, “the Company,” “we,” “our,” “ours,” and “us” refer to Analog Devices, Inc. and its subsidiaries on a consolidated basis, unless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Currency amounts in this prospectus supplement are stated in U.S. dollars.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herein, none of the trustee, registrar or paying agent (or any other agent under the indenture) makes any representation with respect to the accuracy or completeness of the information contained herein and shall have no liability whatsoever on its accuracy or completeness.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rom72941_2"/>
      <w:bookmarkEnd w:id="4"/>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information incorporated by reference in this prospectus supplement and the accompanying prospectus contain forward-looking statements regarding future events and our future results that are subject to the safe harbor created under the Private Securities Litigation Reform Act of 1995 and other safe harbors under the Securities Act of 1933, as amended (the “Securities Act”), and the Securities Exchange Act of 1934, as amended (the “Exchange Act”).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“potential,” “may,” “could” and “will,” and variations of such words and similar expressions are intended to identify such forward-looking statements. Our actual results could differ materially from those anticipated in these forward-looking statements as a result of various factors.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important factors and uncertainties, among others, could cause actual results to differ materially from those described in the forward-looking statements: economic, political, legal and regulatory uncertainty or conflicts; recently announced and future tariffs and other trade restrictions; changes in export classifications, import and export regulations or duties and tariffs; changes in demand for semiconductor products; performance of independent distributors; manufacturing delays, product and raw materials availability and supply chain disruptions; products may be diverted from our authorized distribution channels; our development of technologies and research and development investments; our ability to compete successfully in the markets in which we operate; our future liquidity, capital needs and capital expenditures; our ability to recruit and retain key personnel; risks related to acquisitions or other strategic transactions including our ability to complete the pending acquisition of Alif Semiconductor, Inc. on the anticipated timetable or at all; unanticipated difficulties or expenditures relating to integrating acquired businesses; security breaches or other cyber incidents; risks related to the use of artificial intelligence in our business operations, products and services; adverse results in litigation; the outcome of any regulatory actions, including governmental inquiries, investigations or enforcement proceedings in the event of noncompliance or alleged noncompliance with laws or regulations; reputational damage; changes in our estimates of our expected tax rates based on current tax law; risks related to our indebtedness; the discretion of our Board of Directors to declare dividends and our ability to pay dividends in the future; factors impacting our ability to repurchase shares; and uncertainty as to the long-term value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You should pay particular attention to the important risk factors and cautionary statements referenced in the section of this prospectus supplement entitled “Risk Factors” beginning on page S-6. You should also carefully review the risk factors and cautionary statements described in the other documents we file from time to time with the SEC, including our Annual Report on Form 10-K for the fiscal year ended November 1, 2025 and our Quarterly Reports on Form 10-Q for the fiscal quarters ended January 31, 2026, May 2, 2026 and August 1, 2026, and our Current Reports on Form 8-K. Forward-looking statements represent management’s current expectations and are inherently uncertain. We undertake no obligation to revise or update any forward-looking statements, including to reflect events or circumstances occurring after the date of this prospectus supplement, except to the extent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rom72941_3"/>
      <w:bookmarkEnd w:id="5"/>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information contained elsewhere in, or incorporated by reference into, this prospectus supplement and the accompanying prospectus. As a result, it may not contain all of the information that may be important to you or that you should consider before investing in the notes. You should read this entire prospectus supplement, the accompanying prospectus and any related free writing prospectus, including the “Risk Factors” section and the documents incorporated by reference, which are described under “Where You Can Find More Information” on page S-42.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Analog Devices, Inc. is a global semiconductor leader dedicated to solving our customers’ most complex engineering challenges. We deliver innovations that connect technology to human breakthroughs and play a critical role at the intersection of the physical and digital worlds by providing the building blocks to sense, measure, interpret, connect and power. We design, manufacture, test and market a broad portfolio of solutions, including integrated circuits (ICs), software and subsystems that leverage high-performance analog, mixed-signal and digital signal processing technologies. Our comprehensive product portfolio, deep domain expertise and advanced manufacturing capabilities extend across high-performance precision and high-speed mixed-signal, power management and processing technologies – including data converters, amplifiers, power management, radio frequency (RF) ICs, edge processors and other sensors.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Massachusetts in 1965 with our corporate headquarters near Boston in Wilmington, Massachusetts. We have manufacturing facilities primarily in the United States, Ireland and Southeast Asia. Our common stock is listed on the Nasdaq Global Select Market under the symbol ADI and is included in the Standard &amp; Poor’s 500 Index.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One Analog Way, Wilmington, Massachusetts 01887, and our telephone number is (781) 935-5565.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Pending Acquisition of Alif Semiconductor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September 9, 2026, we announced that we entered into a definitive agreement (the “Alif Acquisition Agreement”) to acquire Alif Semiconductor, Inc. (“Alif”), a Pleasanton, California headquartered provider of low-power microcontroller and fusion processor semiconductor products with integrated AI/ML acceleration (the “Alif Acquisition”).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the Alif Acquisition Agreement, we will pay Alif’s stockholders aggregate upfront cash consideration of $1.35 billion, subject to the terms of the Alif Acquisition Agreement, and may pay incremental contingent consideration of up to $200 million.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Alif Acquisition is expected to close in the fourth quarter of calendar year 2026, subject to the satisfaction of customary closing conditions, including the expiration of the applicable waiting period (and any extension thereof) under the Hart-Scott-Rodino Antitrust Improvements Act of 1976, as amended.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anticipate funding the upfront cash purchase price of the Alif Acquisition using a portion of the proceeds of the sale of the notes offered hereby. There will be no special mandatory redemption of the notes in the event the Alif Acquisition is not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summary below describes the principal terms of the notes. Some of the terms and conditions described below are subject to important limitations and exceptions. See “Description of the Notes” in this prospectus supplement and “Description of Debt Securities” in the accompanying prospectus for a more detailed description of the terms and conditions of the notes. Unless the context requires otherwise, references to “we” and “our” in this subsection refer to Analog Devices, Inc. and not to any of its subsidiaries.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7" w:type="dxa"/>
            <w:tcBorders/>
          </w:tcPr>
          <w:p>
            <w:pPr>
              <w:pStyle w:val="TableContents"/>
              <w:bidi w:val="0"/>
              <w:spacing w:before="0" w:after="283"/>
              <w:jc w:val="left"/>
              <w:rPr/>
            </w:pPr>
            <w:r>
              <w:rPr/>
              <w:t xml:space="preserve">Analog Devices,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Securities Offered </w:t>
            </w:r>
          </w:p>
        </w:tc>
        <w:tc>
          <w:tcPr>
            <w:tcW w:w="6328" w:type="dxa"/>
            <w:tcBorders/>
          </w:tcPr>
          <w:p>
            <w:pPr>
              <w:pStyle w:val="TableContents"/>
              <w:bidi w:val="0"/>
              <w:spacing w:before="0" w:after="283"/>
              <w:jc w:val="left"/>
              <w:rPr/>
            </w:pPr>
            <w:r>
              <w:rPr/>
              <w:t xml:space="preserve">$    initial aggregate principal amount of floating rate notes due    , 20 .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$    initial aggregate principal amount of    % notes due    , 20 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$    initial aggregate principal amount of    % notes due    , 20 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$    initial aggregate principal amount of    % notes due    , 20 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$    initial aggregate principal amount of    % notes due    , 20 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Maturity </w:t>
            </w:r>
          </w:p>
        </w:tc>
        <w:tc>
          <w:tcPr>
            <w:tcW w:w="6329" w:type="dxa"/>
            <w:tcBorders/>
          </w:tcPr>
          <w:p>
            <w:pPr>
              <w:pStyle w:val="TableContents"/>
              <w:bidi w:val="0"/>
              <w:spacing w:before="0" w:after="283"/>
              <w:jc w:val="left"/>
              <w:rPr/>
            </w:pPr>
            <w:r>
              <w:rPr/>
              <w:t xml:space="preserve">Floating Rate Notes:    , 20 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20  Notes:    , 20 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20  Notes:    , 20 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20  Notes:    , 20 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20  Notes:    , 20 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Rate </w:t>
            </w:r>
          </w:p>
        </w:tc>
        <w:tc>
          <w:tcPr>
            <w:tcW w:w="6327" w:type="dxa"/>
            <w:tcBorders/>
          </w:tcPr>
          <w:p>
            <w:pPr>
              <w:pStyle w:val="TableContents"/>
              <w:bidi w:val="0"/>
              <w:spacing w:before="0" w:after="283"/>
              <w:jc w:val="left"/>
              <w:rPr/>
            </w:pPr>
            <w:r>
              <w:rPr/>
              <w:t xml:space="preserve">The Floating Rate Notes will bear interest at an annual rate equal to Compounded SOFR (as defined below) plus    basis points (   %). The level of Compounded SOFR and, therefore, the amount of interest payable with respect to each interest period (as defined below) will be determined on each corresponding Interest Payment Determination Date for such interest period. See “Description of the Notes—Interest—Floating Rate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 20  Notes will bear interest at a rate of    % per annum.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 20  Notes will bear interest at a rate of    % per annum.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 20  Notes will bear interest at a rate of    % per annum.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 20  Notes will bear interest at a rate of    % per annum.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Payment Dates </w:t>
            </w:r>
          </w:p>
        </w:tc>
        <w:tc>
          <w:tcPr>
            <w:tcW w:w="6328" w:type="dxa"/>
            <w:tcBorders/>
          </w:tcPr>
          <w:p>
            <w:pPr>
              <w:pStyle w:val="TableContents"/>
              <w:bidi w:val="0"/>
              <w:spacing w:before="0" w:after="283"/>
              <w:jc w:val="left"/>
              <w:rPr/>
            </w:pPr>
            <w:r>
              <w:rPr/>
              <w:t xml:space="preserve">Interest on the Floating Rate Notes will be paid quarterly in arrears on     ,     ,     and     of each year, beginning on    ,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Interest on the 20  Notes will be paid semi-annually in arrears on     and     of each year, beginning on     ,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Interest on the 20  Notes, the 20  Notes and the 20  Notes will be paid semi-annually in arrears on     and     of each year, beginning on     , 2027.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Ranking </w:t>
            </w:r>
          </w:p>
        </w:tc>
        <w:tc>
          <w:tcPr>
            <w:tcW w:w="6329" w:type="dxa"/>
            <w:tcBorders/>
          </w:tcPr>
          <w:p>
            <w:pPr>
              <w:pStyle w:val="TableContents"/>
              <w:bidi w:val="0"/>
              <w:spacing w:before="0" w:after="283"/>
              <w:jc w:val="left"/>
              <w:rPr/>
            </w:pPr>
            <w:r>
              <w:rPr/>
              <w:t xml:space="preserve">The notes will be our senior unsecured obligations. Each series of notes will rank without preference or priority among themselves and equally in right of payment with all of our other existing and future senior unsecured and unsubordinated debt and rank senior in right of payment to all of our future debt that is subordinated to the notes. Each series of notes will be effectively subordinated to any of our future secured debt, to the extent of the assets securing that debt, and will be structurally subordinated to any existing and future debt and other liabilities, including trade payables, of our subsidiaries.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As of August 1, 2026, our total consolidated indebtedness was approximately $9.2 billion, and we had no secured indebtedness outstanding.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Covenants </w:t>
            </w:r>
          </w:p>
        </w:tc>
        <w:tc>
          <w:tcPr>
            <w:tcW w:w="6328" w:type="dxa"/>
            <w:tcBorders/>
          </w:tcPr>
          <w:p>
            <w:pPr>
              <w:pStyle w:val="TableContents"/>
              <w:bidi w:val="0"/>
              <w:spacing w:before="0" w:after="283"/>
              <w:jc w:val="left"/>
              <w:rPr/>
            </w:pPr>
            <w:r>
              <w:rPr/>
              <w:t xml:space="preserve">The indenture governing the notes contains covenants that, among other things, limit our ability to: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2"/>
        <w:gridCol w:w="5818"/>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create, assume or guarantee any debt for borrowed money secured by a lien upon any Principal Property (as defined under the caption “Description of the Notes”) or shares of any subsidiary that owns a Principal Property;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2"/>
        <w:gridCol w:w="5818"/>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certain sale and lease back transactions with respect to any Principal Property;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 with or merge into, or transfer or lease all or substantially all of our assets to, any other party.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As of August 1, 2026, we had one Principal Property.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These covenants are subject to important exceptions and qualifications that are described under the caption “Description of the Notes—Limitation on Liens,” “—Limitation on Sale and Lease Back Transactions,” and “—Limitation on Mergers and Other Transactions”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Repurchase Offer Upon a Change of Control </w:t>
              <w:br/>
              <w:t xml:space="preserve">Triggering Event </w:t>
            </w:r>
          </w:p>
        </w:tc>
        <w:tc>
          <w:tcPr>
            <w:tcW w:w="6328" w:type="dxa"/>
            <w:tcBorders/>
          </w:tcPr>
          <w:p>
            <w:pPr>
              <w:pStyle w:val="TableContents"/>
              <w:bidi w:val="0"/>
              <w:spacing w:before="0" w:after="283"/>
              <w:jc w:val="left"/>
              <w:rPr/>
            </w:pPr>
            <w:r>
              <w:rPr/>
              <w:t xml:space="preserve">If we experience a Change of Control Triggering Event (as defined under the caption “Description of the Notes—Change of Control Offer”) with respect to a series of notes, we will be required, unless we have exercised our option to redeem the notes of such series or have defeased or satisfied and discharged the notes of such series, to offer to purchase the notes of such series from their holders in cash at a repurchase price equal to 101% of the principal amount thereof, plus accrued and unpaid interest, if any, to the date of repurchase.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Optional Redemption </w:t>
            </w:r>
          </w:p>
        </w:tc>
        <w:tc>
          <w:tcPr>
            <w:tcW w:w="6327" w:type="dxa"/>
            <w:tcBorders/>
          </w:tcPr>
          <w:p>
            <w:pPr>
              <w:pStyle w:val="TableContents"/>
              <w:bidi w:val="0"/>
              <w:spacing w:before="0" w:after="283"/>
              <w:jc w:val="left"/>
              <w:rPr/>
            </w:pPr>
            <w:r>
              <w:rPr/>
              <w:t xml:space="preserve">We may not redeem the Floating Rate Notes prior to their maturity.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prior to the applicable Par Call Date (as defined under the caption “Description of the Notes”), we will have the right, at our option, to redeem each series of Fixed Rate Notes, in whole or in part, at any time and from time to time, at a redemption price (expressed as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a percentage of principal amount and rounded to three decimal places) equal to the greater of: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4"/>
        <w:gridCol w:w="407"/>
        <w:gridCol w:w="5614"/>
      </w:tblGrid>
      <w:tr>
        <w:trPr/>
        <w:tc>
          <w:tcPr>
            <w:tcW w:w="4184"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561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sum of the present values of the remaining scheduled payments of principal and interest thereon discounted to the redemption date (assuming such series of Fixed Rate Notes matured on the applicable Par Call Date) on a semi-annual basis (assuming a 360-day year consisting of twelve 30-day months) at the Treasury Rate plus     basis points (in the case of the 20  Notes),     basis points (in the case of the 20  Notes),    basis points (in the case of the 20  Notes) or    basis points (in the case of the 20  Notes), in each case less (b) interest accrued to the date of redemption,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3"/>
        <w:gridCol w:w="408"/>
        <w:gridCol w:w="5614"/>
      </w:tblGrid>
      <w:tr>
        <w:trPr/>
        <w:tc>
          <w:tcPr>
            <w:tcW w:w="4183"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561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notes of such series being redeemed,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plus, in either case, accrued and unpaid interest thereon to the redemption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On or after the applicable Par Call Date, we will have the right, at our option, to redeem each series of Fixed Rate Notes, in whole or in part, at any time and from time to time, at a redemption price equal to 100% of the principal amount of such series of Fixed Rate Notes being redeemed plus accrued and unpaid interest thereon to the redemption date. See “Description of the Notes—Optional Redemption.”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9" w:type="dxa"/>
            <w:tcBorders/>
          </w:tcPr>
          <w:p>
            <w:pPr>
              <w:pStyle w:val="TableContents"/>
              <w:bidi w:val="0"/>
              <w:spacing w:before="0" w:after="283"/>
              <w:jc w:val="left"/>
              <w:rPr/>
            </w:pPr>
            <w:r>
              <w:rPr/>
              <w:t xml:space="preserve">We estimate that the net proceeds we will receive from this offering will be approximately $    , after deducting estimated expenses and underwriting discounts.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We intend to use the net proceeds from this offering for general corporate purposes, which may include funding the upfront cash purchase price of the Alif Acquisition, capital expenditures, repurchases of our common stock under our stock repurchase program, repayment or refinancing of existing indebtedness, dividend payments and other acquisitions. See “Summary—Recent Developments—Pending Acquisition of Alif Semiconductor” and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Denominations and Form </w:t>
            </w:r>
          </w:p>
        </w:tc>
        <w:tc>
          <w:tcPr>
            <w:tcW w:w="6329" w:type="dxa"/>
            <w:tcBorders/>
          </w:tcPr>
          <w:p>
            <w:pPr>
              <w:pStyle w:val="TableContents"/>
              <w:bidi w:val="0"/>
              <w:spacing w:before="0" w:after="283"/>
              <w:jc w:val="left"/>
              <w:rPr/>
            </w:pPr>
            <w:r>
              <w:rPr/>
              <w:t xml:space="preserve">We will issue the notes of each series in the form of one or more fully registered global notes registered in the name of the nominee of The Depository Trust Company (“DTC”). The notes will be issued in minimum denominations of $2,000 and in integral multiples of $1,000 in excess thereof.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No Listing; Absence of a Public Market </w:t>
              <w:br/>
              <w:t xml:space="preserve">for the Notes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are new issues of securities with no established trading markets. We do not intend to apply for the listing of any series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notes on any securities exchange or for the quotation of any series of notes in any automated dealer quotation system. Certain of the underwriters have advised us that they may make a market in the notes after completion of the offering, but they will not be obligated to do so and may in their sole discretion discontinue any market-making activities at any time without notice. No assurance can be given as to the liquidity of any trading market for any series of notes or that active trading markets for the notes will develop.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9" w:type="dxa"/>
            <w:tcBorders/>
          </w:tcPr>
          <w:p>
            <w:pPr>
              <w:pStyle w:val="TableContents"/>
              <w:bidi w:val="0"/>
              <w:spacing w:before="0" w:after="283"/>
              <w:jc w:val="left"/>
              <w:rPr/>
            </w:pPr>
            <w:r>
              <w:rPr/>
              <w:t xml:space="preserve">An investment in the notes involves risks. You should carefully consider the information set forth in the section of this prospectus supplement entitled “Risk Factors” beginning on page S-6, as well as other information included or incorporated by reference in this prospectus supplement and the accompanying prospectus before deciding whether to invest in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Trustee, Registrar and Paying Agent </w:t>
            </w:r>
          </w:p>
        </w:tc>
        <w:tc>
          <w:tcPr>
            <w:tcW w:w="6327" w:type="dxa"/>
            <w:tcBorders/>
          </w:tcPr>
          <w:p>
            <w:pPr>
              <w:pStyle w:val="TableContents"/>
              <w:bidi w:val="0"/>
              <w:spacing w:before="0" w:after="283"/>
              <w:jc w:val="left"/>
              <w:rPr/>
            </w:pPr>
            <w:r>
              <w:rPr/>
              <w:t xml:space="preserve">The Bank of New York Mellon Trust Company, N.A.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Calculation Agent </w:t>
            </w:r>
          </w:p>
        </w:tc>
        <w:tc>
          <w:tcPr>
            <w:tcW w:w="6327" w:type="dxa"/>
            <w:tcBorders/>
          </w:tcPr>
          <w:p>
            <w:pPr>
              <w:pStyle w:val="TableContents"/>
              <w:bidi w:val="0"/>
              <w:spacing w:before="0" w:after="283"/>
              <w:jc w:val="left"/>
              <w:rPr/>
            </w:pPr>
            <w:r>
              <w:rPr/>
              <w:t xml:space="preserve">The Bank of New York Mellon Trust Company, N.A.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Governing Law </w:t>
            </w:r>
          </w:p>
        </w:tc>
        <w:tc>
          <w:tcPr>
            <w:tcW w:w="6328" w:type="dxa"/>
            <w:tcBorders/>
          </w:tcPr>
          <w:p>
            <w:pPr>
              <w:pStyle w:val="TableContents"/>
              <w:bidi w:val="0"/>
              <w:spacing w:before="0" w:after="283"/>
              <w:jc w:val="left"/>
              <w:rPr/>
            </w:pPr>
            <w:r>
              <w:rPr/>
              <w:t xml:space="preserve">The indenture and the notes will be governed by the laws of the State of New York.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Settlement </w:t>
            </w:r>
          </w:p>
        </w:tc>
        <w:tc>
          <w:tcPr>
            <w:tcW w:w="6327" w:type="dxa"/>
            <w:tcBorders/>
          </w:tcPr>
          <w:p>
            <w:pPr>
              <w:pStyle w:val="TableContents"/>
              <w:bidi w:val="0"/>
              <w:spacing w:before="0" w:after="283"/>
              <w:jc w:val="left"/>
              <w:rPr/>
            </w:pPr>
            <w:r>
              <w:rPr/>
              <w:t xml:space="preserve">We expect that delivery of the notes will be made to investors on or about    , 2026, which will be the    business day following the date of this prospectus supplement.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rom72941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Before you decide to invest in the notes, you should carefully consider the factors set forth below, as well as the risk factors discussed in our Annual Report on Form 10-K for the fiscal year ended November 1, 2025 and our Quarterly Report on Form 10-Q for the quarter ended August 1, 2026, each of which is incorporated by reference in this prospectus supplement and the accompanying prospectus. See “Where You Can Find More Information” in this prospectus supplement. The information contained or incorporated by reference in this prospectus supplement and the accompanying prospectus includes forward-looking statements that involve risks and uncertainties. We refer you to “Forward-Looking Statements” in this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Notes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notes will be unsecured and, therefore, will be effectively subordinated to any of our future secured debt.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not be secured by any of our assets. As a result, the notes will be effectively subordinated to any secured debt we may incur in the future, to the extent of the value of the assets securing that debt. In any liquidation, dissolution, bankruptcy or other similar proceeding involving us, the holders of any of our secured debt may assert rights against our secured assets in order to receive full payment of their debt before such assets may be used to pay the holders of the notes. The terms of the indenture governing the notes limit our ability to create, incur, assume or permit to exist liens on any Principal Property to secure any of our debt. However, these limitations are subject to numerous exceptions. See “Description of the Notes—Limitation on Liens.” As of August 1, 2026, we did not have any secured debt outstanding. See “Description of the Notes—Ranking.”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substantial indebtedness and the indenture governing the notes does not restrict our ability to incur additional indebtedness. </w:t>
      </w:r>
    </w:p>
    <w:p>
      <w:pPr>
        <w:pStyle w:val="TextBody"/>
        <w:bidi w:val="0"/>
        <w:spacing w:before="120" w:after="0"/>
        <w:jc w:val="left"/>
        <w:rPr>
          <w:rFonts w:ascii="Times New Roman" w:hAnsi="Times New Roman"/>
          <w:sz w:val="20"/>
        </w:rPr>
      </w:pPr>
      <w:r>
        <w:rPr>
          <w:rFonts w:ascii="Times New Roman" w:hAnsi="Times New Roman"/>
          <w:sz w:val="20"/>
        </w:rPr>
        <w:t xml:space="preserve">As of August 1, 2026, we had approximately $9.2 billion of indebtedness outstanding. As of August 1, 2026, after giving effect to this offering, we would have had approximately $     billion of indebtedness outstanding. In addition, we may incur substantial additional indebtedness in the future. In particular, the indenture pursuant to which the notes will be issued will not place any limitation on the amount of indebtedness that we or our subsidiaries may incur. Our incurrence of additional indebtedness may have important consequences for you as a holder of the notes,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have additional cash requirements in order to support the payment of interest on our outstanding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increases in our outstanding indebtedness and leverage may increase our vulnerability to adverse changes in general economic and industry conditions, as well as to competitive pressure;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additional financing for working capital, capital expenditures, general corporate and other purposes may be limited;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flexibility in planning for, or reacting to, changes in our business and our industry may be limited.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generate sufficient cash flow, we may not be able to service our debt obligations, including making payments on the notes.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make payments of principal and interest on our indebtedness when due depends upon our future performance, which will be subject to general economic conditions, industry cycles and financial, business and other factors affecting our consolidated operations, many of which are beyond our control. If we are unable to generate sufficient cash flow from operations in the future to service our outstanding debt, we may be required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 additional financing in the debt or equity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refinance or restructure all or a portion of our indebtedness, including our $8.2 billion in aggregate principal amount of senior notes previously issued and outstanding as of August 1, 2026 (the “Existing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Notes”), borrowings under our $3.0 billion revolving credit facility, borrowings under our $3.0 billion 364-day revolving credit facility, issuances under our $3.0 billion commercial paper program (which had approximately $1.0 billion of borrowings outstanding as of August 1, 2026) and the notes offered 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borrow under the revolving credit facility or issue notes under our commercial paper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divert funds that would otherwise be invested in growing our business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repatriate earnings as dividends from foreign locations with potential for negative tax consequences;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selected assets.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measures might not be sufficient to enable us to service our debt, including the notes, which could negatively impact our financial results. In addition, we may not be able to obtain any such financing, refinancing or complete a sale of assets on economically favorable terms. In the case of financing or refinancing, favorable interest rates will depend on the health of the debt capital markets.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notes will be structurally subordinated to the existing and future liabilities of our subsidiaries. </w:t>
      </w:r>
    </w:p>
    <w:p>
      <w:pPr>
        <w:pStyle w:val="TextBody"/>
        <w:bidi w:val="0"/>
        <w:spacing w:before="120" w:after="0"/>
        <w:jc w:val="left"/>
        <w:rPr>
          <w:rFonts w:ascii="Times New Roman" w:hAnsi="Times New Roman"/>
          <w:sz w:val="20"/>
        </w:rPr>
      </w:pPr>
      <w:r>
        <w:rPr>
          <w:rFonts w:ascii="Times New Roman" w:hAnsi="Times New Roman"/>
          <w:sz w:val="20"/>
        </w:rPr>
        <w:t xml:space="preserve">Our equity interest in our subsidiaries is structurally subordinated to any debt and other liabilities of our subsidiaries, whether or not secured. The notes will not be guaranteed by our subsidiaries and we may not have direct access to the assets of our subsidiaries unless such assets are transferred by dividend or otherwise to us. As a result, the notes will be structurally subordinated to all debt and other liabilities of our existing and future subsidiaries, including trade payables and lease obligations. As of August 1, 2026, our subsidiaries had approximately $2.7 billion of total liabilities, excluding intercompany payables, outstanding. The ability of our subsidiaries to pay dividends or otherwise transfer assets to us is subject to various restrictions under applicable law. Our right to receive assets of any of our subsidiaries upon their bankruptcy, liquidation or reorganization, and therefore the right of the holders of the notes to realize any value in respect of those assets, will be structurally subordinated to the claims of any such subsidiary’s creditors. In addition, even if we are a creditor of any of our subsidiaries, our rights as a creditor would be effectively subordinated to any security interest in the assets of our subsidiaries and subordinated in right of payment to any debt of our subsidiaries that is senior to any debt held by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credit ratings may not reflect all risks of your investment in the notes. </w:t>
      </w:r>
    </w:p>
    <w:p>
      <w:pPr>
        <w:pStyle w:val="TextBody"/>
        <w:bidi w:val="0"/>
        <w:spacing w:before="120" w:after="0"/>
        <w:jc w:val="left"/>
        <w:rPr>
          <w:rFonts w:ascii="Times New Roman" w:hAnsi="Times New Roman"/>
          <w:sz w:val="20"/>
        </w:rPr>
      </w:pPr>
      <w:r>
        <w:rPr>
          <w:rFonts w:ascii="Times New Roman" w:hAnsi="Times New Roman"/>
          <w:sz w:val="20"/>
        </w:rPr>
        <w:t xml:space="preserve">Any credit ratings assigned to the notes will be limited in scope and will not address all material risks relating to an investment in the notes, but rather reflect only the view of each rating agency at the time the rating is issued. An explanation of the significance of such rating may be obtained from such rating agency. We cannot assure you that such credit ratings will remain in effect for any given period of time or that a rating will not be lowered, suspended or withdrawn entirely by the applicable rating agency if, in such rating agency’s judgment, circumstances so warrant. Agency credit ratings are not a recommendation to buy, sell, or hold any security. Each agency’s rating should be evaluated independently of any other agency’s rating. Actual or anticipated changes or downgrades in our credit ratings, including any announcement that our ratings are under review for a downgrade, could affect the market value of the notes and increase our corporate borrowing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repurchase all of the notes upon a Change of Control Triggering Event, which would result in a default under the notes. </w:t>
      </w:r>
    </w:p>
    <w:p>
      <w:pPr>
        <w:pStyle w:val="TextBody"/>
        <w:bidi w:val="0"/>
        <w:spacing w:before="120" w:after="0"/>
        <w:jc w:val="left"/>
        <w:rPr>
          <w:rFonts w:ascii="Times New Roman" w:hAnsi="Times New Roman"/>
          <w:sz w:val="20"/>
        </w:rPr>
      </w:pPr>
      <w:r>
        <w:rPr>
          <w:rFonts w:ascii="Times New Roman" w:hAnsi="Times New Roman"/>
          <w:sz w:val="20"/>
        </w:rPr>
        <w:t xml:space="preserve">We may be required to offer to repurchase the notes and the Existing Notes upon the occurrence of a Change of Control Triggering Event as provided in the indentures governing the notes and the Existing Notes, respectively. However, we may not have sufficient funds to repurchase the notes and the Existing Notes at such time. In addition, our ability to repurchase the notes may be limited by law or the terms of other agreements relating to our indebtedness outstanding at the time. The failure to make such repurchases would result in a default under each series of notes and the Existing Notes. See “Description of the Notes—Change of Control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indenture governing the notes will have only limited covenants and these covenants may not protect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indenture governing the notes will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us to maintain any financial ratios or specific levels of net worth, revenues, income, cash flows, or liquidity and, accordingly, will not protect holders of the notes in the event that we experience significant adverse changes in our financial condition or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our subsidiaries’ ability to incur indebtedness that would effectively rank senior to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our ability to incur indebtedness that is equal in right of payment to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our ability to repurchase our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our ability to make investments, pay dividends, or make other payments in respect of our common stock or other securities ranking junior to the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Furthermore, the indenture governing the notes will contain only limited protections in the event of a Change of Control Triggering Event as described in this prospectus supplement. The indenture governing the notes also will permit us and our subsidiaries to incur additional indebtedness, including secured indebtedness, that would effectively rank senior to the notes, and to engage in Sale and Lease Back Transactions (as defined in “Description of the Notes”), subject to certain limitations.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provisions of the notes will not necessarily protect you in the event of a highly leveraged transaction. </w:t>
      </w:r>
    </w:p>
    <w:p>
      <w:pPr>
        <w:pStyle w:val="TextBody"/>
        <w:bidi w:val="0"/>
        <w:spacing w:before="120" w:after="0"/>
        <w:jc w:val="left"/>
        <w:rPr>
          <w:rFonts w:ascii="Times New Roman" w:hAnsi="Times New Roman"/>
          <w:sz w:val="20"/>
        </w:rPr>
      </w:pPr>
      <w:r>
        <w:rPr>
          <w:rFonts w:ascii="Times New Roman" w:hAnsi="Times New Roman"/>
          <w:sz w:val="20"/>
        </w:rPr>
        <w:t xml:space="preserve">The terms of the notes will not necessarily afford you protection in the event of a highly leveraged transaction that may adversely affect you, including a reorganization, recapitalization, restructuring, merger or other similar transaction involving us. As a result, we could enter into any such transaction even though the transaction could increase the total amount of our outstanding indebtedness, adversely affect our capital structure or credit rating or otherwise adversely affect the holders of the notes. These transactions may not involve a change in voting power or beneficial ownership or result in a downgrade in the ratings of the notes, or, even if they do, may not necessarily constitute a Change of Control Triggering Event that affords you the protections described in this prospectus supplement. If any such transaction should occur, the value of your notes may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Active trading markets for the notes may not develop. </w:t>
      </w:r>
    </w:p>
    <w:p>
      <w:pPr>
        <w:pStyle w:val="TextBody"/>
        <w:bidi w:val="0"/>
        <w:spacing w:before="120" w:after="0"/>
        <w:jc w:val="left"/>
        <w:rPr>
          <w:rFonts w:ascii="Times New Roman" w:hAnsi="Times New Roman"/>
          <w:sz w:val="20"/>
        </w:rPr>
      </w:pPr>
      <w:r>
        <w:rPr>
          <w:rFonts w:ascii="Times New Roman" w:hAnsi="Times New Roman"/>
          <w:sz w:val="20"/>
        </w:rPr>
        <w:t xml:space="preserve">Each series of notes constitutes a new issue of securities for which there is no existing market. We do not intend to apply for listing of any series of notes on any securities exchange or for quotation of any series of notes in any automated dealer quotation system. Certain of the underwriters have advised us that they may make a market in the notes after completion of the offering, but they will not be obligated to do so and may in their sole discretion discontinue any market-making activities at any time without notice. We cannot provide you with any assurance regarding whether a trading market for any series of notes will develop, the ability of holders of notes of such series to sell their notes or the price at which holders may be able to sell their notes. In addition, the liquidity of the trading markets in the notes and the market prices quoted for each series of notes may be adversely affected by changes in the overall market for securities, changes in our financial performance or prospects, or changes in the financial performance or prospects of companies in our industry. If no active trading markets develop, you may be unable to resell the notes of a series at a particular time, at any price, or at their fair market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our credit ratings, our financial condition, our financial performance, or our future prospects, or the debt markets could adversely affect the market prices of the notes. </w:t>
      </w:r>
    </w:p>
    <w:p>
      <w:pPr>
        <w:pStyle w:val="TextBody"/>
        <w:bidi w:val="0"/>
        <w:spacing w:before="120" w:after="0"/>
        <w:jc w:val="left"/>
        <w:rPr>
          <w:rFonts w:ascii="Times New Roman" w:hAnsi="Times New Roman"/>
          <w:sz w:val="20"/>
        </w:rPr>
      </w:pPr>
      <w:r>
        <w:rPr>
          <w:rFonts w:ascii="Times New Roman" w:hAnsi="Times New Roman"/>
          <w:sz w:val="20"/>
        </w:rPr>
        <w:t xml:space="preserve">The prices for each series of notes will depend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credit ratings with major credit rating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prevailing interest rates being paid by other companies similar to 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condition, financial performance and future prospects;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overall condition of the financial markets.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condition of the financial markets and prevailing interest rates have fluctuated significantly in the past and are likely to fluctuate in the future. Such fluctuations could have an adverse effect on the prices of the notes.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credit rating agencies continually review their ratings for the companies that they follow, including us. A negative change in our rating could have an adverse effect on the prices of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Risks Related to the Floating Rate Notes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Floating Rate Notes will bear additional risks. </w:t>
      </w:r>
    </w:p>
    <w:p>
      <w:pPr>
        <w:pStyle w:val="TextBody"/>
        <w:bidi w:val="0"/>
        <w:spacing w:before="120" w:after="0"/>
        <w:jc w:val="left"/>
        <w:rPr>
          <w:rFonts w:ascii="Times New Roman" w:hAnsi="Times New Roman"/>
          <w:sz w:val="20"/>
        </w:rPr>
      </w:pPr>
      <w:r>
        <w:rPr>
          <w:rFonts w:ascii="Times New Roman" w:hAnsi="Times New Roman"/>
          <w:sz w:val="20"/>
        </w:rPr>
        <w:t xml:space="preserve">The Floating Rate Notes will bear interest at a floating rate and accordingly carry significant risks not associated with conventional fixed rate notes. These risks include fluctuation of the interest rates and the possibility that you will receive an amount of interest that is lower than expected. We have no control over a number of matters, including economic, financial, political, regulatory and judicial events and conditions, that are important in determining the existence, magnitude and longevity of these risks and their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future performance of the Secured Overnight Financing Rate (“SOFR”) cannot be predicted based on historical performance. </w:t>
      </w:r>
    </w:p>
    <w:p>
      <w:pPr>
        <w:pStyle w:val="TextBody"/>
        <w:bidi w:val="0"/>
        <w:spacing w:before="120" w:after="0"/>
        <w:jc w:val="left"/>
        <w:rPr>
          <w:rFonts w:ascii="Times New Roman" w:hAnsi="Times New Roman"/>
          <w:sz w:val="20"/>
        </w:rPr>
      </w:pPr>
      <w:r>
        <w:rPr>
          <w:rFonts w:ascii="Times New Roman" w:hAnsi="Times New Roman"/>
          <w:sz w:val="20"/>
        </w:rPr>
        <w:t xml:space="preserve">Publication of SOFR began in April 2018. The future performance of SOFR cannot be predicted based on the limited historical performance. Levels of SOFR going forward may bear little or no relation to the historical actual or historical indicative data. Prior observed patterns, if any, in the behavior of market variables and their relation to SOFR, such as correlations, may change in the future. Because only limited historical data have been released by the Federal Reserve Bank of New York, such analysis inherently involves assumptions, estimates and approximations. The future performance of SOFR is impossible to predict and therefore no future performance of SOFR may be inferred from any of the historical actual or historical indicative data. Hypothetical or historical performance data are not indicative of, and have no bearing on, the potential performance of SOFR. There can be no assurance that SOFR will be positive. Investors in the Floating Rate Notes may not be able to sell the Floating Rate Notes at all or may not be able to sell the Floating Rate Notes at prices that will provide them with a yield comparable to similar investments that have a developed secondary market, and may consequently suffer from increased pricing volatility and market risk.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SOFR may be more volatile than other benchmark or market rates. </w:t>
      </w:r>
    </w:p>
    <w:p>
      <w:pPr>
        <w:pStyle w:val="TextBody"/>
        <w:bidi w:val="0"/>
        <w:spacing w:before="120" w:after="0"/>
        <w:jc w:val="left"/>
        <w:rPr>
          <w:rFonts w:ascii="Times New Roman" w:hAnsi="Times New Roman"/>
          <w:sz w:val="20"/>
        </w:rPr>
      </w:pPr>
      <w:r>
        <w:rPr>
          <w:rFonts w:ascii="Times New Roman" w:hAnsi="Times New Roman"/>
          <w:sz w:val="20"/>
        </w:rPr>
        <w:t xml:space="preserve">Since the initial publication of SOFR, daily changes in SOFR have, on occasion, been more volatile than daily changes in other benchmark or market rates. Although changes in Compounded SOFR generally are not expected to be as volatile as changes in daily levels of SOFR, the return on and value of the Floating Rate Notes may fluctuate more than floating rate debt securities that are linked to less volatile rates.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interest rate on the Floating Rate Notes is based on a Compounded SOFR rate and the SOFR Index. </w:t>
      </w:r>
    </w:p>
    <w:p>
      <w:pPr>
        <w:pStyle w:val="TextBody"/>
        <w:bidi w:val="0"/>
        <w:spacing w:before="120" w:after="0"/>
        <w:jc w:val="left"/>
        <w:rPr>
          <w:rFonts w:ascii="Times New Roman" w:hAnsi="Times New Roman"/>
          <w:sz w:val="20"/>
        </w:rPr>
      </w:pPr>
      <w:r>
        <w:rPr>
          <w:rFonts w:ascii="Times New Roman" w:hAnsi="Times New Roman"/>
          <w:sz w:val="20"/>
        </w:rPr>
        <w:t xml:space="preserve">For each interest period, the interest rate on the Floating Rate Notes is based on Compounded SOFR, which will be calculated using the SOFR Index (as defined below) published by the Federal Reserve Bank of New York according to the specific formula described in this prospectus supplement under the caption “Description of the Notes—Interest—Floating Rate Notes—Compounded SOFR,” not the SOFR rate published on or in respect of a particular date during such interest period or an arithmetic average of SOFR rates during such period. For this and other reasons, the interest rate on the Floating Rate Notes during any interest period will not necessarily be the same as the interest rate on other SOFR-linked investments that use an alternative basis to determine the applicable interest rate. Further, if the SOFR rate in respect of a particular date during an interest period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negative, its contribution to the SOFR Index will be less than one, resulting in a reduction to Compounded SOFR used to calculate the interest payable on the Floating Rate Notes on the Floating Rate Interest Payment Date (as defined below) for such interest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Compounded SOFR with respect to a particular interest period will only be capable of being determined near the end of the relevant interest period. </w:t>
      </w:r>
    </w:p>
    <w:p>
      <w:pPr>
        <w:pStyle w:val="TextBody"/>
        <w:bidi w:val="0"/>
        <w:spacing w:before="120" w:after="0"/>
        <w:jc w:val="left"/>
        <w:rPr>
          <w:rFonts w:ascii="Times New Roman" w:hAnsi="Times New Roman"/>
          <w:sz w:val="20"/>
        </w:rPr>
      </w:pPr>
      <w:r>
        <w:rPr>
          <w:rFonts w:ascii="Times New Roman" w:hAnsi="Times New Roman"/>
          <w:sz w:val="20"/>
        </w:rPr>
        <w:t xml:space="preserve">The level of Compounded SOFR applicable to a particular interest period and, therefore, the amount of interest payable with respect to such interest period will be determined on the Interest Payment Determination Date for such interest period. Because each such date is near the end of such interest period, you will not know the amount of interest payable with respect to a particular interest period until shortly prior to the related Floating Rate Interest Payment Date and it may be difficult for you to reliably estimate the amount of interest that will be payable on each such Floating Rate Interest Payment Date. In addition, some investors may be unwilling or unable to trade the Floating Rate Notes without changes to their information technology systems. An inability to reliably estimate accrued and unpaid interest as well as the potential need for some investors to change their information technology systems could adversely impact both the liquidity and trading price of the Floating Rate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SOFR Index may be modified or discontinued and the Floating Rate Notes may bear interest by reference to a rate other than Compounded SOFR, which could adversely affect the value of the Floating Rate Notes. </w:t>
      </w:r>
    </w:p>
    <w:p>
      <w:pPr>
        <w:pStyle w:val="TextBody"/>
        <w:bidi w:val="0"/>
        <w:spacing w:before="120" w:after="0"/>
        <w:jc w:val="left"/>
        <w:rPr>
          <w:rFonts w:ascii="Times New Roman" w:hAnsi="Times New Roman"/>
          <w:sz w:val="20"/>
        </w:rPr>
      </w:pPr>
      <w:r>
        <w:rPr>
          <w:rFonts w:ascii="Times New Roman" w:hAnsi="Times New Roman"/>
          <w:sz w:val="20"/>
        </w:rPr>
        <w:t xml:space="preserve">The SOFR Index is published by the Federal Reserve Bank of New York based on data received by it from sources other than us, and we have no control over its methods of calculation, publication schedule, rate revision practices or availability of the SOFR Index at any time. There can be no guarantee that the SOFR Index will not be discontinued or fundamentally altered in a manner that is materially adverse to the interests of investors in the Floating Rate Notes. If the manner in which the SOFR Index is calculated, including the manner in which SOFR is calculated, is changed, that change may result in a reduction in the amount of interest payable on the Floating Rate Notes and the trading price of the Floating Rate Notes. In addition, the Federal Reserve Bank of New York may withdraw, modify or amend the published SOFR Index or SOFR data in its sole discretion and without notice. The interest rate for any interest period will not be adjusted for any modifications or amendments to the SOFR Index or SOFR data that the Federal Reserve Bank of New York may publish after the interest rate for that interest period has been determined. </w:t>
      </w:r>
    </w:p>
    <w:p>
      <w:pPr>
        <w:pStyle w:val="TextBody"/>
        <w:bidi w:val="0"/>
        <w:spacing w:before="240" w:after="0"/>
        <w:jc w:val="left"/>
        <w:rPr>
          <w:rFonts w:ascii="Times New Roman" w:hAnsi="Times New Roman"/>
          <w:sz w:val="20"/>
        </w:rPr>
      </w:pPr>
      <w:r>
        <w:rPr>
          <w:rFonts w:ascii="Times New Roman" w:hAnsi="Times New Roman"/>
          <w:sz w:val="20"/>
        </w:rPr>
        <w:t xml:space="preserve">If we (or our designee (which may be an independent financial advisor or any other designee of ours (any of such entities, a “Designee”))) determine that a Benchmark Transition Event and its related Benchmark Replacement Date (each as defined below) have occurred in respect of the SOFR Index, then the interest rate on the Floating Rate Notes will no longer be determined by reference to the SOFR Index, but instead will be determined by reference to a different rate, plus a spread adjustment, which is referred to as a “Benchmark Replacement”, as further described in this prospectus supplement under the caption “Description of the Notes—Interest—Floating Rate Notes.” </w:t>
      </w:r>
    </w:p>
    <w:p>
      <w:pPr>
        <w:pStyle w:val="TextBody"/>
        <w:bidi w:val="0"/>
        <w:spacing w:before="240" w:after="0"/>
        <w:jc w:val="left"/>
        <w:rPr>
          <w:rFonts w:ascii="Times New Roman" w:hAnsi="Times New Roman"/>
          <w:sz w:val="20"/>
        </w:rPr>
      </w:pPr>
      <w:r>
        <w:rPr>
          <w:rFonts w:ascii="Times New Roman" w:hAnsi="Times New Roman"/>
          <w:sz w:val="20"/>
        </w:rPr>
        <w:t xml:space="preserve">If a particular Benchmark Replacement (as defined below) or Benchmark Replacement Adjustment (as defined below) cannot be determined, then the next-available Benchmark Replacement or Benchmark Replacement Adjustment will apply. These replacement rates and adjustments may be selected, recommended or formulated by (i) the Relevant Governmental Body (as defined below) (such as the Alternative Reference Rates Committee), (ii) the International Swaps and Derivatives Association (“ISDA”) or (iii) in certain circumstances, us (or our Designee). In addition, the terms of the Floating Rate Notes expressly authorize us (or our Designee) to make Benchmark Replacement Conforming Changes (as defined below) with respect to, among other things, changes to the definition of “interest period”, timing and frequency of determining rates and making payments of interest, rounding of amounts or tenors, and other administrative matters. The determination of a Benchmark Replacement, the calculation of the interest rate on the Floating Rate Notes by reference to a Benchmark Replacement (including the application of a Benchmark Replacement Adjustment), any implementation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Benchmark Replacement Conforming Changes and any other determinations, decisions or elections that may be made under the terms of the Floating Rate Notes in connection with a Benchmark Transition Event, could adversely affect the value of the Floating Rate Notes, the return on the Floating Rate Notes and the price at which you can sell the Floating Rate Notes.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(i) the composition and characteristics of the Benchmark Replacement will not be the same as those of Compounded SOFR, the Benchmark Replacement may not be the economic equivalent of Compounded SOFR, there can be no assurance that the Benchmark Replacement will perform in the same way as Compounded SOFR would have at any time and there is no guarantee that the Benchmark Replacement will be a comparable substitute for Compounded SOFR (each of which means that a Benchmark Transition Event could adversely affect the value of the Floating Rate Notes, the return on the Floating Rate Notes and the price at which you can sell the Floating Rate Notes), (ii) any failure of the Benchmark Replacement to gain market acceptance could adversely affect the Floating Rate Notes, (iii) the Benchmark Replacement may have a very limited history and the future performance of the Benchmark Replacement may not be predicted based on historical performance, (iv) the secondary trading market for Floating Rate Notes linked to the Benchmark Replacement may be limited and (v) the administrator of the Benchmark Replacement may make changes that could change the value of the Benchmark Replacement or discontinue the Benchmark Replacement and has no obligation to consider your interests in doing so.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(or our Designee) will make certain determinations with respect to the Floating Rate Notes, which determinations may adversely affect the Floating Rate Notes. </w:t>
      </w:r>
    </w:p>
    <w:p>
      <w:pPr>
        <w:pStyle w:val="TextBody"/>
        <w:bidi w:val="0"/>
        <w:spacing w:before="120" w:after="0"/>
        <w:jc w:val="left"/>
        <w:rPr>
          <w:rFonts w:ascii="Times New Roman" w:hAnsi="Times New Roman"/>
          <w:sz w:val="20"/>
        </w:rPr>
      </w:pPr>
      <w:r>
        <w:rPr>
          <w:rFonts w:ascii="Times New Roman" w:hAnsi="Times New Roman"/>
          <w:sz w:val="20"/>
        </w:rPr>
        <w:t xml:space="preserve">We (or our Designee) will make certain determinations with respect to the Floating Rate Notes as further described in this prospectus supplement under the caption “Description of the Notes—Interest—Floating Rate Notes.” For example, if a Benchmark Transition Event and its related Benchmark Replacement Date have occurred, we (or our Designee) will make certain determinations with respect to the Floating Rate Notes in our (or our Designee’s) sole discretion as further described in this prospectus supplement under the caption “Description of the Notes—Interest—Floating Rate Notes.” Any determination, decision or election pursuant to the benchmark replacement provisions not made by our Designee will be made by us. Our interests or the interests of such designee in making these determinations described above may be adverse to your interests as a holder of the Floating Rate Notes. Any of these determinations may adversely affect the value of the Floating Rate Notes, the return on the Floating Rate Notes and the price at which you can sell such Floating Rate Notes. Moreover, certain determinations may require the exercise of discretion and the making of subjective judgments without the consent of the holders, such as with respect to Compounded SOFR or the occurrence or non-occurrence of a Benchmark Transition Event and any Benchmark Replacement Conforming Changes. These potentially subjective determinations may adversely affect the value of the Floating Rate Notes, the return on the Floating Rate Notes and the price at which you can sell such Floating Rate Notes. For further information regarding these types of determinations, see “Description of the Notes—Interest—Floating Rate Notes—Compounded SOFR.”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rom72941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we will receive from this offering will be approximately $  , after deducting estimated expenses and underwriting discounts. We intend to use the net proceeds from this offering for general corporate purposes, which may include funding the upfront cash purchase price of the Alif Acquisition, capital expenditures, repurchases of our common stock under our stock repurchase program, repayment or refinancing of existing indebtedness, dividend payments and other acquisitions.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rom72941_6"/>
      <w:bookmarkEnd w:id="8"/>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cash and cash equivalents and capitalization as of August 1, 2026 on (1) an actual basis and (2) an as-adjusted basis, giving effect to the issuance and sale of the notes offered hereby, after deducting estimated expenses and underwriting discounts, but not the use of the estimated net proceeds from the issuance and sale of the notes.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in conjunction with our consolidated financial statements and the notes thereto in our Annual Report on Form 10-K for the fiscal year ended November 1, 2025 and the Quarterly Reports on Form 10-Q for the fiscal quarters ended January 31, 2026, May 2, 2026 and August 1, 2026, which are incorporated herein by reference.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65"/>
        <w:gridCol w:w="344"/>
        <w:gridCol w:w="140"/>
        <w:gridCol w:w="1222"/>
        <w:gridCol w:w="60"/>
        <w:gridCol w:w="344"/>
        <w:gridCol w:w="140"/>
        <w:gridCol w:w="1276"/>
        <w:gridCol w:w="64"/>
      </w:tblGrid>
      <w:tr>
        <w:trPr/>
        <w:tc>
          <w:tcPr>
            <w:tcW w:w="4165"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16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318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August 1, 2026</w:t>
            </w:r>
          </w:p>
        </w:tc>
        <w:tc>
          <w:tcPr>
            <w:tcW w:w="64" w:type="dxa"/>
            <w:tcBorders/>
            <w:vAlign w:val="bottom"/>
          </w:tcPr>
          <w:p>
            <w:pPr>
              <w:pStyle w:val="TableContents"/>
              <w:bidi w:val="0"/>
              <w:spacing w:before="0" w:after="283"/>
              <w:jc w:val="left"/>
              <w:rPr/>
            </w:pPr>
            <w:r>
              <w:rPr/>
              <w:t> </w:t>
            </w:r>
          </w:p>
        </w:tc>
      </w:tr>
      <w:tr>
        <w:trPr/>
        <w:tc>
          <w:tcPr>
            <w:tcW w:w="416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Adjusted</w:t>
            </w:r>
          </w:p>
        </w:tc>
        <w:tc>
          <w:tcPr>
            <w:tcW w:w="64" w:type="dxa"/>
            <w:tcBorders/>
            <w:vAlign w:val="bottom"/>
          </w:tcPr>
          <w:p>
            <w:pPr>
              <w:pStyle w:val="TableContents"/>
              <w:bidi w:val="0"/>
              <w:spacing w:before="0" w:after="283"/>
              <w:jc w:val="left"/>
              <w:rPr/>
            </w:pPr>
            <w:r>
              <w:rPr/>
              <w:t> </w:t>
            </w:r>
          </w:p>
        </w:tc>
      </w:tr>
      <w:tr>
        <w:trPr/>
        <w:tc>
          <w:tcPr>
            <w:tcW w:w="416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3182" w:type="dxa"/>
            <w:gridSpan w:val="6"/>
            <w:tcBorders/>
            <w:vAlign w:val="bottom"/>
          </w:tcPr>
          <w:p>
            <w:pPr>
              <w:pStyle w:val="TableContents"/>
              <w:bidi w:val="0"/>
              <w:spacing w:before="0" w:after="283"/>
              <w:jc w:val="center"/>
              <w:rPr>
                <w:b/>
              </w:rPr>
            </w:pPr>
            <w:r>
              <w:rPr>
                <w:b/>
              </w:rPr>
              <w:t>(in thousands)</w:t>
            </w:r>
          </w:p>
        </w:tc>
        <w:tc>
          <w:tcPr>
            <w:tcW w:w="64" w:type="dxa"/>
            <w:tcBorders/>
            <w:vAlign w:val="bottom"/>
          </w:tcPr>
          <w:p>
            <w:pPr>
              <w:pStyle w:val="TableContents"/>
              <w:bidi w:val="0"/>
              <w:spacing w:before="0" w:after="283"/>
              <w:jc w:val="left"/>
              <w:rPr/>
            </w:pPr>
            <w:r>
              <w:rPr/>
              <w:t> </w:t>
            </w:r>
          </w:p>
        </w:tc>
      </w:tr>
      <w:tr>
        <w:trPr/>
        <w:tc>
          <w:tcPr>
            <w:tcW w:w="41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equivalents(1)</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2,165,870</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76"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165"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7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165" w:type="dxa"/>
            <w:tcBorders/>
          </w:tcPr>
          <w:p>
            <w:pPr>
              <w:pStyle w:val="TableContents"/>
              <w:bidi w:val="0"/>
              <w:spacing w:before="0" w:after="0"/>
              <w:jc w:val="left"/>
              <w:rPr>
                <w:rFonts w:ascii="Times New Roman" w:hAnsi="Times New Roman"/>
                <w:sz w:val="20"/>
              </w:rPr>
            </w:pPr>
            <w:r>
              <w:rPr>
                <w:rFonts w:ascii="Times New Roman" w:hAnsi="Times New Roman"/>
                <w:sz w:val="20"/>
              </w:rPr>
              <w:t>Debt(2):</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7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1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Revolving credit facility</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165" w:type="dxa"/>
            <w:tcBorders/>
          </w:tcPr>
          <w:p>
            <w:pPr>
              <w:pStyle w:val="TableContents"/>
              <w:bidi w:val="0"/>
              <w:spacing w:before="0" w:after="0"/>
              <w:jc w:val="left"/>
              <w:rPr>
                <w:rFonts w:ascii="Times New Roman" w:hAnsi="Times New Roman"/>
                <w:sz w:val="20"/>
              </w:rPr>
            </w:pPr>
            <w:r>
              <w:rPr>
                <w:rFonts w:ascii="Times New Roman" w:hAnsi="Times New Roman"/>
                <w:sz w:val="20"/>
              </w:rPr>
              <w:t>364-day revolving credit facility</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1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Floating Rate Notes due 20  offered hereby</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76"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165" w:type="dxa"/>
            <w:tcBorders/>
          </w:tcPr>
          <w:p>
            <w:pPr>
              <w:pStyle w:val="TableContents"/>
              <w:bidi w:val="0"/>
              <w:spacing w:before="0" w:after="0"/>
              <w:jc w:val="left"/>
              <w:rPr/>
            </w:pPr>
            <w:r>
              <w:rPr/>
              <w:t>  </w:t>
            </w:r>
            <w:r>
              <w:rPr>
                <w:rFonts w:ascii="Times New Roman" w:hAnsi="Times New Roman"/>
                <w:sz w:val="20"/>
              </w:rPr>
              <w:t>% notes due 20  offered hereby</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7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165" w:type="dxa"/>
            <w:tcBorders/>
            <w:shd w:fill="CCEEFF" w:val="clear"/>
          </w:tcPr>
          <w:p>
            <w:pPr>
              <w:pStyle w:val="TableContents"/>
              <w:bidi w:val="0"/>
              <w:spacing w:before="0" w:after="0"/>
              <w:jc w:val="left"/>
              <w:rPr/>
            </w:pPr>
            <w:r>
              <w:rPr/>
              <w:t>  </w:t>
            </w:r>
            <w:r>
              <w:rPr>
                <w:rFonts w:ascii="Times New Roman" w:hAnsi="Times New Roman"/>
                <w:sz w:val="20"/>
              </w:rPr>
              <w:t>% notes due 20  offered hereby</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76"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165" w:type="dxa"/>
            <w:tcBorders/>
          </w:tcPr>
          <w:p>
            <w:pPr>
              <w:pStyle w:val="TableContents"/>
              <w:bidi w:val="0"/>
              <w:spacing w:before="0" w:after="0"/>
              <w:jc w:val="left"/>
              <w:rPr/>
            </w:pPr>
            <w:r>
              <w:rPr/>
              <w:t>  </w:t>
            </w:r>
            <w:r>
              <w:rPr>
                <w:rFonts w:ascii="Times New Roman" w:hAnsi="Times New Roman"/>
                <w:sz w:val="20"/>
              </w:rPr>
              <w:t>% notes due 20  offered hereby</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7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165" w:type="dxa"/>
            <w:tcBorders/>
            <w:shd w:fill="CCEEFF" w:val="clear"/>
          </w:tcPr>
          <w:p>
            <w:pPr>
              <w:pStyle w:val="TableContents"/>
              <w:bidi w:val="0"/>
              <w:spacing w:before="0" w:after="0"/>
              <w:jc w:val="left"/>
              <w:rPr/>
            </w:pPr>
            <w:r>
              <w:rPr/>
              <w:t>  </w:t>
            </w:r>
            <w:r>
              <w:rPr>
                <w:rFonts w:ascii="Times New Roman" w:hAnsi="Times New Roman"/>
                <w:sz w:val="20"/>
              </w:rPr>
              <w:t>% notes due 20  offered hereby</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76"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165" w:type="dxa"/>
            <w:tcBorders/>
          </w:tcPr>
          <w:p>
            <w:pPr>
              <w:pStyle w:val="TableContents"/>
              <w:bidi w:val="0"/>
              <w:spacing w:before="0" w:after="0"/>
              <w:jc w:val="left"/>
              <w:rPr>
                <w:rFonts w:ascii="Times New Roman" w:hAnsi="Times New Roman"/>
                <w:sz w:val="20"/>
              </w:rPr>
            </w:pPr>
            <w:r>
              <w:rPr>
                <w:rFonts w:ascii="Times New Roman" w:hAnsi="Times New Roman"/>
                <w:sz w:val="20"/>
              </w:rPr>
              <w:t>Commercial paper notes</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1,005,104</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1,005,104</w:t>
            </w:r>
          </w:p>
        </w:tc>
        <w:tc>
          <w:tcPr>
            <w:tcW w:w="64" w:type="dxa"/>
            <w:tcBorders/>
            <w:vAlign w:val="bottom"/>
          </w:tcPr>
          <w:p>
            <w:pPr>
              <w:pStyle w:val="TableContents"/>
              <w:bidi w:val="0"/>
              <w:spacing w:before="0" w:after="283"/>
              <w:jc w:val="left"/>
              <w:rPr/>
            </w:pPr>
            <w:r>
              <w:rPr/>
              <w:t> </w:t>
            </w:r>
          </w:p>
        </w:tc>
      </w:tr>
      <w:tr>
        <w:trPr/>
        <w:tc>
          <w:tcPr>
            <w:tcW w:w="41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3.500% notes due Dec. 5, 2026</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900,000</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900,000</w:t>
            </w:r>
          </w:p>
        </w:tc>
        <w:tc>
          <w:tcPr>
            <w:tcW w:w="64" w:type="dxa"/>
            <w:tcBorders/>
            <w:shd w:fill="CCEEFF" w:val="clear"/>
            <w:vAlign w:val="bottom"/>
          </w:tcPr>
          <w:p>
            <w:pPr>
              <w:pStyle w:val="TableContents"/>
              <w:bidi w:val="0"/>
              <w:spacing w:before="0" w:after="283"/>
              <w:jc w:val="left"/>
              <w:rPr/>
            </w:pPr>
            <w:r>
              <w:rPr/>
              <w:t> </w:t>
            </w:r>
          </w:p>
        </w:tc>
      </w:tr>
      <w:tr>
        <w:trPr/>
        <w:tc>
          <w:tcPr>
            <w:tcW w:w="4165" w:type="dxa"/>
            <w:tcBorders/>
          </w:tcPr>
          <w:p>
            <w:pPr>
              <w:pStyle w:val="TableContents"/>
              <w:bidi w:val="0"/>
              <w:spacing w:before="0" w:after="0"/>
              <w:jc w:val="left"/>
              <w:rPr>
                <w:rFonts w:ascii="Times New Roman" w:hAnsi="Times New Roman"/>
                <w:sz w:val="20"/>
              </w:rPr>
            </w:pPr>
            <w:r>
              <w:rPr>
                <w:rFonts w:ascii="Times New Roman" w:hAnsi="Times New Roman"/>
                <w:sz w:val="20"/>
              </w:rPr>
              <w:t>3.450% notes due Jun. 15, 2027</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440,212</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440,212</w:t>
            </w:r>
          </w:p>
        </w:tc>
        <w:tc>
          <w:tcPr>
            <w:tcW w:w="64" w:type="dxa"/>
            <w:tcBorders/>
            <w:vAlign w:val="bottom"/>
          </w:tcPr>
          <w:p>
            <w:pPr>
              <w:pStyle w:val="TableContents"/>
              <w:bidi w:val="0"/>
              <w:spacing w:before="0" w:after="283"/>
              <w:jc w:val="left"/>
              <w:rPr/>
            </w:pPr>
            <w:r>
              <w:rPr/>
              <w:t> </w:t>
            </w:r>
          </w:p>
        </w:tc>
      </w:tr>
      <w:tr>
        <w:trPr/>
        <w:tc>
          <w:tcPr>
            <w:tcW w:w="41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4.250% notes due Jun. 15, 2028</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850,000</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850,000</w:t>
            </w:r>
          </w:p>
        </w:tc>
        <w:tc>
          <w:tcPr>
            <w:tcW w:w="64" w:type="dxa"/>
            <w:tcBorders/>
            <w:shd w:fill="CCEEFF" w:val="clear"/>
            <w:vAlign w:val="bottom"/>
          </w:tcPr>
          <w:p>
            <w:pPr>
              <w:pStyle w:val="TableContents"/>
              <w:bidi w:val="0"/>
              <w:spacing w:before="0" w:after="283"/>
              <w:jc w:val="left"/>
              <w:rPr/>
            </w:pPr>
            <w:r>
              <w:rPr/>
              <w:t> </w:t>
            </w:r>
          </w:p>
        </w:tc>
      </w:tr>
      <w:tr>
        <w:trPr/>
        <w:tc>
          <w:tcPr>
            <w:tcW w:w="4165" w:type="dxa"/>
            <w:tcBorders/>
          </w:tcPr>
          <w:p>
            <w:pPr>
              <w:pStyle w:val="TableContents"/>
              <w:bidi w:val="0"/>
              <w:spacing w:before="0" w:after="0"/>
              <w:jc w:val="left"/>
              <w:rPr>
                <w:rFonts w:ascii="Times New Roman" w:hAnsi="Times New Roman"/>
                <w:sz w:val="20"/>
              </w:rPr>
            </w:pPr>
            <w:r>
              <w:rPr>
                <w:rFonts w:ascii="Times New Roman" w:hAnsi="Times New Roman"/>
                <w:sz w:val="20"/>
              </w:rPr>
              <w:t>1.700% sustainability-linked notes due Oct. 1, 2028</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750,000</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750,000</w:t>
            </w:r>
          </w:p>
        </w:tc>
        <w:tc>
          <w:tcPr>
            <w:tcW w:w="64" w:type="dxa"/>
            <w:tcBorders/>
            <w:vAlign w:val="bottom"/>
          </w:tcPr>
          <w:p>
            <w:pPr>
              <w:pStyle w:val="TableContents"/>
              <w:bidi w:val="0"/>
              <w:spacing w:before="0" w:after="283"/>
              <w:jc w:val="left"/>
              <w:rPr/>
            </w:pPr>
            <w:r>
              <w:rPr/>
              <w:t> </w:t>
            </w:r>
          </w:p>
        </w:tc>
      </w:tr>
      <w:tr>
        <w:trPr/>
        <w:tc>
          <w:tcPr>
            <w:tcW w:w="41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4.500% notes due Jun. 15, 2030</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650,000</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650,000</w:t>
            </w:r>
          </w:p>
        </w:tc>
        <w:tc>
          <w:tcPr>
            <w:tcW w:w="64" w:type="dxa"/>
            <w:tcBorders/>
            <w:shd w:fill="CCEEFF" w:val="clear"/>
            <w:vAlign w:val="bottom"/>
          </w:tcPr>
          <w:p>
            <w:pPr>
              <w:pStyle w:val="TableContents"/>
              <w:bidi w:val="0"/>
              <w:spacing w:before="0" w:after="283"/>
              <w:jc w:val="left"/>
              <w:rPr/>
            </w:pPr>
            <w:r>
              <w:rPr/>
              <w:t> </w:t>
            </w:r>
          </w:p>
        </w:tc>
      </w:tr>
      <w:tr>
        <w:trPr/>
        <w:tc>
          <w:tcPr>
            <w:tcW w:w="4165" w:type="dxa"/>
            <w:tcBorders/>
          </w:tcPr>
          <w:p>
            <w:pPr>
              <w:pStyle w:val="TableContents"/>
              <w:bidi w:val="0"/>
              <w:spacing w:before="0" w:after="0"/>
              <w:jc w:val="left"/>
              <w:rPr>
                <w:rFonts w:ascii="Times New Roman" w:hAnsi="Times New Roman"/>
                <w:sz w:val="20"/>
              </w:rPr>
            </w:pPr>
            <w:r>
              <w:rPr>
                <w:rFonts w:ascii="Times New Roman" w:hAnsi="Times New Roman"/>
                <w:sz w:val="20"/>
              </w:rPr>
              <w:t>2.100% notes due Oct. 1, 2031</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1,000,000</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1,000,000</w:t>
            </w:r>
          </w:p>
        </w:tc>
        <w:tc>
          <w:tcPr>
            <w:tcW w:w="64" w:type="dxa"/>
            <w:tcBorders/>
            <w:vAlign w:val="bottom"/>
          </w:tcPr>
          <w:p>
            <w:pPr>
              <w:pStyle w:val="TableContents"/>
              <w:bidi w:val="0"/>
              <w:spacing w:before="0" w:after="283"/>
              <w:jc w:val="left"/>
              <w:rPr/>
            </w:pPr>
            <w:r>
              <w:rPr/>
              <w:t> </w:t>
            </w:r>
          </w:p>
        </w:tc>
      </w:tr>
      <w:tr>
        <w:trPr/>
        <w:tc>
          <w:tcPr>
            <w:tcW w:w="41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4.250% notes due Oct. 1, 2032</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300,000</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300,000</w:t>
            </w:r>
          </w:p>
        </w:tc>
        <w:tc>
          <w:tcPr>
            <w:tcW w:w="64" w:type="dxa"/>
            <w:tcBorders/>
            <w:shd w:fill="CCEEFF" w:val="clear"/>
            <w:vAlign w:val="bottom"/>
          </w:tcPr>
          <w:p>
            <w:pPr>
              <w:pStyle w:val="TableContents"/>
              <w:bidi w:val="0"/>
              <w:spacing w:before="0" w:after="283"/>
              <w:jc w:val="left"/>
              <w:rPr/>
            </w:pPr>
            <w:r>
              <w:rPr/>
              <w:t> </w:t>
            </w:r>
          </w:p>
        </w:tc>
      </w:tr>
      <w:tr>
        <w:trPr/>
        <w:tc>
          <w:tcPr>
            <w:tcW w:w="4165" w:type="dxa"/>
            <w:tcBorders/>
          </w:tcPr>
          <w:p>
            <w:pPr>
              <w:pStyle w:val="TableContents"/>
              <w:bidi w:val="0"/>
              <w:spacing w:before="0" w:after="0"/>
              <w:jc w:val="left"/>
              <w:rPr>
                <w:rFonts w:ascii="Times New Roman" w:hAnsi="Times New Roman"/>
                <w:sz w:val="20"/>
              </w:rPr>
            </w:pPr>
            <w:r>
              <w:rPr>
                <w:rFonts w:ascii="Times New Roman" w:hAnsi="Times New Roman"/>
                <w:sz w:val="20"/>
              </w:rPr>
              <w:t>5.050% notes due Apr. 1, 2034</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550,000</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550,000</w:t>
            </w:r>
          </w:p>
        </w:tc>
        <w:tc>
          <w:tcPr>
            <w:tcW w:w="64" w:type="dxa"/>
            <w:tcBorders/>
            <w:vAlign w:val="bottom"/>
          </w:tcPr>
          <w:p>
            <w:pPr>
              <w:pStyle w:val="TableContents"/>
              <w:bidi w:val="0"/>
              <w:spacing w:before="0" w:after="283"/>
              <w:jc w:val="left"/>
              <w:rPr/>
            </w:pPr>
            <w:r>
              <w:rPr/>
              <w:t> </w:t>
            </w:r>
          </w:p>
        </w:tc>
      </w:tr>
      <w:tr>
        <w:trPr/>
        <w:tc>
          <w:tcPr>
            <w:tcW w:w="41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4.500% notes due Dec. 5, 2036</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144,278</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144,278</w:t>
            </w:r>
          </w:p>
        </w:tc>
        <w:tc>
          <w:tcPr>
            <w:tcW w:w="64" w:type="dxa"/>
            <w:tcBorders/>
            <w:shd w:fill="CCEEFF" w:val="clear"/>
            <w:vAlign w:val="bottom"/>
          </w:tcPr>
          <w:p>
            <w:pPr>
              <w:pStyle w:val="TableContents"/>
              <w:bidi w:val="0"/>
              <w:spacing w:before="0" w:after="283"/>
              <w:jc w:val="left"/>
              <w:rPr/>
            </w:pPr>
            <w:r>
              <w:rPr/>
              <w:t> </w:t>
            </w:r>
          </w:p>
        </w:tc>
      </w:tr>
      <w:tr>
        <w:trPr/>
        <w:tc>
          <w:tcPr>
            <w:tcW w:w="4165" w:type="dxa"/>
            <w:tcBorders/>
          </w:tcPr>
          <w:p>
            <w:pPr>
              <w:pStyle w:val="TableContents"/>
              <w:bidi w:val="0"/>
              <w:spacing w:before="0" w:after="0"/>
              <w:jc w:val="left"/>
              <w:rPr>
                <w:rFonts w:ascii="Times New Roman" w:hAnsi="Times New Roman"/>
                <w:sz w:val="20"/>
              </w:rPr>
            </w:pPr>
            <w:r>
              <w:rPr>
                <w:rFonts w:ascii="Times New Roman" w:hAnsi="Times New Roman"/>
                <w:sz w:val="20"/>
              </w:rPr>
              <w:t>2.800% notes due Oct. 1, 2041</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750,000</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750,000</w:t>
            </w:r>
          </w:p>
        </w:tc>
        <w:tc>
          <w:tcPr>
            <w:tcW w:w="64" w:type="dxa"/>
            <w:tcBorders/>
            <w:vAlign w:val="bottom"/>
          </w:tcPr>
          <w:p>
            <w:pPr>
              <w:pStyle w:val="TableContents"/>
              <w:bidi w:val="0"/>
              <w:spacing w:before="0" w:after="283"/>
              <w:jc w:val="left"/>
              <w:rPr/>
            </w:pPr>
            <w:r>
              <w:rPr/>
              <w:t> </w:t>
            </w:r>
          </w:p>
        </w:tc>
      </w:tr>
      <w:tr>
        <w:trPr/>
        <w:tc>
          <w:tcPr>
            <w:tcW w:w="41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5.300% notes due Dec. 15, 2045</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332,587</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332,587</w:t>
            </w:r>
          </w:p>
        </w:tc>
        <w:tc>
          <w:tcPr>
            <w:tcW w:w="64" w:type="dxa"/>
            <w:tcBorders/>
            <w:shd w:fill="CCEEFF" w:val="clear"/>
            <w:vAlign w:val="bottom"/>
          </w:tcPr>
          <w:p>
            <w:pPr>
              <w:pStyle w:val="TableContents"/>
              <w:bidi w:val="0"/>
              <w:spacing w:before="0" w:after="283"/>
              <w:jc w:val="left"/>
              <w:rPr/>
            </w:pPr>
            <w:r>
              <w:rPr/>
              <w:t> </w:t>
            </w:r>
          </w:p>
        </w:tc>
      </w:tr>
      <w:tr>
        <w:trPr/>
        <w:tc>
          <w:tcPr>
            <w:tcW w:w="4165" w:type="dxa"/>
            <w:tcBorders/>
          </w:tcPr>
          <w:p>
            <w:pPr>
              <w:pStyle w:val="TableContents"/>
              <w:bidi w:val="0"/>
              <w:spacing w:before="0" w:after="0"/>
              <w:jc w:val="left"/>
              <w:rPr>
                <w:rFonts w:ascii="Times New Roman" w:hAnsi="Times New Roman"/>
                <w:sz w:val="20"/>
              </w:rPr>
            </w:pPr>
            <w:r>
              <w:rPr>
                <w:rFonts w:ascii="Times New Roman" w:hAnsi="Times New Roman"/>
                <w:sz w:val="20"/>
              </w:rPr>
              <w:t>2.950% notes due Oct. 1, 2051</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1,000,000</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1,000,000</w:t>
            </w:r>
          </w:p>
        </w:tc>
        <w:tc>
          <w:tcPr>
            <w:tcW w:w="64" w:type="dxa"/>
            <w:tcBorders/>
            <w:vAlign w:val="bottom"/>
          </w:tcPr>
          <w:p>
            <w:pPr>
              <w:pStyle w:val="TableContents"/>
              <w:bidi w:val="0"/>
              <w:spacing w:before="0" w:after="283"/>
              <w:jc w:val="left"/>
              <w:rPr/>
            </w:pPr>
            <w:r>
              <w:rPr/>
              <w:t> </w:t>
            </w:r>
          </w:p>
        </w:tc>
      </w:tr>
      <w:tr>
        <w:trPr/>
        <w:tc>
          <w:tcPr>
            <w:tcW w:w="41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5.300% notes due Apr. 1, 2054</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550,000</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550,000</w:t>
            </w:r>
          </w:p>
        </w:tc>
        <w:tc>
          <w:tcPr>
            <w:tcW w:w="64" w:type="dxa"/>
            <w:tcBorders/>
            <w:shd w:fill="CCEEFF" w:val="clear"/>
            <w:vAlign w:val="bottom"/>
          </w:tcPr>
          <w:p>
            <w:pPr>
              <w:pStyle w:val="TableContents"/>
              <w:bidi w:val="0"/>
              <w:spacing w:before="0" w:after="283"/>
              <w:jc w:val="left"/>
              <w:rPr/>
            </w:pPr>
            <w:r>
              <w:rPr/>
              <w:t> </w:t>
            </w:r>
          </w:p>
        </w:tc>
      </w:tr>
      <w:tr>
        <w:trPr/>
        <w:tc>
          <w:tcPr>
            <w:tcW w:w="4165"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165" w:type="dxa"/>
            <w:tcBorders/>
          </w:tcPr>
          <w:p>
            <w:pPr>
              <w:pStyle w:val="TableContents"/>
              <w:bidi w:val="0"/>
              <w:spacing w:before="0" w:after="0"/>
              <w:jc w:val="left"/>
              <w:rPr>
                <w:rFonts w:ascii="Times New Roman" w:hAnsi="Times New Roman"/>
                <w:sz w:val="20"/>
              </w:rPr>
            </w:pPr>
            <w:r>
              <w:rPr>
                <w:rFonts w:ascii="Times New Roman" w:hAnsi="Times New Roman"/>
                <w:sz w:val="20"/>
              </w:rPr>
              <w:t>Total debt(2)</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9,222,181</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7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1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shareholders’ equity</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33,550,897</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33,550,897</w:t>
            </w:r>
          </w:p>
        </w:tc>
        <w:tc>
          <w:tcPr>
            <w:tcW w:w="64" w:type="dxa"/>
            <w:tcBorders/>
            <w:shd w:fill="CCEEFF" w:val="clear"/>
            <w:vAlign w:val="bottom"/>
          </w:tcPr>
          <w:p>
            <w:pPr>
              <w:pStyle w:val="TableContents"/>
              <w:bidi w:val="0"/>
              <w:spacing w:before="0" w:after="283"/>
              <w:jc w:val="left"/>
              <w:rPr/>
            </w:pPr>
            <w:r>
              <w:rPr/>
              <w:t> </w:t>
            </w:r>
          </w:p>
        </w:tc>
      </w:tr>
      <w:tr>
        <w:trPr/>
        <w:tc>
          <w:tcPr>
            <w:tcW w:w="4165"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165" w:type="dxa"/>
            <w:tcBorders/>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42,773,078</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76"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165"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7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illustrative purposes, the net proceeds of this offering are reflected as cash and cash equivalents in the “As Adjusted” column pending their ultimate use, see “Use of Proceeds.”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Debt figures reflect the principal amounts outstanding.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rom72941_7"/>
      <w:bookmarkEnd w:id="9"/>
      <w:r>
        <w:rPr>
          <w:rFonts w:ascii="Times New Roman" w:hAnsi="Times New Roman"/>
          <w:b/>
          <w:sz w:val="20"/>
        </w:rPr>
        <w:t xml:space="preserve">DESCRIPTION OF THE NOTES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discussion of the terms of the notes supplements the description of the general terms and provisions of the debt securities contained in the accompanying prospectus and identifies any general terms and provisions described in the accompanying prospectus that will not apply to the notes. Certain terms used but not defined in this “Description of the Notes” have the meanings specified in the accompanying prospectus. In this prospectus supplement, we refer to the notes offered hereby as the “notes.” Although, for convenience, the Floating Rate Notes, the 20  Notes, the 20  Notes, the 20  Notes and the 20  Notes are referred to as “notes,” each will be issued as a separate series and will not together have any class voting rights. Accordingly, for purposes of this “Description of the Notes,” references to “notes” shall be deemed to refer to each series of notes separately, and not to the Floating Rate Notes, the 20  Notes, the 20  Notes, the 20  Notes and the 20  Notes on any combined basis. To the extent this summary differs from the summary in the accompanying prospectus, you should rely on the description of the notes in this prospectus supplement. </w:t>
      </w:r>
    </w:p>
    <w:p>
      <w:pPr>
        <w:pStyle w:val="TextBody"/>
        <w:bidi w:val="0"/>
        <w:spacing w:before="240" w:after="0"/>
        <w:jc w:val="left"/>
        <w:rPr>
          <w:rFonts w:ascii="Times New Roman" w:hAnsi="Times New Roman"/>
          <w:i/>
          <w:sz w:val="20"/>
        </w:rPr>
      </w:pPr>
      <w:r>
        <w:rPr>
          <w:rFonts w:ascii="Times New Roman" w:hAnsi="Times New Roman"/>
          <w:i/>
          <w:sz w:val="20"/>
        </w:rPr>
        <w:t xml:space="preserve">When we refer to “we,” “our,” “us,” and the “Company” in this section, we mean Analog Devices, Inc., the issuer of the notes, excluding, unless the context otherwise requires or as otherwise expressly stated, our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Floating Rate Notes will be issued in an initial aggregate principal amount of $    , the 20  Notes will be issued in an initial aggregate principal amount of $    , the 20  Notes will be issued in an initial aggregate principal amount of $    , the 20  Notes will be issued in an initial aggregate principal amount of $    and the 20  Notes will be issued in an initial aggregate principal amount of $    . We will issue the notes under the indenture dated as of June 3, 2013 between The Bank of New York Mellon Trust Company, N.A., as trustee, and us (the “base indenture”), as supplemented by a supplemental indenture to be entered into between us and the trustee (together with the base indenture, the “indenture”). </w:t>
      </w:r>
    </w:p>
    <w:p>
      <w:pPr>
        <w:pStyle w:val="TextBody"/>
        <w:bidi w:val="0"/>
        <w:spacing w:before="240" w:after="0"/>
        <w:jc w:val="left"/>
        <w:rPr>
          <w:rFonts w:ascii="Times New Roman" w:hAnsi="Times New Roman"/>
          <w:sz w:val="20"/>
        </w:rPr>
      </w:pPr>
      <w:r>
        <w:rPr>
          <w:rFonts w:ascii="Times New Roman" w:hAnsi="Times New Roman"/>
          <w:sz w:val="20"/>
        </w:rPr>
        <w:t xml:space="preserve">We may, without the consent of the holders of the applicable series of notes, increase the principal amount of notes of such series in the future, on the same terms and conditions as the notes of such series being offered hereby (except for the issue date, issue price and, in some cases, the first interest payment date and the initial interest accrual date). If any such additional notes of the applicable series are not fungible for United States federal income tax purposes with the notes of the applicable series previously issued, such additional notes will not have the same CUSIP number (or other securities identification number) as the notes of the applicable series previously issued.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the accompanying prospectus for a general discussion of the terms and provisions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Floating Rate Notes will mature on     , 20    , the 20  Notes will mature on     , 20    , the 20  Notes will mature on     , 20    , the 20  Notes will mature on     , 20     and the 20  Notes will mature on    , 20    . The notes will not be listed on any securities exchange or quoted on any automated quotation system.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issued only in registered form without coupons, in denominations of $2,000 and integral multiples of $1,000 in excess thereof. The notes will be available in book-entry form only. No service charge will be made for any registration of transfer or any exchange of notes, but we may require payment of a sum sufficient to cover any transfer tax or similar governmental charge payable in connection therewith. </w:t>
      </w:r>
    </w:p>
    <w:p>
      <w:pPr>
        <w:pStyle w:val="TextBody"/>
        <w:bidi w:val="0"/>
        <w:spacing w:before="36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Each series of notes will be our senior unsecured obligations and will rank without preference or priority among themselves and equally with all of our other existing and future senior unsecured indebtedness. Each series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notes will be effectively subordinated to all of our future secured indebtedness, to the extent of the assets securing that indebtedness. In addition, each series of notes will be structurally subordinated to all existing and future indebtedness and other liabilities of our Subsidiaries, which are distinct legal entities having no obligation to pay any amounts in respect of the notes or to make funds available for such purpose.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means any corporation, association or other business entity of which more than 50% of the total voting power of all shares, interests, participations, rights or other equivalents (however designated) of corporate stock entitled (without regard to the occurrence of any contingency) to vote in the election of directors, managers or trustees thereof is at the time owned or controlled, directly or indirectly, by us or one or more of our other Subsidiaries or a combination thereof. </w:t>
      </w:r>
    </w:p>
    <w:p>
      <w:pPr>
        <w:pStyle w:val="TextBody"/>
        <w:bidi w:val="0"/>
        <w:spacing w:before="360" w:after="0"/>
        <w:jc w:val="left"/>
        <w:rPr>
          <w:rFonts w:ascii="Times New Roman" w:hAnsi="Times New Roman"/>
          <w:b/>
          <w:sz w:val="20"/>
        </w:rPr>
      </w:pPr>
      <w:r>
        <w:rPr>
          <w:rFonts w:ascii="Times New Roman" w:hAnsi="Times New Roman"/>
          <w:b/>
          <w:sz w:val="20"/>
        </w:rPr>
        <w:t xml:space="preserve">Interest </w:t>
      </w:r>
    </w:p>
    <w:p>
      <w:pPr>
        <w:pStyle w:val="TextBody"/>
        <w:bidi w:val="0"/>
        <w:spacing w:before="120" w:after="0"/>
        <w:jc w:val="left"/>
        <w:rPr>
          <w:rFonts w:ascii="Times New Roman" w:hAnsi="Times New Roman"/>
          <w:b/>
          <w:i/>
          <w:sz w:val="20"/>
        </w:rPr>
      </w:pPr>
      <w:r>
        <w:rPr>
          <w:rFonts w:ascii="Times New Roman" w:hAnsi="Times New Roman"/>
          <w:b/>
          <w:i/>
          <w:sz w:val="20"/>
        </w:rPr>
        <w:t xml:space="preserve">Floating Rate Notes </w:t>
      </w:r>
    </w:p>
    <w:p>
      <w:pPr>
        <w:pStyle w:val="TextBody"/>
        <w:bidi w:val="0"/>
        <w:spacing w:before="120" w:after="0"/>
        <w:jc w:val="left"/>
        <w:rPr>
          <w:rFonts w:ascii="Times New Roman" w:hAnsi="Times New Roman"/>
          <w:sz w:val="20"/>
        </w:rPr>
      </w:pPr>
      <w:r>
        <w:rPr>
          <w:rFonts w:ascii="Times New Roman" w:hAnsi="Times New Roman"/>
          <w:sz w:val="20"/>
        </w:rPr>
        <w:t xml:space="preserve">The Floating Rate Notes will bear interest from     , 2026 at a floating rate determined in the manner described below, payable quarterly in arrears on     ,     ,      and      of each year (each, a “Floating Rate Interest Payment Date”), beginning on     , 2026. The Floating Rate Notes will bear interest at an annual rate equal to Compounded SOFR, determined as described below, plus      basis points (   %) (the “Margin”). </w:t>
      </w:r>
    </w:p>
    <w:p>
      <w:pPr>
        <w:pStyle w:val="TextBody"/>
        <w:bidi w:val="0"/>
        <w:spacing w:before="240" w:after="0"/>
        <w:jc w:val="left"/>
        <w:rPr>
          <w:rFonts w:ascii="Times New Roman" w:hAnsi="Times New Roman"/>
          <w:sz w:val="20"/>
        </w:rPr>
      </w:pPr>
      <w:r>
        <w:rPr>
          <w:rFonts w:ascii="Times New Roman" w:hAnsi="Times New Roman"/>
          <w:sz w:val="20"/>
        </w:rPr>
        <w:t xml:space="preserve">The record date for interest payable on any Floating Rate Interest Payment Date shall be the close of business on (i) the business day immediately preceding such Floating Rate Interest Payment Date so long as all of the Floating Rate Notes remain in book-entry only form or (ii) the fifteenth calendar day immediately preceding such Floating Rate Interest Payment Date if any of the Floating Rate Notes do not remain in book-entry only form. Interest on the Floating Rate Notes will accrue from and including     , 2026, to, but excluding, the first Floating Rate Interest Payment Date. Starting on the first Floating Rate Interest Payment Date, interest on the Floating Rate Notes will accrue from and including the last Floating Rate Interest Payment Date to which we have paid, or duly provided for the payment of, interest on the Floating Rate Notes to, but excluding, the next succeeding Floating Rate Interest Payment Date. No interest will accrue on the Floating Rate Notes for the day that the Floating Rate Notes mature. The amount of interest payable for any interest period will be computed on the basis of a 360-day year and the actual number of days in the Observation Period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If any Floating Rate Interest Payment Date falls on a day that is not a business day, we will make the interest payment on the next succeeding business day unless that business day is in the next succeeding calendar month, in which case (other than in the case of the maturity date) we will make the interest payment on the immediately preceding business day. If an interest payment is made on the next succeeding business day, no interest will accrue as a result of the delay in payment. If the maturity date of the Floating Rate Notes falls on a day that is not a business day, the payment due on such date will be postponed to the next succeeding business day, and no further interest will accrue in respect of such postponement. </w:t>
      </w:r>
    </w:p>
    <w:p>
      <w:pPr>
        <w:pStyle w:val="TextBody"/>
        <w:bidi w:val="0"/>
        <w:spacing w:before="240" w:after="0"/>
        <w:jc w:val="left"/>
        <w:rPr>
          <w:rFonts w:ascii="Times New Roman" w:hAnsi="Times New Roman"/>
          <w:sz w:val="20"/>
        </w:rPr>
      </w:pPr>
      <w:r>
        <w:rPr>
          <w:rFonts w:ascii="Times New Roman" w:hAnsi="Times New Roman"/>
          <w:sz w:val="20"/>
        </w:rPr>
        <w:t xml:space="preserve">As further described herein, on each Interest Payment Determination Date relating to the applicable Floating Rate Interest Payment Date, the Calculation Agent (as defined below) will calculate the amount of accrued interest payable on the Floating Rate Notes by multiplying (i) the outstanding principal amount of the Floating Rate Notes by (ii) the product of (a) the interest rate for the relevant interest period multiplied by (b) the quotient of the actual number of calendar days in such Observation Period divided by 360. In no event will the interest rate on the Floating Rate Notes be less than zero. </w:t>
      </w:r>
    </w:p>
    <w:p>
      <w:pPr>
        <w:pStyle w:val="TextBody"/>
        <w:bidi w:val="0"/>
        <w:spacing w:before="240" w:after="0"/>
        <w:jc w:val="left"/>
        <w:rPr>
          <w:rFonts w:ascii="Times New Roman" w:hAnsi="Times New Roman"/>
          <w:sz w:val="20"/>
        </w:rPr>
      </w:pPr>
      <w:r>
        <w:rPr>
          <w:rFonts w:ascii="Times New Roman" w:hAnsi="Times New Roman"/>
          <w:sz w:val="20"/>
        </w:rPr>
        <w:t xml:space="preserve">The term “interest period”, with respect to the Floating Rate Notes, means (i) the period commencing on any Floating Rate Interest Payment Date (or, with respect to the initial interest period only, commencing on the date of original issuance) to, but excluding, the next succeeding Floating Rate Interest Payment Date or, (ii) in the case of the last such period, the period from and including the Floating Rate Interest Payment Date immediately preceding the maturity date to, but excluding, the maturity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Secured Overnight Financing Rate and the SOFR Index </w:t>
      </w:r>
    </w:p>
    <w:p>
      <w:pPr>
        <w:pStyle w:val="TextBody"/>
        <w:bidi w:val="0"/>
        <w:spacing w:before="120" w:after="0"/>
        <w:jc w:val="left"/>
        <w:rPr>
          <w:rFonts w:ascii="Times New Roman" w:hAnsi="Times New Roman"/>
          <w:sz w:val="20"/>
        </w:rPr>
      </w:pPr>
      <w:r>
        <w:rPr>
          <w:rFonts w:ascii="Times New Roman" w:hAnsi="Times New Roman"/>
          <w:sz w:val="20"/>
        </w:rPr>
        <w:t xml:space="preserve">The Secured Overnight Financing Rate (SOFR) is published by the Federal Reserve Bank of New York and is intended to be a broad measure of the cost of borrowing cash overnight collateralized by U.S. Treasury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SOFR Index is published by the Federal Reserve Bank of New York and measures the cumulative impact of compounding SOFR on a unit of investment over time, with the initial value set to 1.00000000 on April 2, 2018, the first value date of SOFR. The SOFR Index value reflects the effect of compounding SOFR each U.S. Government Securities Business Day and allows the calculation of compounded SOFR averages over custom time periods. </w:t>
      </w:r>
    </w:p>
    <w:p>
      <w:pPr>
        <w:pStyle w:val="TextBody"/>
        <w:bidi w:val="0"/>
        <w:spacing w:before="240" w:after="0"/>
        <w:jc w:val="left"/>
        <w:rPr>
          <w:rFonts w:ascii="Times New Roman" w:hAnsi="Times New Roman"/>
          <w:sz w:val="20"/>
        </w:rPr>
      </w:pPr>
      <w:r>
        <w:rPr>
          <w:rFonts w:ascii="Times New Roman" w:hAnsi="Times New Roman"/>
          <w:sz w:val="20"/>
        </w:rPr>
        <w:t xml:space="preserve">The Federal Reserve Bank of New York notes on its publication page for the SOFR Index that use of the SOFR Index is subject to important limitations, indemnification obligations and disclaimers, including that the Federal Reserve Bank of New York may alter the methods of calculation, publication schedule, rate revision practices or availability of the SOFR Index at any time without notice. The interest rate for any interest period will not be adjusted for any modifications or amendments to the SOFR Index or SOFR data that the Federal Reserve Bank of New York may publish after the interest rate for that interest period has been determined. </w:t>
      </w:r>
    </w:p>
    <w:p>
      <w:pPr>
        <w:pStyle w:val="TextBody"/>
        <w:bidi w:val="0"/>
        <w:spacing w:before="360" w:after="0"/>
        <w:jc w:val="left"/>
        <w:rPr>
          <w:rFonts w:ascii="Times New Roman" w:hAnsi="Times New Roman"/>
          <w:i/>
          <w:sz w:val="20"/>
        </w:rPr>
      </w:pPr>
      <w:r>
        <w:rPr>
          <w:rFonts w:ascii="Times New Roman" w:hAnsi="Times New Roman"/>
          <w:i/>
          <w:sz w:val="20"/>
        </w:rPr>
        <w:t xml:space="preserve">Compounded SOFR. </w:t>
      </w:r>
    </w:p>
    <w:p>
      <w:pPr>
        <w:pStyle w:val="TextBody"/>
        <w:bidi w:val="0"/>
        <w:spacing w:before="120" w:after="0"/>
        <w:jc w:val="left"/>
        <w:rPr/>
      </w:pPr>
      <w:r>
        <w:rPr/>
        <w:t>“</w:t>
      </w:r>
      <w:r>
        <w:rPr>
          <w:rFonts w:ascii="Times New Roman" w:hAnsi="Times New Roman"/>
          <w:sz w:val="20"/>
        </w:rPr>
        <w:t xml:space="preserve">Compounded SOFR” will be determined by the Calculation Agent in accordance with the following formula (and the resulting percentage will be rounded, if necessary, to the nearest one hundred-thousandth of a percentage point):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671955" cy="5200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71955" cy="52006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240" w:after="0"/>
        <w:jc w:val="left"/>
        <w:rPr/>
      </w:pPr>
      <w:r>
        <w:rPr/>
        <w:t>“</w:t>
      </w:r>
      <w:r>
        <w:rPr>
          <w:rFonts w:ascii="Times New Roman" w:hAnsi="Times New Roman"/>
          <w:sz w:val="20"/>
        </w:rPr>
        <w:t xml:space="preserve">SOFR IndexStart” means, for periods other than the initial interest period, the SOFR Index value on the preceding Interest Payment Determination Date, and, for the initial interest period, the SOFR Index value two U.S. Government Securities Business Days before the date of original issuance; </w:t>
      </w:r>
    </w:p>
    <w:p>
      <w:pPr>
        <w:pStyle w:val="TextBody"/>
        <w:bidi w:val="0"/>
        <w:spacing w:before="240" w:after="0"/>
        <w:jc w:val="left"/>
        <w:rPr/>
      </w:pPr>
      <w:r>
        <w:rPr/>
        <w:t>“</w:t>
      </w:r>
      <w:r>
        <w:rPr>
          <w:rFonts w:ascii="Times New Roman" w:hAnsi="Times New Roman"/>
          <w:sz w:val="20"/>
        </w:rPr>
        <w:t xml:space="preserve">SOFR IndexEnd” means the SOFR Index value on the Interest Payment Determination Date relating to the applicable Floating Rate Interest Payment Date (or, in the final interest period, relating to the maturity date); and </w:t>
      </w:r>
    </w:p>
    <w:p>
      <w:pPr>
        <w:pStyle w:val="TextBody"/>
        <w:bidi w:val="0"/>
        <w:spacing w:before="240" w:after="0"/>
        <w:jc w:val="left"/>
        <w:rPr/>
      </w:pPr>
      <w:r>
        <w:rPr/>
        <w:t>“</w:t>
      </w:r>
      <w:r>
        <w:rPr>
          <w:rFonts w:ascii="Times New Roman" w:hAnsi="Times New Roman"/>
          <w:sz w:val="20"/>
        </w:rPr>
        <w:t xml:space="preserve">dc” is the number of calendar days in the relevant Observation Period.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Compounded SOFR: </w:t>
      </w:r>
    </w:p>
    <w:p>
      <w:pPr>
        <w:pStyle w:val="TextBody"/>
        <w:bidi w:val="0"/>
        <w:spacing w:before="240" w:after="0"/>
        <w:jc w:val="left"/>
        <w:rPr/>
      </w:pPr>
      <w:r>
        <w:rPr/>
        <w:t>“</w:t>
      </w:r>
      <w:r>
        <w:rPr>
          <w:rFonts w:ascii="Times New Roman" w:hAnsi="Times New Roman"/>
          <w:sz w:val="20"/>
        </w:rPr>
        <w:t xml:space="preserve">Interest Payment Determination Date” means the date that is two U.S. Government Securities Business Days before each Floating Rate Interest Payment Date. </w:t>
      </w:r>
    </w:p>
    <w:p>
      <w:pPr>
        <w:pStyle w:val="TextBody"/>
        <w:bidi w:val="0"/>
        <w:spacing w:before="240" w:after="0"/>
        <w:jc w:val="left"/>
        <w:rPr/>
      </w:pPr>
      <w:r>
        <w:rPr/>
        <w:t>“</w:t>
      </w:r>
      <w:r>
        <w:rPr>
          <w:rFonts w:ascii="Times New Roman" w:hAnsi="Times New Roman"/>
          <w:sz w:val="20"/>
        </w:rPr>
        <w:t xml:space="preserve">Observation Period” means, in respect of each interest period, the period from, and including, the date that is two U.S. Government Securities Business Days preceding the first date in such interest period to, but excluding, the date that is two U.S. Government Securities Business Days preceding the Floating Rate Interest Payment Date for such interest period (or in the final interest period, preceding the maturity date). </w:t>
      </w:r>
    </w:p>
    <w:p>
      <w:pPr>
        <w:pStyle w:val="TextBody"/>
        <w:bidi w:val="0"/>
        <w:spacing w:before="240" w:after="0"/>
        <w:jc w:val="left"/>
        <w:rPr/>
      </w:pPr>
      <w:r>
        <w:rPr/>
        <w:t>“</w:t>
      </w:r>
      <w:r>
        <w:rPr>
          <w:rFonts w:ascii="Times New Roman" w:hAnsi="Times New Roman"/>
          <w:sz w:val="20"/>
        </w:rPr>
        <w:t xml:space="preserve">SOFR Index” means, with respect to any U.S. Government Securities Business Day: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SOFR Index value as published by the SOFR Administrator (as defined below) as such index appears on the SOFR Administrator’s Website at 3:00 p.m. (New York time) on such U.S. Government Securities Business Day (the “SOFR Index Determination Time”); provided that: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SOFR Index value does not so appear as specified in (1) above at the SOFR Index Determination Time, then: (i) if a Benchmark Transition Event and its related Benchmark Replacement Date have not occurred with respect to SOFR, then Compounded SOFR shall be the rate determined pursuant to the “SOFR Index Unavailable Provisions” described below; or (ii) if a Benchmark Transition Event and its related Benchmark Replacement Date have occurred with respect to SOFR, then Compounded SOFR shall be the rate determined pursuant to the “Effect of Benchmark Transition Event” provisions described below. </w:t>
            </w:r>
          </w:p>
        </w:tc>
      </w:tr>
    </w:tbl>
    <w:p>
      <w:pPr>
        <w:pStyle w:val="TextBody"/>
        <w:bidi w:val="0"/>
        <w:spacing w:before="240" w:after="0"/>
        <w:jc w:val="left"/>
        <w:rPr/>
      </w:pPr>
      <w:r>
        <w:rPr/>
        <w:t>“</w:t>
      </w:r>
      <w:r>
        <w:rPr>
          <w:rFonts w:ascii="Times New Roman" w:hAnsi="Times New Roman"/>
          <w:sz w:val="20"/>
        </w:rPr>
        <w:t xml:space="preserve">SOFR” means the daily secured overnight financing rate as provided by the SOFR Administrator on the SOFR Administrator’s Website. </w:t>
      </w:r>
    </w:p>
    <w:p>
      <w:pPr>
        <w:pStyle w:val="TextBody"/>
        <w:bidi w:val="0"/>
        <w:spacing w:before="240" w:after="0"/>
        <w:jc w:val="left"/>
        <w:rPr/>
      </w:pPr>
      <w:r>
        <w:rPr/>
        <w:t>“</w:t>
      </w:r>
      <w:r>
        <w:rPr>
          <w:rFonts w:ascii="Times New Roman" w:hAnsi="Times New Roman"/>
          <w:sz w:val="20"/>
        </w:rPr>
        <w:t xml:space="preserve">SOFR Administrator” means the Federal Reserve Bank of New York (or a successor administrator of SOFR). </w:t>
      </w:r>
    </w:p>
    <w:p>
      <w:pPr>
        <w:pStyle w:val="TextBody"/>
        <w:bidi w:val="0"/>
        <w:spacing w:before="0" w:after="0"/>
        <w:jc w:val="left"/>
        <w:rPr/>
      </w:pPr>
      <w:r>
        <w:rPr/>
        <w:t>“</w:t>
      </w:r>
      <w:r>
        <w:rPr>
          <w:rFonts w:ascii="Times New Roman" w:hAnsi="Times New Roman"/>
          <w:sz w:val="20"/>
        </w:rPr>
        <w:t xml:space="preserve">SOFR Administrator’s Website” means the website of the Federal Reserve Bank of New York, currently at http://www.newyorkfed.org, or any successor source. </w:t>
      </w:r>
    </w:p>
    <w:p>
      <w:pPr>
        <w:pStyle w:val="TextBody"/>
        <w:bidi w:val="0"/>
        <w:spacing w:before="240" w:after="0"/>
        <w:jc w:val="left"/>
        <w:rPr/>
      </w:pPr>
      <w:r>
        <w:rPr/>
        <w:t>“</w:t>
      </w:r>
      <w:r>
        <w:rPr>
          <w:rFonts w:ascii="Times New Roman" w:hAnsi="Times New Roman"/>
          <w:sz w:val="20"/>
        </w:rPr>
        <w:t xml:space="preserve">U.S. Government Securities Business Day” means any day except for a Saturday, a Sunday or a day on which the Securities Industry and Financial Markets Association or any successor organization recommends that the fixed income departments of its members be closed for the entire day for purposes of trading in U.S. government securities.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the indenture or the Floating Rate Notes, if we (or our Designee) determine on or prior to the relevant Reference Time (as defined below) that a Benchmark Transition Event and its related Benchmark Replacement Date have occurred with respect to determining Compounded SOFR, then the benchmark replacement provisions set forth below under “Effect of Benchmark Transition Event” will thereafter apply to all determinations of the rate of interest payable on the Floating Rate Notes.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in accordance with the benchmark replacement provisions, after a Benchmark Transition Event and its related Benchmark Replacement Date have occurred, the interest rate for each interest period on the Floating Rate Notes will be an annual rate equal to the sum of the Benchmark Replacement and the Margin. </w:t>
      </w:r>
    </w:p>
    <w:p>
      <w:pPr>
        <w:pStyle w:val="TextBody"/>
        <w:bidi w:val="0"/>
        <w:spacing w:before="360" w:after="0"/>
        <w:jc w:val="left"/>
        <w:rPr>
          <w:rFonts w:ascii="Times New Roman" w:hAnsi="Times New Roman"/>
          <w:i/>
          <w:sz w:val="20"/>
        </w:rPr>
      </w:pPr>
      <w:r>
        <w:rPr>
          <w:rFonts w:ascii="Times New Roman" w:hAnsi="Times New Roman"/>
          <w:i/>
          <w:sz w:val="20"/>
        </w:rPr>
        <w:t xml:space="preserve">SOFR Index Unavailable Provisions. </w:t>
      </w:r>
    </w:p>
    <w:p>
      <w:pPr>
        <w:pStyle w:val="TextBody"/>
        <w:bidi w:val="0"/>
        <w:spacing w:before="120" w:after="0"/>
        <w:jc w:val="left"/>
        <w:rPr>
          <w:rFonts w:ascii="Times New Roman" w:hAnsi="Times New Roman"/>
          <w:sz w:val="20"/>
        </w:rPr>
      </w:pPr>
      <w:r>
        <w:rPr>
          <w:rFonts w:ascii="Times New Roman" w:hAnsi="Times New Roman"/>
          <w:sz w:val="20"/>
        </w:rPr>
        <w:t xml:space="preserve">If a SOFR IndexStart or SOFR IndexEnd is not published on the associated Interest Payment Determination Date and a Benchmark Transition Event and its related Benchmark Replacement Date have not occurred with respect to SOFR, “Compounded SOFR” means, for the applicable interest period for which such index is not available, the rate of return on a daily compounded interest investment calculated in accordance with the formula for SOFR Averages, and definitions required for such formula, published on the SOFR Administrator’s Website, currently located at https://www.newyorkfed.org/markets/reference-rates/additional-information-about-reference-rates. For the purposes of this provision, references in the SOFR Averages compounding formula and related definitions to “calculation period” shall be replaced with “Observation Period” and the words “that is, 30-, 90-, or 180- calendar days” shall be removed. If SOFR does not so appear for any day, “i” in the Observation Period, SOFRi for such day “i” shall be SOFR published in respect of the first preceding U.S. Government Securities Business Day for which SOFR was published on the SOFR Administrator’s Website. </w:t>
      </w:r>
    </w:p>
    <w:p>
      <w:pPr>
        <w:pStyle w:val="TextBody"/>
        <w:bidi w:val="0"/>
        <w:spacing w:before="360" w:after="0"/>
        <w:jc w:val="left"/>
        <w:rPr>
          <w:rFonts w:ascii="Times New Roman" w:hAnsi="Times New Roman"/>
          <w:i/>
          <w:sz w:val="20"/>
        </w:rPr>
      </w:pPr>
      <w:r>
        <w:rPr>
          <w:rFonts w:ascii="Times New Roman" w:hAnsi="Times New Roman"/>
          <w:i/>
          <w:sz w:val="20"/>
        </w:rPr>
        <w:t xml:space="preserve">Effect of Benchmark Transition Event </w:t>
      </w:r>
    </w:p>
    <w:p>
      <w:pPr>
        <w:pStyle w:val="TextBody"/>
        <w:bidi w:val="0"/>
        <w:spacing w:before="120" w:after="0"/>
        <w:jc w:val="left"/>
        <w:rPr>
          <w:rFonts w:ascii="Times New Roman" w:hAnsi="Times New Roman"/>
          <w:sz w:val="20"/>
        </w:rPr>
      </w:pPr>
      <w:r>
        <w:rPr>
          <w:rFonts w:ascii="Times New Roman" w:hAnsi="Times New Roman"/>
          <w:sz w:val="20"/>
        </w:rPr>
        <w:t xml:space="preserve">Benchmark Replacement </w:t>
      </w:r>
    </w:p>
    <w:p>
      <w:pPr>
        <w:pStyle w:val="TextBody"/>
        <w:bidi w:val="0"/>
        <w:spacing w:before="120" w:after="0"/>
        <w:jc w:val="left"/>
        <w:rPr>
          <w:rFonts w:ascii="Times New Roman" w:hAnsi="Times New Roman"/>
          <w:sz w:val="20"/>
        </w:rPr>
      </w:pPr>
      <w:r>
        <w:rPr>
          <w:rFonts w:ascii="Times New Roman" w:hAnsi="Times New Roman"/>
          <w:sz w:val="20"/>
        </w:rPr>
        <w:t xml:space="preserve">If we (or our Designee) determine that a Benchmark Transition Event and its related Benchmark Replacement Date have occurred prior to the Reference Time in respect of any determination of the Benchmark on any date, the Benchmark Replacement will replace the then-current Benchmark for all purposes relating to the Floating Rate Notes in respect of such determination on such date and all determinations on all subsequent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Benchmark Replacement Conforming Changes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implementation of a Benchmark Replacement, we (or our Designee) will have the right to make Benchmark Replacement Conforming Changes from time to time. </w:t>
      </w:r>
    </w:p>
    <w:p>
      <w:pPr>
        <w:pStyle w:val="TextBody"/>
        <w:bidi w:val="0"/>
        <w:spacing w:before="360" w:after="0"/>
        <w:jc w:val="left"/>
        <w:rPr>
          <w:rFonts w:ascii="Times New Roman" w:hAnsi="Times New Roman"/>
          <w:sz w:val="20"/>
        </w:rPr>
      </w:pPr>
      <w:r>
        <w:rPr>
          <w:rFonts w:ascii="Times New Roman" w:hAnsi="Times New Roman"/>
          <w:sz w:val="20"/>
        </w:rPr>
        <w:t xml:space="preserve">Decisions and Determinations </w:t>
      </w:r>
    </w:p>
    <w:p>
      <w:pPr>
        <w:pStyle w:val="TextBody"/>
        <w:bidi w:val="0"/>
        <w:spacing w:before="120" w:after="0"/>
        <w:jc w:val="left"/>
        <w:rPr>
          <w:rFonts w:ascii="Times New Roman" w:hAnsi="Times New Roman"/>
          <w:sz w:val="20"/>
        </w:rPr>
      </w:pPr>
      <w:r>
        <w:rPr>
          <w:rFonts w:ascii="Times New Roman" w:hAnsi="Times New Roman"/>
          <w:sz w:val="20"/>
        </w:rPr>
        <w:t xml:space="preserve">Any determination, decision or election that may be made by us (or our Designee) pursuant to the benchmark replacement provision described in this subsection “Effect of Benchmark Transition Event,” including any determination with respect to tenor, rate or adjustment or of the occurrence or non-occurrence of an event, circumstance or date and any decision to take or refrain from taking any action or any selection, will be conclusive and binding absent manifest error, will be made in our (or our Designee’s) sole discretion, and, notwithstanding anything to the contrary in any transaction documents relating to the Floating Rate Notes, shall become effective without consent from the holders of the Floating Rate Notes or any other party. </w:t>
      </w:r>
    </w:p>
    <w:p>
      <w:pPr>
        <w:pStyle w:val="TextBody"/>
        <w:bidi w:val="0"/>
        <w:spacing w:before="240" w:after="0"/>
        <w:jc w:val="left"/>
        <w:rPr>
          <w:rFonts w:ascii="Times New Roman" w:hAnsi="Times New Roman"/>
          <w:sz w:val="20"/>
        </w:rPr>
      </w:pPr>
      <w:r>
        <w:rPr>
          <w:rFonts w:ascii="Times New Roman" w:hAnsi="Times New Roman"/>
          <w:sz w:val="20"/>
        </w:rPr>
        <w:t xml:space="preserve">Certain Defined Terms: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subsection “Effect of Benchmark Transition Event,” the following terms have the following meanings: </w:t>
      </w:r>
    </w:p>
    <w:p>
      <w:pPr>
        <w:pStyle w:val="TextBody"/>
        <w:bidi w:val="0"/>
        <w:spacing w:before="240" w:after="0"/>
        <w:jc w:val="left"/>
        <w:rPr/>
      </w:pPr>
      <w:r>
        <w:rPr/>
        <w:t>“</w:t>
      </w:r>
      <w:r>
        <w:rPr>
          <w:rFonts w:ascii="Times New Roman" w:hAnsi="Times New Roman"/>
          <w:sz w:val="20"/>
        </w:rPr>
        <w:t xml:space="preserve">Benchmark” means, initially, Compounded SOFR, as such term is defined above; provided that if a Benchmark Transition Event and its related Benchmark Replacement Date have occurred with respect to Compounded SOFR (or the published SOFR Index used in the calculation thereof) or the then-current Benchmark, then “Benchmark” means the applicable Benchmark Replacement. </w:t>
      </w:r>
    </w:p>
    <w:p>
      <w:pPr>
        <w:pStyle w:val="TextBody"/>
        <w:bidi w:val="0"/>
        <w:spacing w:before="240" w:after="0"/>
        <w:jc w:val="left"/>
        <w:rPr/>
      </w:pPr>
      <w:r>
        <w:rPr/>
        <w:t>“</w:t>
      </w:r>
      <w:r>
        <w:rPr>
          <w:rFonts w:ascii="Times New Roman" w:hAnsi="Times New Roman"/>
          <w:sz w:val="20"/>
        </w:rPr>
        <w:t xml:space="preserve">Benchmark Replacement” means the first alternative set forth in the order below that can be determined by us (or our Designee) as of the Benchmark Replacement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(a) the alternate rate of interest that has been selected or recommended by the Relevant Governmental Body as the replacement for the then-current Benchmark and (b) the Benchmark Replacement Adjustment;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(a) the ISDA Fallback Rate and (b) the Benchmark Replacement Adjustment;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(a) the alternate rate of interest that has been selected by us (or our Designee) as the replacement for the then-current Benchmark giving due consideration to any industry-accepted rate of interest as a replacement for the then-current Benchmark for U.S. dollar denominated Floating Rate Notes at such time and (b) the Benchmark Replacement Adjustment. </w:t>
            </w:r>
          </w:p>
        </w:tc>
      </w:tr>
    </w:tbl>
    <w:p>
      <w:pPr>
        <w:pStyle w:val="TextBody"/>
        <w:bidi w:val="0"/>
        <w:spacing w:before="240" w:after="0"/>
        <w:jc w:val="left"/>
        <w:rPr/>
      </w:pPr>
      <w:r>
        <w:rPr/>
        <w:t>“</w:t>
      </w:r>
      <w:r>
        <w:rPr>
          <w:rFonts w:ascii="Times New Roman" w:hAnsi="Times New Roman"/>
          <w:sz w:val="20"/>
        </w:rPr>
        <w:t xml:space="preserve">Benchmark Replacement Adjustment” means the first alternative set forth in the order below that can be determined by us (or our Designee) as of the Benchmark Replacement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spread adjustment (which may be a positive or negative value or zero), or method for calculating or determining such spread adjustment, that has been selected or recommended by the Relevant Governmental Body for the applicable Unadjusted Benchmark Replacement;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applicable Unadjusted Benchmark Replacement is equivalent to the ISDA Fallback Rate, then the ISDA Fallback Adjustment;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spread adjustment (which may be a positive or negative value or zero) that has been selected by us (or our Designee) giving due consideration to any industry-accepted spread adjustment, or method for calculating or determining such spread adjustment, for the replacement of the then-current Benchmark with the applicable Unadjusted Benchmark Replacement for U.S. dollar denominated Floating Rate Notes at such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Benchmark Replacement Adjustment shall not include the Margin specified in this prospectus supplement and such Margin shall be applied to the Benchmark Replacement to determine the interest payable on the Floating Rate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Benchmark Replacement Conforming Changes” means, with respect to any Benchmark Replacement, any technical, administrative or operational changes (including changes to the definition or interpretation of “interest period”, timing and frequency of determining rates and making payments of interest, rounding of amounts or tenor, and other administrative matters), or any other changes to any other terms or provisions of the Floating Rate Notes, in each case that we (or our Designee) decide may be appropriate to reflect the adoption of such Benchmark Replacement in a manner substantially consistent with market practice (or, if we (or our Designee) decide that adoption of any portion of such market practice is not administratively feasible or if we (or our Designee) determine that no market practice for use of the Benchmark Replacement exists, in such other manner as we (or our Designee) determine is reasonably necessary or practicable). </w:t>
      </w:r>
    </w:p>
    <w:p>
      <w:pPr>
        <w:pStyle w:val="TextBody"/>
        <w:bidi w:val="0"/>
        <w:spacing w:before="240" w:after="0"/>
        <w:jc w:val="left"/>
        <w:rPr/>
      </w:pPr>
      <w:r>
        <w:rPr/>
        <w:t>“</w:t>
      </w:r>
      <w:r>
        <w:rPr>
          <w:rFonts w:ascii="Times New Roman" w:hAnsi="Times New Roman"/>
          <w:sz w:val="20"/>
        </w:rPr>
        <w:t xml:space="preserve">Benchmark Replacement Date” means the earliest to occur of the following events with respect to the then-current Benchmark: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clause (1) or (2) of the definition of “Benchmark Transition Event,” the later of (a) the date of the public statement or publication of information referenced therein and (b) the date on which the administrator of the Benchmark permanently or indefinitely ceases to provide the Benchmark;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clause (3) of the definition of “Benchmark Transition Event,” the date of the public statement or publication of information referenced therein.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if the event giving rise to the Benchmark Replacement Date occurs on the same day as, but earlier than, the Reference Time in respect of any determination, the Benchmark Replacement Date will be deemed to have occurred prior to the Reference Time for such determination. </w:t>
      </w:r>
    </w:p>
    <w:p>
      <w:pPr>
        <w:pStyle w:val="TextBody"/>
        <w:bidi w:val="0"/>
        <w:spacing w:before="240" w:after="0"/>
        <w:jc w:val="left"/>
        <w:rPr/>
      </w:pPr>
      <w:r>
        <w:rPr/>
        <w:t>“</w:t>
      </w:r>
      <w:r>
        <w:rPr>
          <w:rFonts w:ascii="Times New Roman" w:hAnsi="Times New Roman"/>
          <w:sz w:val="20"/>
        </w:rPr>
        <w:t xml:space="preserve">Benchmark Transition Event” means the occurrence of one or more of the following events with respect to the then-current Benchmark (including the daily published component used in the calculation thereof):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or on behalf of the administrator of the Benchmark (or such component) announcing that such administrator has ceased or will cease to provide the Benchmark (or such component), permanently or indefinitely, provided that, at the time of such statement or publication, there is no successor administrator that will continue to provide the Benchmark (or such component);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the regulatory supervisor for the administrator of the Benchmark (or such component), the central bank for the currency of the Benchmark (or such component), an insolvency official with jurisdiction over the administrator for the Benchmark (or such component), a resolution authority with jurisdiction over the administrator for the Benchmark (or such component) or a court or an entity with similar insolvency or resolution authority over the administrator for the Benchmark (or such component), which states that the administrator of the Benchmark (or such component) has ceased or will cease to provide the Benchmark (or such component) permanently or indefinitely, provided that, at the time of such statement or publication, there is no successor administrator that will continue to provide the Benchmark (or such component);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the regulatory supervisor for the administrator of the Benchmark announcing that the Benchmark is no longer representative. </w:t>
            </w:r>
          </w:p>
        </w:tc>
      </w:tr>
    </w:tbl>
    <w:p>
      <w:pPr>
        <w:pStyle w:val="TextBody"/>
        <w:bidi w:val="0"/>
        <w:spacing w:before="240" w:after="0"/>
        <w:jc w:val="left"/>
        <w:rPr/>
      </w:pPr>
      <w:r>
        <w:rPr/>
        <w:t>“</w:t>
      </w:r>
      <w:r>
        <w:rPr>
          <w:rFonts w:ascii="Times New Roman" w:hAnsi="Times New Roman"/>
          <w:sz w:val="20"/>
        </w:rPr>
        <w:t xml:space="preserve">ISDA Definitions” means the 2006 ISDA Definitions published by the International Swaps and Derivatives Association, Inc. or any successor thereto, as amended or supplemented from time to time, or any successor definitional booklet for interest rate derivatives published from time to time. </w:t>
      </w:r>
    </w:p>
    <w:p>
      <w:pPr>
        <w:pStyle w:val="TextBody"/>
        <w:bidi w:val="0"/>
        <w:spacing w:before="240" w:after="0"/>
        <w:jc w:val="left"/>
        <w:rPr/>
      </w:pPr>
      <w:r>
        <w:rPr/>
        <w:t>“</w:t>
      </w:r>
      <w:r>
        <w:rPr>
          <w:rFonts w:ascii="Times New Roman" w:hAnsi="Times New Roman"/>
          <w:sz w:val="20"/>
        </w:rPr>
        <w:t xml:space="preserve">ISDA Fallback Adjustment” means the spread adjustment (which may be a positive or negative value or zero) that would apply for derivatives transactions referencing the ISDA Definitions to be determined upon the occurrence of an index cessation event with respect to the Benchmark.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ISDA Fallback Rate” means the rate that would apply for derivatives transactions referencing the ISDA Definitions to be effective upon the occurrence of an index cessation date with respect to the Benchmark for the applicable tenor excluding the applicable ISDA Fallback Adjustment. </w:t>
      </w:r>
    </w:p>
    <w:p>
      <w:pPr>
        <w:pStyle w:val="TextBody"/>
        <w:bidi w:val="0"/>
        <w:spacing w:before="240" w:after="0"/>
        <w:jc w:val="left"/>
        <w:rPr/>
      </w:pPr>
      <w:r>
        <w:rPr/>
        <w:t>“</w:t>
      </w:r>
      <w:r>
        <w:rPr>
          <w:rFonts w:ascii="Times New Roman" w:hAnsi="Times New Roman"/>
          <w:sz w:val="20"/>
        </w:rPr>
        <w:t xml:space="preserve">Reference Time” with respect to any determination of the Benchmark means (1) if the Benchmark is Compounded SOFR, the SOFR Index Determination Time, as such time is defined above, and (2) if the Benchmark is not Compounded SOFR, the time determined by us (or our Designee) in accordance with the Benchmark Replacement Conforming Changes. </w:t>
      </w:r>
    </w:p>
    <w:p>
      <w:pPr>
        <w:pStyle w:val="TextBody"/>
        <w:bidi w:val="0"/>
        <w:spacing w:before="240" w:after="0"/>
        <w:jc w:val="left"/>
        <w:rPr/>
      </w:pPr>
      <w:r>
        <w:rPr/>
        <w:t>“</w:t>
      </w:r>
      <w:r>
        <w:rPr>
          <w:rFonts w:ascii="Times New Roman" w:hAnsi="Times New Roman"/>
          <w:sz w:val="20"/>
        </w:rPr>
        <w:t xml:space="preserve">Relevant Governmental Body” means the Federal Reserve Board and/or the Federal Reserve Bank of New York, or a committee officially endorsed or convened by the Federal Reserve Board and/or the Federal Reserve Bank of New York or any successor thereto. </w:t>
      </w:r>
    </w:p>
    <w:p>
      <w:pPr>
        <w:pStyle w:val="TextBody"/>
        <w:bidi w:val="0"/>
        <w:spacing w:before="240" w:after="0"/>
        <w:jc w:val="left"/>
        <w:rPr/>
      </w:pPr>
      <w:r>
        <w:rPr/>
        <w:t>“</w:t>
      </w:r>
      <w:r>
        <w:rPr>
          <w:rFonts w:ascii="Times New Roman" w:hAnsi="Times New Roman"/>
          <w:sz w:val="20"/>
        </w:rPr>
        <w:t xml:space="preserve">Unadjusted Benchmark Replacement” means the Benchmark Replacement excluding the Benchmark Replacement Adjustment. </w:t>
      </w:r>
    </w:p>
    <w:p>
      <w:pPr>
        <w:pStyle w:val="TextBody"/>
        <w:bidi w:val="0"/>
        <w:spacing w:before="360" w:after="0"/>
        <w:jc w:val="left"/>
        <w:rPr>
          <w:rFonts w:ascii="Times New Roman" w:hAnsi="Times New Roman"/>
          <w:i/>
          <w:sz w:val="20"/>
        </w:rPr>
      </w:pPr>
      <w:r>
        <w:rPr>
          <w:rFonts w:ascii="Times New Roman" w:hAnsi="Times New Roman"/>
          <w:i/>
          <w:sz w:val="20"/>
        </w:rPr>
        <w:t xml:space="preserve">Calculation of the Floating Interest Rate </w:t>
      </w:r>
    </w:p>
    <w:p>
      <w:pPr>
        <w:pStyle w:val="TextBody"/>
        <w:bidi w:val="0"/>
        <w:spacing w:before="120" w:after="0"/>
        <w:jc w:val="left"/>
        <w:rPr>
          <w:rFonts w:ascii="Times New Roman" w:hAnsi="Times New Roman"/>
          <w:sz w:val="20"/>
        </w:rPr>
      </w:pPr>
      <w:r>
        <w:rPr>
          <w:rFonts w:ascii="Times New Roman" w:hAnsi="Times New Roman"/>
          <w:sz w:val="20"/>
        </w:rPr>
        <w:t xml:space="preserve">The “Calculation Agent” means a banking institution or trust company appointed by us to act as calculation agent, initially The Bank of New York Mellon Trust Company, N.A. </w:t>
      </w:r>
    </w:p>
    <w:p>
      <w:pPr>
        <w:pStyle w:val="TextBody"/>
        <w:bidi w:val="0"/>
        <w:spacing w:before="240" w:after="0"/>
        <w:jc w:val="left"/>
        <w:rPr>
          <w:rFonts w:ascii="Times New Roman" w:hAnsi="Times New Roman"/>
          <w:sz w:val="20"/>
        </w:rPr>
      </w:pPr>
      <w:r>
        <w:rPr>
          <w:rFonts w:ascii="Times New Roman" w:hAnsi="Times New Roman"/>
          <w:sz w:val="20"/>
        </w:rPr>
        <w:t xml:space="preserve">Absent willful misconduct, bad faith or manifest error, the calculation of the applicable interest rate for each interest period by the Calculation Agent, or in certain circumstances described above, by us (or our Designee) will be final and binding on us, the trustee, paying agent, registrar and the holders of the Floating Rate Notes. </w:t>
      </w:r>
    </w:p>
    <w:p>
      <w:pPr>
        <w:pStyle w:val="TextBody"/>
        <w:bidi w:val="0"/>
        <w:spacing w:before="240" w:after="0"/>
        <w:jc w:val="left"/>
        <w:rPr>
          <w:rFonts w:ascii="Times New Roman" w:hAnsi="Times New Roman"/>
          <w:sz w:val="20"/>
        </w:rPr>
      </w:pPr>
      <w:r>
        <w:rPr>
          <w:rFonts w:ascii="Times New Roman" w:hAnsi="Times New Roman"/>
          <w:sz w:val="20"/>
        </w:rPr>
        <w:t xml:space="preserve">None of the trustee, paying agent, registrar or Calculation Agent shall be under any obligation (i) to monitor, determine or verify the unavailability or cessation of Compounded SOFR or the SOFR Index, or whether or when there has occurred, or to give notice to any other transaction party of the occurrence of, any Benchmark Transition Event or related Benchmark Replacement Date, (ii) to select, determine or designate any Benchmark Replacement, or other successor or replacement benchmark index, or whether any conditions to the designation of such a rate or index have been satisfied, (iii) to select, determine or designate any Benchmark Replacement Adjustment, or other modifier to any replacement or successor index, or the business day convention, interest determination dates or any other relevant methodology for calculating any such substitute or successor benchmark, or (iv) to determine whether or what Benchmark Replacement Conforming Changes are necessary or advisable, if any, in connection with any of the foregoing. In connection with the foregoing, the Calculation Agent will be entitled to conclusively rely on any determinations made by us (or our Designee) and will have no liability for such actions taken at the direction of us (or our Designee). </w:t>
      </w:r>
    </w:p>
    <w:p>
      <w:pPr>
        <w:pStyle w:val="TextBody"/>
        <w:bidi w:val="0"/>
        <w:spacing w:before="240" w:after="0"/>
        <w:jc w:val="left"/>
        <w:rPr>
          <w:rFonts w:ascii="Times New Roman" w:hAnsi="Times New Roman"/>
          <w:sz w:val="20"/>
        </w:rPr>
      </w:pPr>
      <w:r>
        <w:rPr>
          <w:rFonts w:ascii="Times New Roman" w:hAnsi="Times New Roman"/>
          <w:sz w:val="20"/>
        </w:rPr>
        <w:t xml:space="preserve">None of the trustee, paying agent, registrar or Calculation Agent shall be liable for any inability, failure or delay on its part to perform any of its duties described in this prospectus supplement and the accompanying prospectus as a result of the unavailability of Compounded SOFR, the SOFR Index or other applicable Benchmark Replacement, including as a result of any failure, inability, delay, error or inaccuracy on the part of any other transaction party in providing any direction, instruction, notice or information contemplated by this prospectus supplement and the accompanying prospectus and reasonably required for the performance of such duties.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Fixed Rate Notes </w:t>
      </w:r>
    </w:p>
    <w:p>
      <w:pPr>
        <w:pStyle w:val="TextBody"/>
        <w:bidi w:val="0"/>
        <w:spacing w:before="120" w:after="0"/>
        <w:jc w:val="left"/>
        <w:rPr>
          <w:rFonts w:ascii="Times New Roman" w:hAnsi="Times New Roman"/>
          <w:sz w:val="20"/>
        </w:rPr>
      </w:pPr>
      <w:r>
        <w:rPr>
          <w:rFonts w:ascii="Times New Roman" w:hAnsi="Times New Roman"/>
          <w:sz w:val="20"/>
        </w:rPr>
        <w:t xml:space="preserve">The 20  Notes will bear interest at a rate of   % per annum from     , 2026 or from the most recent interest payment date on which we paid or provided for interest on the 20  Notes. The 20   Notes will bear interest at a rate of   % per annum from     , 2026 or from the most recent interest payment date on which we paid or provided for interest on the 20  Notes. The 20   Notes will bear interest at a rate of   % per annum from     , 2026 or from the most recent interest payment date on which we paid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provided for interest on the 20 Notes. The 20  Notes will bear interest at a rate of   % per annum from     , 2026 or from the most recent interest payment date on which we paid or provided for interest on the 20 Notes. Interest on the Fixed Rate Notes will be payable semi-annually in arrears (i) with respect to the 20 Notes, on    and    of each year, beginning on    , 2027, (ii) with respect to the 20 Notes, on     and    of each year, beginning on    , 2027, (iii) with respect to the 20 Notes, on    and    of each year, beginning on    , 2027, and (iv) with respect to the 20 Notes, on     and    of each year, beginning on    , 2027. Interest on the Fixed Rate Notes will be payable to the holders of record (i) with respect to the 20 Notes, on the    and    , (ii) with respect to the 20 Notes, on the    and    , (iii) with respect to the 20 Notes, on the    and    , and (iv) with respect to the 20 Notes, on the    and    , in each case (whether or not a business day) immediately preceding the related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Interest on each series of Fixed Rate Notes will be computed on the basis of a 360-day year comprised of twelve 30-day months. If any interest payment date, redemption date or the maturity date of a series of Fixed Rate Notes is not a business day, then payment of interest and/or principal on such series of Fixed Rate Notes will be made on the next succeeding business day, and no additional interest will accrue on the amount so payable in respect of such notes for that period.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Floating Rate Notes </w:t>
      </w:r>
    </w:p>
    <w:p>
      <w:pPr>
        <w:pStyle w:val="TextBody"/>
        <w:bidi w:val="0"/>
        <w:spacing w:before="120" w:after="0"/>
        <w:jc w:val="left"/>
        <w:rPr>
          <w:rFonts w:ascii="Times New Roman" w:hAnsi="Times New Roman"/>
          <w:sz w:val="20"/>
        </w:rPr>
      </w:pPr>
      <w:r>
        <w:rPr>
          <w:rFonts w:ascii="Times New Roman" w:hAnsi="Times New Roman"/>
          <w:sz w:val="20"/>
        </w:rPr>
        <w:t xml:space="preserve">We may not redeem the Floating Rate Notes prior to their maturity.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Fixed Rate Notes </w:t>
      </w:r>
    </w:p>
    <w:p>
      <w:pPr>
        <w:pStyle w:val="TextBody"/>
        <w:bidi w:val="0"/>
        <w:spacing w:before="120" w:after="0"/>
        <w:jc w:val="left"/>
        <w:rPr>
          <w:rFonts w:ascii="Times New Roman" w:hAnsi="Times New Roman"/>
          <w:sz w:val="20"/>
        </w:rPr>
      </w:pPr>
      <w:r>
        <w:rPr>
          <w:rFonts w:ascii="Times New Roman" w:hAnsi="Times New Roman"/>
          <w:sz w:val="20"/>
        </w:rPr>
        <w:t xml:space="preserve">At any time prior to the applicable Par Call Date, we will have the right, at our option, to redeem each series of Fixed Rate Notes, in whole or in part, at any time and from time to time, at a redemption price (expressed as a percentage of principal amount and rounded to three decimal places)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sum of the present values of the remaining scheduled payments of principal and interest thereon discounted to the redemption date (assuming such series of Fixed Rate Notes matured on the applicable Par Call Date) on a semi-annual basis (assuming a 360-day year consisting of twelve 30-day months) at the Treasury Rate plus     basis points (in the case of the 20 Notes),     basis points (in the case of the 20 Notes),     basis points (in the case of the 20  Notes) or    basis points (in the case of the 20  Notes), in each case less (b) interest accrued to the date of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notes of such series being redeemed,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applicable Par Call Date, we will have the right, at our option, to redeem each series of Fixed Rate Notes, in whole or in part, at any time and from time to time, at a redemption price equal to 100% of the principal amount of such series of Fixed Rate Notes being redeemed plus accrued and unpaid interest thereon to the redemption date. </w:t>
      </w:r>
    </w:p>
    <w:p>
      <w:pPr>
        <w:pStyle w:val="TextBody"/>
        <w:bidi w:val="0"/>
        <w:spacing w:before="240" w:after="0"/>
        <w:jc w:val="left"/>
        <w:rPr/>
      </w:pPr>
      <w:r>
        <w:rPr/>
        <w:t>“</w:t>
      </w:r>
      <w:r>
        <w:rPr>
          <w:rFonts w:ascii="Times New Roman" w:hAnsi="Times New Roman"/>
          <w:i/>
          <w:sz w:val="20"/>
        </w:rPr>
        <w:t>Par Call Date</w:t>
      </w:r>
      <w:r>
        <w:rPr>
          <w:rFonts w:ascii="Times New Roman" w:hAnsi="Times New Roman"/>
          <w:sz w:val="20"/>
        </w:rPr>
        <w:t xml:space="preserve">” means    , 20     in the case of the 20  Notes,     , 20     in the case of the 20  Notes,     , 20     in the case of the 20   Notes and    , 20     in the case of the 20  Notes. </w:t>
      </w:r>
    </w:p>
    <w:p>
      <w:pPr>
        <w:pStyle w:val="TextBody"/>
        <w:bidi w:val="0"/>
        <w:spacing w:before="240" w:after="0"/>
        <w:jc w:val="left"/>
        <w:rPr/>
      </w:pPr>
      <w:r>
        <w:rPr/>
        <w:t>“</w:t>
      </w:r>
      <w:r>
        <w:rPr>
          <w:rFonts w:ascii="Times New Roman" w:hAnsi="Times New Roman"/>
          <w:i/>
          <w:sz w:val="20"/>
        </w:rPr>
        <w:t>Treasury Rate</w:t>
      </w:r>
      <w:r>
        <w:rPr>
          <w:rFonts w:ascii="Times New Roman" w:hAnsi="Times New Roman"/>
          <w:sz w:val="20"/>
        </w:rPr>
        <w:t xml:space="preserve">” means, with respect to any redemption date, the yield determined by us in accordance with the following two paragraphs.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hAnsi="Times New Roman"/>
          <w:i/>
          <w:sz w:val="20"/>
        </w:rPr>
        <w:t>H.15</w:t>
      </w:r>
      <w:r>
        <w:rPr>
          <w:rFonts w:ascii="Times New Roman" w:hAnsi="Times New Roman"/>
          <w:sz w:val="20"/>
        </w:rPr>
        <w:t>”) under the caption “U.S. government securities–Treasury constant maturities–Nominal” (or any successor caption or heading) (“</w:t>
      </w:r>
      <w:r>
        <w:rPr>
          <w:rFonts w:ascii="Times New Roman" w:hAnsi="Times New Roman"/>
          <w:i/>
          <w:sz w:val="20"/>
        </w:rPr>
        <w:t>H.15 TCM</w:t>
      </w:r>
      <w:r>
        <w:rPr>
          <w:rFonts w:ascii="Times New Roman" w:hAnsi="Times New Roman"/>
          <w:sz w:val="20"/>
        </w:rPr>
        <w:t>”). In determining the Treasury Rate, we will select, as applicable: (1) the yield for the Treasury constant maturity on H.15 exactly equal to the period from the redemption date to the applicable Par Call Date (the “</w:t>
      </w:r>
      <w:r>
        <w:rPr>
          <w:rFonts w:ascii="Times New Roman" w:hAnsi="Times New Roman"/>
          <w:i/>
          <w:sz w:val="20"/>
        </w:rPr>
        <w:t>Remaining Life</w:t>
      </w:r>
      <w:r>
        <w:rPr>
          <w:rFonts w:ascii="Times New Roman" w:hAnsi="Times New Roman"/>
          <w:sz w:val="20"/>
        </w:rPr>
        <w:t xml:space="preserve">”); (2) if there is no such Treasury constant maturity on H.15 exactly equal to the applicable Remaining Life, the two yields – one yield corresponding to the Treasury constant maturity on H.15 immediately shorter than and one yield corresponding to the Treasury constant maturity on H.15 immediately longer than the applicable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applicable Remaining Life, the yield for the single Treasury constant maturity on H.15 closest to the applicable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we will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we will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we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Our actions and determinations in determining the redemption price shall be conclusive and binding for all purposes, absent manifest error. The trustee shall not be obligated to calculate or verify any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procedures) at least 10 days but not more than 60 days before the redemption date to each holder of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Unless we default in payment of the redemption price, on and after the redemption date, interest will cease to accrue on the notes or portions thereof called for redemption.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Mandatory Redemption </w:t>
      </w:r>
    </w:p>
    <w:p>
      <w:pPr>
        <w:pStyle w:val="TextBody"/>
        <w:bidi w:val="0"/>
        <w:spacing w:before="120" w:after="0"/>
        <w:jc w:val="left"/>
        <w:rPr>
          <w:rFonts w:ascii="Times New Roman" w:hAnsi="Times New Roman"/>
          <w:sz w:val="20"/>
        </w:rPr>
      </w:pPr>
      <w:r>
        <w:rPr>
          <w:rFonts w:ascii="Times New Roman" w:hAnsi="Times New Roman"/>
          <w:sz w:val="20"/>
        </w:rPr>
        <w:t xml:space="preserve">We are not required to make any mandatory redemption with respect to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Change of Control Offer </w:t>
      </w:r>
    </w:p>
    <w:p>
      <w:pPr>
        <w:pStyle w:val="TextBody"/>
        <w:bidi w:val="0"/>
        <w:spacing w:before="120" w:after="0"/>
        <w:jc w:val="left"/>
        <w:rPr>
          <w:rFonts w:ascii="Times New Roman" w:hAnsi="Times New Roman"/>
          <w:sz w:val="20"/>
        </w:rPr>
      </w:pPr>
      <w:r>
        <w:rPr>
          <w:rFonts w:ascii="Times New Roman" w:hAnsi="Times New Roman"/>
          <w:sz w:val="20"/>
        </w:rPr>
        <w:t xml:space="preserve">If a Change of Control Triggering Event (as defined below) occurs with respect to a series of notes, unless we have exercised our option to redeem such series of notes in full as described above under “—Optional Redemption” or have defeased such series of notes or satisfied and discharged such series of notes, we shall be required to make an offer (a “Change of Control Offer”) to each holder of such series of notes to repurchase all or any part (equal to $2,000 and in integral multiples of $1,000 in excess thereof; provided that the unrepurchased portion of a note must be in a minimum principal amount of $2,000) of that holder’s notes of such series pursuant to the offer described below. In a Change of Control Offer, we will be required to offer payment in cash equal to 101% of the aggregate principal amount of the notes repurchased, plus accrued and unpaid interest, if any, on the notes repurchased to the date of repurchase (a “Change of Control Payment”). Within 30 days following any Change of Control Triggering Event with respect to a series of notes or, at our option, prior to any Change of Control, but after public announcement of the transaction that constitutes or may constitute the Change of Control, a notice shall be mailed, or if the notes to be repurchased are represented by one or more Global Notes, transmitted in accordance with DTC’s standard procedures therefor, to holders of such series of notes describing the transaction that constitutes or may constitute the Change of Control Triggering Event and offering to repurchase such notes on the date specified in the notice, which date shall be no earlier than 30 days and no later than 60 days from the date such notice is mailed or transmitted (a “Change of Control Payment Date”). The notice shall, if mailed or transmitted prior to the date of consummation of the Change of Control, state that the offer to purchase is conditioned on the Change of Control Triggering Event occurring on or prior to the Change of Control Payment Date. </w:t>
      </w:r>
    </w:p>
    <w:p>
      <w:pPr>
        <w:pStyle w:val="TextBody"/>
        <w:bidi w:val="0"/>
        <w:spacing w:before="240" w:after="0"/>
        <w:jc w:val="left"/>
        <w:rPr>
          <w:rFonts w:ascii="Times New Roman" w:hAnsi="Times New Roman"/>
          <w:sz w:val="20"/>
        </w:rPr>
      </w:pPr>
      <w:r>
        <w:rPr>
          <w:rFonts w:ascii="Times New Roman" w:hAnsi="Times New Roman"/>
          <w:sz w:val="20"/>
        </w:rPr>
        <w:t xml:space="preserve">On the Change of Control Payment Date, we will, to the extent lawful: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 for payment all notes of the applicable series or portions of such notes properly tendered pursuant to the Change of Control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with the paying agent an amount equal to the Change of Control Payment in respect of all notes or portions of such notes properly tendered;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or cause to be delivered to the trustee the notes of the applicable series properly accepted together with an officers’ certificate stating the aggregate principal amount of notes or portions of such notes being repurchased.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not be required to make a Change of Control Offer upon the occurrence of a Change of Control Triggering Event if a third party makes such an offer in the manner, at the times and otherwise in compliance with the requirements for an offer made by us and the third party purchases all notes of the applicable series properly tendered and not withdrawn under its offer. </w:t>
      </w:r>
    </w:p>
    <w:p>
      <w:pPr>
        <w:pStyle w:val="TextBody"/>
        <w:bidi w:val="0"/>
        <w:spacing w:before="240" w:after="0"/>
        <w:jc w:val="left"/>
        <w:rPr>
          <w:rFonts w:ascii="Times New Roman" w:hAnsi="Times New Roman"/>
          <w:sz w:val="20"/>
        </w:rPr>
      </w:pPr>
      <w:r>
        <w:rPr>
          <w:rFonts w:ascii="Times New Roman" w:hAnsi="Times New Roman"/>
          <w:sz w:val="20"/>
        </w:rPr>
        <w:t xml:space="preserve">We will comply with the requirements of Rule 14e-1 under the Exchange Act and any other securities laws and regulations thereunder to the extent those laws and regulations are applicable in connection with the repurchase of the notes of the applicable series as a result of a Change of Control Triggering Event. To the extent that the provisions of any such securities laws or regulations conflict with the Change of Control Offer provisions of the notes, we will comply with those securities laws and regulations and shall not be deemed to have breached our obligations under the Change of Control Offer provisions of the notes by virtue of any such conflict.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Change of Control Offer provisions of the notes, the following terms are applicable: </w:t>
      </w:r>
    </w:p>
    <w:p>
      <w:pPr>
        <w:pStyle w:val="TextBody"/>
        <w:bidi w:val="0"/>
        <w:spacing w:before="240" w:after="0"/>
        <w:jc w:val="left"/>
        <w:rPr/>
      </w:pPr>
      <w:r>
        <w:rPr/>
        <w:t>“</w:t>
      </w:r>
      <w:r>
        <w:rPr>
          <w:rFonts w:ascii="Times New Roman" w:hAnsi="Times New Roman"/>
          <w:i/>
          <w:sz w:val="20"/>
        </w:rPr>
        <w:t>Below Investment Grade Rating Event</w:t>
      </w:r>
      <w:r>
        <w:rPr>
          <w:rFonts w:ascii="Times New Roman" w:hAnsi="Times New Roman"/>
          <w:sz w:val="20"/>
        </w:rPr>
        <w:t xml:space="preserve">” means, with respect to a series of notes, the applicable series of notes is downgraded below Investment Grade by at least two of the three Rating Agencies on any date during the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“Trigger Period”) commencing 60 days prior to the first public announcement by us of any Change of Control (or pending Change of Control) and ending 60 days following the consummation of such Change of Control (which Trigger Period will be extended if the rating of such series of notes is under publicly announced consideration for possible downgrade by any Rating Agency on such 60th day, such extension to last with respect to each Rating Agency until the date on which such Rating Agency considering such possible downgrade either (x) rates such series of notes below Investment Grade or (y) publicly announces that it is no longer considering such series of notes for possible downgrade, provided that no such extension will occur if on such 60th day such series of notes is rated Investment Grade by at least two of the three Rating Agencies and is not subject to review for possible downgrade by any Rating Agency). </w:t>
      </w:r>
    </w:p>
    <w:p>
      <w:pPr>
        <w:pStyle w:val="TextBody"/>
        <w:bidi w:val="0"/>
        <w:spacing w:before="240" w:after="0"/>
        <w:jc w:val="left"/>
        <w:rPr/>
      </w:pPr>
      <w:r>
        <w:rPr/>
        <w:t>“</w:t>
      </w:r>
      <w:r>
        <w:rPr>
          <w:rFonts w:ascii="Times New Roman" w:hAnsi="Times New Roman"/>
          <w:i/>
          <w:sz w:val="20"/>
        </w:rPr>
        <w:t>Change of Control</w:t>
      </w:r>
      <w:r>
        <w:rPr>
          <w:rFonts w:ascii="Times New Roman" w:hAnsi="Times New Roman"/>
          <w:sz w:val="20"/>
        </w:rPr>
        <w:t xml:space="preserve">” means the occurrence of any of the following: (1) the direct or indirect sale, transfer, conveyance or other disposition (other than by way of merger or consolidation), in one or more series of related transactions, of all or substantially all of our assets and the assets of our Subsidiaries, taken as a whole, to any person, other than to us or one of our direct or indirect Subsidiaries; (2) the consummation of any transaction (including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outstanding Voting Stock of the surviving person or any direct or indirect parent company of the surviving person immediately after giving effect to such transaction measured by voting power rather than number of shares; or (4) the adoption of a plan providing for our liquidation or dissolution. Notwithstanding the foregoing, a transaction will not be deemed to involve a Change of Control if (1) we become a direct or indirect wholly owned subsidiary of a holding company (which shall include a parent company) and (2)(A)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definition of “Change of Control” includes a phrase relating to the direct or indirect sale, transfer, conveyance or other disposition of “all or substantially all” of our properties or assets and those of our Subsidiaries taken as a whole. There is no precise established definition of the phrase “substantially all” under applicable law. Accordingly, the ability of a holder of notes to require us to repurchase the notes as a result of a sale, transfer, conveyance or other disposition of less than all of our properties or assets and those of our Subsidiaries taken as a whole to another person may be uncertain. In such case, the holders of the notes may not be able to resolve this uncertainty without resorting to legal action. </w:t>
      </w:r>
    </w:p>
    <w:p>
      <w:pPr>
        <w:pStyle w:val="TextBody"/>
        <w:bidi w:val="0"/>
        <w:spacing w:before="240" w:after="0"/>
        <w:jc w:val="left"/>
        <w:rPr/>
      </w:pPr>
      <w:r>
        <w:rPr/>
        <w:t>“</w:t>
      </w:r>
      <w:r>
        <w:rPr>
          <w:rFonts w:ascii="Times New Roman" w:hAnsi="Times New Roman"/>
          <w:i/>
          <w:sz w:val="20"/>
        </w:rPr>
        <w:t>Change of Control Triggering Event</w:t>
      </w:r>
      <w:r>
        <w:rPr>
          <w:rFonts w:ascii="Times New Roman" w:hAnsi="Times New Roman"/>
          <w:sz w:val="20"/>
        </w:rPr>
        <w:t xml:space="preserve">” means, with respect to a series of notes, the occurrence of both a Change of Control and a Below Investment Grade Rating Event with respect to such series of notes. </w:t>
      </w:r>
    </w:p>
    <w:p>
      <w:pPr>
        <w:pStyle w:val="TextBody"/>
        <w:bidi w:val="0"/>
        <w:spacing w:before="240" w:after="0"/>
        <w:jc w:val="left"/>
        <w:rPr/>
      </w:pPr>
      <w:r>
        <w:rPr/>
        <w:t>“</w:t>
      </w:r>
      <w:r>
        <w:rPr>
          <w:rFonts w:ascii="Times New Roman" w:hAnsi="Times New Roman"/>
          <w:i/>
          <w:sz w:val="20"/>
        </w:rPr>
        <w:t>Fitch</w:t>
      </w:r>
      <w:r>
        <w:rPr>
          <w:rFonts w:ascii="Times New Roman" w:hAnsi="Times New Roman"/>
          <w:sz w:val="20"/>
        </w:rPr>
        <w:t xml:space="preserve">” means Fitch Ratings, Inc., and its successors. </w:t>
      </w:r>
    </w:p>
    <w:p>
      <w:pPr>
        <w:pStyle w:val="TextBody"/>
        <w:bidi w:val="0"/>
        <w:spacing w:before="240" w:after="0"/>
        <w:jc w:val="left"/>
        <w:rPr/>
      </w:pPr>
      <w:r>
        <w:rPr/>
        <w:t>“</w:t>
      </w:r>
      <w:r>
        <w:rPr>
          <w:rFonts w:ascii="Times New Roman" w:hAnsi="Times New Roman"/>
          <w:i/>
          <w:sz w:val="20"/>
        </w:rPr>
        <w:t>Investment Grade</w:t>
      </w:r>
      <w:r>
        <w:rPr>
          <w:rFonts w:ascii="Times New Roman" w:hAnsi="Times New Roman"/>
          <w:sz w:val="20"/>
        </w:rPr>
        <w:t xml:space="preserve">” means, with respect to Fitch, a rating equal to or higher than BBB- (or the equivalent under any successor rating categories of Fitch), with respect to Moody’s, a rating equal to or higher than Baa3 (or the equivalent under any successor rating categories of Moody’s) and, with respect to S&amp;P, a rating equal to or higher than BBB- (or the equivalent under any successor rating categories of S&amp;P). </w:t>
      </w:r>
    </w:p>
    <w:p>
      <w:pPr>
        <w:pStyle w:val="TextBody"/>
        <w:bidi w:val="0"/>
        <w:spacing w:before="240" w:after="0"/>
        <w:jc w:val="left"/>
        <w:rPr/>
      </w:pPr>
      <w:r>
        <w:rPr/>
        <w:t>“</w:t>
      </w:r>
      <w:r>
        <w:rPr>
          <w:rFonts w:ascii="Times New Roman" w:hAnsi="Times New Roman"/>
          <w:i/>
          <w:sz w:val="20"/>
        </w:rPr>
        <w:t>Moody’s</w:t>
      </w:r>
      <w:r>
        <w:rPr>
          <w:rFonts w:ascii="Times New Roman" w:hAnsi="Times New Roman"/>
          <w:sz w:val="20"/>
        </w:rPr>
        <w:t xml:space="preserve">” means Moody’s Investors Service, Inc., and its successors.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Rating Agencies</w:t>
      </w:r>
      <w:r>
        <w:rPr>
          <w:rFonts w:ascii="Times New Roman" w:hAnsi="Times New Roman"/>
          <w:sz w:val="20"/>
        </w:rPr>
        <w:t xml:space="preserve">” means each of Fitch, Moody’s and S&amp;P; provided that if any of Fitch, Moody’s and S&amp;P ceases to provide rating services to issuers or investors, we may appoint a replacement for such Rating Agency that is a “nationally recognized statistical rating organization” within the meaning of Section 3(a)(62) of the Exchange Act. </w:t>
      </w:r>
    </w:p>
    <w:p>
      <w:pPr>
        <w:pStyle w:val="TextBody"/>
        <w:bidi w:val="0"/>
        <w:spacing w:before="240" w:after="0"/>
        <w:jc w:val="left"/>
        <w:rPr/>
      </w:pPr>
      <w:r>
        <w:rPr/>
        <w:t>“</w:t>
      </w:r>
      <w:r>
        <w:rPr>
          <w:rFonts w:ascii="Times New Roman" w:hAnsi="Times New Roman"/>
          <w:i/>
          <w:sz w:val="20"/>
        </w:rPr>
        <w:t>S&amp;P</w:t>
      </w:r>
      <w:r>
        <w:rPr>
          <w:rFonts w:ascii="Times New Roman" w:hAnsi="Times New Roman"/>
          <w:sz w:val="20"/>
        </w:rPr>
        <w:t xml:space="preserve">” means S&amp;P Global Ratings, a division of S&amp;P Global, Inc., and its successors. </w:t>
      </w:r>
    </w:p>
    <w:p>
      <w:pPr>
        <w:pStyle w:val="TextBody"/>
        <w:bidi w:val="0"/>
        <w:spacing w:before="240" w:after="0"/>
        <w:jc w:val="left"/>
        <w:rPr/>
      </w:pPr>
      <w:r>
        <w:rPr/>
        <w:t>“</w:t>
      </w:r>
      <w:r>
        <w:rPr>
          <w:rFonts w:ascii="Times New Roman" w:hAnsi="Times New Roman"/>
          <w:i/>
          <w:sz w:val="20"/>
        </w:rPr>
        <w:t>Voting Stock</w:t>
      </w:r>
      <w:r>
        <w:rPr>
          <w:rFonts w:ascii="Times New Roman" w:hAnsi="Times New Roman"/>
          <w:sz w:val="20"/>
        </w:rPr>
        <w:t xml:space="preserve">” means, with respect to any specified “person” (as that term is used in Section 13(d)(3) of the Exchange Act) as of any date, the shares, interests, participations, rights or other equivalents (however designated) of such person that is at the time entitled to vote generally in the election of the board of directors of such person.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on Liens </w:t>
      </w:r>
    </w:p>
    <w:p>
      <w:pPr>
        <w:pStyle w:val="TextBody"/>
        <w:bidi w:val="0"/>
        <w:spacing w:before="120" w:after="0"/>
        <w:jc w:val="left"/>
        <w:rPr>
          <w:rFonts w:ascii="Times New Roman" w:hAnsi="Times New Roman"/>
          <w:sz w:val="20"/>
        </w:rPr>
      </w:pPr>
      <w:r>
        <w:rPr>
          <w:rFonts w:ascii="Times New Roman" w:hAnsi="Times New Roman"/>
          <w:sz w:val="20"/>
        </w:rPr>
        <w:t xml:space="preserve">We will not, nor will we permit any Subsidiary to, issue, incur, create, assume or guarantee (collectively, “incur”) any debt for borrowed money, including all obligations evidenced by bonds, debentures, notes or similar instruments (collectively, a “debt”), secured by a mortgage, deed of trust, security interest, pledge, lien, charge or other encumbrance (collectively, a “lien”) upon any Principal Property or upon any shares of stock of any Principal Subsidiary (whether such Principal Property or shares are now existing or owned or hereafter created or acquired) without in any such case effectively providing, substantially concurrently with or prior to the creation or assumption of such lien, that the notes (together with, if we shall so determine, any other indebtedness of or guarantee by us or such Subsidiary ranking equally with the notes) shall be secured equally and ratably with (or, at our option, prior to) such secured debt. The foregoing restriction, however, will not apply to each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property, shares of stock or other assets of any person existing at the time such person becomes a Subsidiary or existing at the time of acquisition thereof by us or a Subsidiary, provided that such liens are not incurred in anticipation of such person’s becoming a Subsidiary or such acquisition and do not extend to (i) any Principal Property or (ii) any shares of stock of any Principal Subsidiary that, in each case, were not previously encumbered by such liens;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property of a person existing at the time such person is merged into or consolidated with us or a Subsidiary or at the time of a sale, lease or other disposition of the properties of such person (or a division thereof) as an entirety or substantially as an entirety to us or a Subsidiary, provided that such liens are not incurred in anticipation of such merger or consolidation or sale, lease or other disposition and do not extend to (i) any Principal Property or (ii) any shares of stock of any Principal Subsidiary that, in each case, were not previously encumbered by such liens;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to secure all or part of the cost of acquisition, construction, development or improvement of any property or to secure debt incurred to provide funds for any such purpose (including purchase money security interests or purchase money mortgages), provided that the commitment of the creditor to extend the credit secured by any such lien is obtained not later than 24 months after the later of (i) the completion of acquisition, construction, development or improvement of such property and (ii) the placing in operation of such property or of such property as so constructed, developed or improved;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in favor of, or which secure debt owing to, us or any of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existing at the date of the issuance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(f)</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in favor of the United States of America or any state, territory or possession thereof (or the District of Columbia), or any department, agency, instrumentality or political subdivision of the United States of America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incurred or assumed in connection with the issuance of revenue bonds the interest on which is exempt from federal taxation pursuant to Section 103(b) of the Internal Revenue Code of 1986, as amended;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(h)</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extensions, renewals or replacements of any liens referred to in the foregoing clauses, provided that (i) the principal amount of debt secured thereby shall not exceed the principal amount of debt so secured at the time of such extension, renewal or replacement and (ii) such extension, renewal or replacement liens will be limited to all or part of the same property and improvement thereon which secured the debt so secured at the time of such extension, renewal or replacement.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restrictions in the preceding paragraphs, we or any Subsidiary of ours may incur debt secured by a lien which would otherwise be prohibited by such restrictions, without equally and ratably securing the notes, provided that, after giving effect thereto, the then aggregate outstanding amount of all such debt so secured by such liens (not including liens permitted under clauses (a) through (h) above) plus the aggregate amount of Attributable Debt in respect of Sale and Lease Back Transactions of Principal Properties entered into after the date of issuance of the notes and permitted solely pursuant to clause (c) of the covenant described below under the caption “—Limitation on Sale and Lease Back Transactions” and still in existence does not exceed the greater of 5% of our Consolidated Tangible Assets at the time of such incurrence and $750 million.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on Sale and Lease Back Transactions </w:t>
      </w:r>
    </w:p>
    <w:p>
      <w:pPr>
        <w:pStyle w:val="TextBody"/>
        <w:bidi w:val="0"/>
        <w:spacing w:before="120" w:after="0"/>
        <w:jc w:val="left"/>
        <w:rPr>
          <w:rFonts w:ascii="Times New Roman" w:hAnsi="Times New Roman"/>
          <w:sz w:val="20"/>
        </w:rPr>
      </w:pPr>
      <w:r>
        <w:rPr>
          <w:rFonts w:ascii="Times New Roman" w:hAnsi="Times New Roman"/>
          <w:sz w:val="20"/>
        </w:rPr>
        <w:t xml:space="preserve">We will not, nor will we permit any Subsidiary to, enter into any Sale and Lease Back Transaction with respect to any Principal Property, other than any such Sale and Lease Back Transaction involving a lease for a term of not more than three years or any such Sale and Lease Back Transaction between us and one of our Subsidiaries, or between Subsidiaries,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or such Subsidiary would be entitled to incur debt secured by a lien on the Principal Property involved in such Sale and Lease Back Transaction at least equal in amount to the Attributable Debt with respect to such Sale and Lease Back Transaction, without equally and ratably securing the notes, pursuant to clauses (a) through (h) of the covenant described above under the caption “—Limitation on Liens”;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apply the Net Available Proceeds of such Sale and Lease Back Transaction within 180 days of such Sale and Lease Back Transaction to either (or a combination of) (i) the prepayment or retirement of debt of ours or a Subsidiary of ours (other than debt that is, in the case of our debt, subordinated to the notes or debt owed to us or a Subsidiary) that by its terms matures more than 12 months after its creation or (ii) the purchase, construction, development, expansion or improvement of comparable properties or facilities;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amount of Attributable Debt in respect of such Sale and Lease Back Transaction plus the Attributable Debt in respect of all other Sale and Lease Back Transactions of Principal Properties entered into after the date of issuance of the notes permitted solely pursuant to this clause (c) and still in existence, plus the aggregate amount of all debt secured by liens permitted solely pursuant to the last paragraph of the covenant described above under the caption “—Limitation on Liens” and still outstanding, does not exceed the greater of 5% of our Consolidated Tangible Assets at the time of such Sale and Lease Back Transaction and $750 million. </w:t>
            </w:r>
          </w:p>
        </w:tc>
      </w:tr>
    </w:tbl>
    <w:p>
      <w:pPr>
        <w:pStyle w:val="TextBody"/>
        <w:bidi w:val="0"/>
        <w:spacing w:before="240" w:after="0"/>
        <w:jc w:val="left"/>
        <w:rPr/>
      </w:pPr>
      <w:r>
        <w:rPr/>
        <w:t>“</w:t>
      </w:r>
      <w:r>
        <w:rPr>
          <w:rFonts w:ascii="Times New Roman" w:hAnsi="Times New Roman"/>
          <w:i/>
          <w:sz w:val="20"/>
        </w:rPr>
        <w:t>Attributable Debt</w:t>
      </w:r>
      <w:r>
        <w:rPr>
          <w:rFonts w:ascii="Times New Roman" w:hAnsi="Times New Roman"/>
          <w:sz w:val="20"/>
        </w:rPr>
        <w:t xml:space="preserve">” with regard to a Sale and Lease Back Transaction with respect to any Principal Property means, at the time of determination, the lesser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fair market value of the Principal Property subject to the transaction;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present value (discounted by the weighted average interest rate borne by all securities then outstanding under the base indenture at the time of determination compounded semiannually) of the total obligations of the lessee for rental payments (other than amounts required to be paid 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1"/>
        <w:gridCol w:w="8884"/>
      </w:tblGrid>
      <w:tr>
        <w:trPr/>
        <w:tc>
          <w:tcPr>
            <w:tcW w:w="1321" w:type="dxa"/>
            <w:tcBorders/>
            <w:vAlign w:val="center"/>
          </w:tcPr>
          <w:p>
            <w:pPr>
              <w:pStyle w:val="TableContents"/>
              <w:bidi w:val="0"/>
              <w:spacing w:before="0" w:after="283"/>
              <w:jc w:val="left"/>
              <w:rPr/>
            </w:pPr>
            <w:r>
              <w:rPr/>
              <w:t> </w:t>
            </w:r>
          </w:p>
        </w:tc>
        <w:tc>
          <w:tcPr>
            <w:tcW w:w="88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account of property taxes as well as maintenance, repairs, insurance, water rates and other items which do not constitute payments for property rights) during the remaining portion of the base term of the lease included in such Sale and Lease Back Transaction. </w:t>
            </w:r>
          </w:p>
        </w:tc>
      </w:tr>
    </w:tbl>
    <w:p>
      <w:pPr>
        <w:pStyle w:val="TextBody"/>
        <w:bidi w:val="0"/>
        <w:spacing w:before="240" w:after="0"/>
        <w:jc w:val="left"/>
        <w:rPr/>
      </w:pPr>
      <w:r>
        <w:rPr/>
        <w:t>“</w:t>
      </w:r>
      <w:r>
        <w:rPr>
          <w:rFonts w:ascii="Times New Roman" w:hAnsi="Times New Roman"/>
          <w:i/>
          <w:sz w:val="20"/>
        </w:rPr>
        <w:t>Consolidated Net Tangible Assets</w:t>
      </w:r>
      <w:r>
        <w:rPr>
          <w:rFonts w:ascii="Times New Roman" w:hAnsi="Times New Roman"/>
          <w:sz w:val="20"/>
        </w:rPr>
        <w:t xml:space="preserve">” means, as of any date on which we effect a transaction requiring such Consolidated Net Tangible Assets to be measured hereunder, the aggregate amount of assets (less applicable reserves) after deducting therefrom (i) all current liabilities, except for any notes and loans payable, current maturities of long-term debt, the current portion of deferred revenue and obligations under capital leases and (ii) all goodwill, trade names, patents, unamortized debt discount and expense and any other like intangibles, to the extent included in said aggregate amount of assets, all as set forth on our most recent consolidated balance sheet and computed in accordance with GAAP. </w:t>
      </w:r>
    </w:p>
    <w:p>
      <w:pPr>
        <w:pStyle w:val="TextBody"/>
        <w:bidi w:val="0"/>
        <w:spacing w:before="240" w:after="0"/>
        <w:jc w:val="left"/>
        <w:rPr/>
      </w:pPr>
      <w:r>
        <w:rPr/>
        <w:t>“</w:t>
      </w:r>
      <w:r>
        <w:rPr>
          <w:rFonts w:ascii="Times New Roman" w:hAnsi="Times New Roman"/>
          <w:i/>
          <w:sz w:val="20"/>
        </w:rPr>
        <w:t>Consolidated Tangible Assets</w:t>
      </w:r>
      <w:r>
        <w:rPr>
          <w:rFonts w:ascii="Times New Roman" w:hAnsi="Times New Roman"/>
          <w:sz w:val="20"/>
        </w:rPr>
        <w:t xml:space="preserve">” means, as of any date on which we effect a transaction requiring such Consolidated Tangible Assets to be measured hereunder, the aggregate amount of assets (less applicable reserves) set forth on our most recent consolidated balance sheet and computed in accordance with GAAP. </w:t>
      </w:r>
    </w:p>
    <w:p>
      <w:pPr>
        <w:pStyle w:val="TextBody"/>
        <w:bidi w:val="0"/>
        <w:spacing w:before="240" w:after="0"/>
        <w:jc w:val="left"/>
        <w:rPr/>
      </w:pPr>
      <w:r>
        <w:rPr/>
        <w:t>“</w:t>
      </w:r>
      <w:r>
        <w:rPr>
          <w:rFonts w:ascii="Times New Roman" w:hAnsi="Times New Roman"/>
          <w:i/>
          <w:sz w:val="20"/>
        </w:rPr>
        <w:t>GAAP</w:t>
      </w:r>
      <w:r>
        <w:rPr>
          <w:rFonts w:ascii="Times New Roman" w:hAnsi="Times New Roman"/>
          <w:sz w:val="20"/>
        </w:rPr>
        <w:t xml:space="preserve">” means accounting principles generally accepted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the determination. </w:t>
      </w:r>
    </w:p>
    <w:p>
      <w:pPr>
        <w:pStyle w:val="TextBody"/>
        <w:bidi w:val="0"/>
        <w:spacing w:before="240" w:after="0"/>
        <w:jc w:val="left"/>
        <w:rPr/>
      </w:pPr>
      <w:r>
        <w:rPr/>
        <w:t>“</w:t>
      </w:r>
      <w:r>
        <w:rPr>
          <w:rFonts w:ascii="Times New Roman" w:hAnsi="Times New Roman"/>
          <w:i/>
          <w:sz w:val="20"/>
        </w:rPr>
        <w:t>Net Available Proceeds</w:t>
      </w:r>
      <w:r>
        <w:rPr>
          <w:rFonts w:ascii="Times New Roman" w:hAnsi="Times New Roman"/>
          <w:sz w:val="20"/>
        </w:rPr>
        <w:t xml:space="preserve">” from any Sale and Lease Back Transaction by us or any Subsidiary means cash or readily marketable cash equivalents received (including by way of sale or discounting of a note, installment receivable or other receivable, but excluding any other consideration received in the form of assumption by the acquiree of debt or obligations relating to the properties or assets that are the subject of such Sale and Lease Back Transaction or received in any other noncash form) therefrom by us or our Subsidiary, net of (i) all legal, title and recording tax expenses, commissions and other fees and expenses incurred and all Federal, state, provincial, foreign and local taxes required to be accrued as a liability as a consequence of such Sale and Lease Back Transaction; (ii) all payments made by us or our Subsidiary on any debt which is secured in whole or in part by any such properties and assets in accordance with the terms of any lien upon or with respect to any such properties and assets or which must, by the terms of such lien, or in order to obtain a necessary consent to such Sale and Lease Back Transaction or by applicable law, be repaid out of the proceeds from such Sale and Lease Back Transaction; and (iii) all distributions and other payments made to our minority interest holders in Subsidiaries or joint ventures as a result of such Sale and Lease Back Transaction. </w:t>
      </w:r>
    </w:p>
    <w:p>
      <w:pPr>
        <w:pStyle w:val="TextBody"/>
        <w:bidi w:val="0"/>
        <w:spacing w:before="240" w:after="0"/>
        <w:jc w:val="left"/>
        <w:rPr/>
      </w:pPr>
      <w:r>
        <w:rPr/>
        <w:t>“</w:t>
      </w:r>
      <w:r>
        <w:rPr>
          <w:rFonts w:ascii="Times New Roman" w:hAnsi="Times New Roman"/>
          <w:i/>
          <w:sz w:val="20"/>
        </w:rPr>
        <w:t>Principal Property</w:t>
      </w:r>
      <w:r>
        <w:rPr>
          <w:rFonts w:ascii="Times New Roman" w:hAnsi="Times New Roman"/>
          <w:sz w:val="20"/>
        </w:rPr>
        <w:t xml:space="preserve">” means any single parcel of real property or any permanent improvement thereon (i) owned by us or any of our Subsidiaries located in the United States, including our principal corporate office, any manufacturing facility or plant or any portion thereof and (ii) having a book value, as of the date of determination, in excess of 3% of our most recently calculated Consolidated Net Tangible Assets. Principal Property does not include any property that our board of directors has determined not to be of material importance to the business conducted by our Subsidiaries and us,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As of August 1, 2026, we had one Principal Property. </w:t>
      </w:r>
    </w:p>
    <w:p>
      <w:pPr>
        <w:pStyle w:val="TextBody"/>
        <w:bidi w:val="0"/>
        <w:spacing w:before="240" w:after="0"/>
        <w:jc w:val="left"/>
        <w:rPr/>
      </w:pPr>
      <w:r>
        <w:rPr/>
        <w:t>“</w:t>
      </w:r>
      <w:r>
        <w:rPr>
          <w:rFonts w:ascii="Times New Roman" w:hAnsi="Times New Roman"/>
          <w:i/>
          <w:sz w:val="20"/>
        </w:rPr>
        <w:t>Principal Subsidiary</w:t>
      </w:r>
      <w:r>
        <w:rPr>
          <w:rFonts w:ascii="Times New Roman" w:hAnsi="Times New Roman"/>
          <w:sz w:val="20"/>
        </w:rPr>
        <w:t xml:space="preserve">” means any Subsidiary which owns any Principal Property. </w:t>
      </w:r>
    </w:p>
    <w:p>
      <w:pPr>
        <w:pStyle w:val="TextBody"/>
        <w:bidi w:val="0"/>
        <w:spacing w:before="240" w:after="0"/>
        <w:jc w:val="left"/>
        <w:rPr/>
      </w:pPr>
      <w:r>
        <w:rPr/>
        <w:t>“</w:t>
      </w:r>
      <w:r>
        <w:rPr>
          <w:rFonts w:ascii="Times New Roman" w:hAnsi="Times New Roman"/>
          <w:i/>
          <w:sz w:val="20"/>
        </w:rPr>
        <w:t>Sale and Lease Back Transaction</w:t>
      </w:r>
      <w:r>
        <w:rPr>
          <w:rFonts w:ascii="Times New Roman" w:hAnsi="Times New Roman"/>
          <w:sz w:val="20"/>
        </w:rPr>
        <w:t xml:space="preserve">” means an arrangement with any lender or investor or to which such lender or investor is a party providing for the leasing by us or any of our Subsidiaries of any Principal Property that, more than 12 months after the later of (i) the completion of the acquisition, construction, development or improvement of such Principal Property or (ii) the placing in operation of such Principal Property or of such Principal Property as so constructed, developed or improved, has been or is being sold, conveyed, transferred or otherwise disposed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by us or our Subsidiary to such lender or investor or to any person to whom funds have been or are to be advanced by such lender on the security of such Principal Property.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on Mergers and Other Transactions </w:t>
      </w:r>
    </w:p>
    <w:p>
      <w:pPr>
        <w:pStyle w:val="TextBody"/>
        <w:bidi w:val="0"/>
        <w:spacing w:before="120" w:after="0"/>
        <w:jc w:val="left"/>
        <w:rPr>
          <w:rFonts w:ascii="Times New Roman" w:hAnsi="Times New Roman"/>
          <w:sz w:val="20"/>
        </w:rPr>
      </w:pPr>
      <w:r>
        <w:rPr>
          <w:rFonts w:ascii="Times New Roman" w:hAnsi="Times New Roman"/>
          <w:sz w:val="20"/>
        </w:rPr>
        <w:t xml:space="preserve">We may not consolidate with or merge with or into, or convey, transfer or lease all or substantially all of our properties and assets to, any person (a “successor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corporation or the successor person (if other than us) is a corporation organized and validly existing under the laws of any U.S. domestic jurisdiction and expressly assumes our obligations on the notes and under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Event of Default, and no event which, after notice or lapse of time, or both, would become an Event of Default, shall have occurred and be continuing under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deliver to the trustee prior to the consummation of the proposed transaction an officers’ certificate to the foregoing effect and an opinion of counsel stating that the proposed transaction complies with the indenture.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any Subsidiary of ours may consolidate with, merge into or transfer all or part of its properties to us. Neither an officers’ certificate nor an opinion of counsel shall be required to be delivered in connection therewith.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Any of the following constitutes an Event of Default with respect to each series of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interest on such series of notes when it becomes due and payable, and continuance of that default for a period of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or premium on such series of notes when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by us in the indenture (other than a covenant that has been included in the base indenture or a separate supplemental indenture solely for the benefit of a series of debt securities other than the notes of the applicable series), which default continues uncured for a period of 90 days after we receive written notice from the trustee or we and the trustee receive written notice from the holders of not less than 25% in principal amount of the outstanding notes of the applicable series as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 our failure or the failure of any of our Subsidiaries to pay indebtedness for money we borrowed or any of our Subsidiaries borrowed in an aggregate principal amount of at least $300 million, at the later of final maturity and the expiration of any related applicable grace period and such defaulted payment shall not have been made, waived or extended within 30 days after written notice from the trustee or the holders of at least 25% in principal amount of the outstanding notes of such series or (2) acceleration of the maturity of indebtedness for money we borrowed or any of our Subsidiaries borrowed in an aggregate principal amount of at least $300 million, if that acceleration results from a default under the instrument giving rise to or securing such indebtedness for money borrowed and such indebtedness has not been discharged in full or such acceleration has not been rescinded or annulled within 30 days after written notice from the trustee or the holders of at least 25% in principal amount of the outstanding notes of the applicable series; provided, however, that, if the default under the instrument is cured by us, or waived by the holders of the indebtedness, in each case, as permitted by the governing instrument, then, unless the maturity of such series of notes has been accelerated in accordance with the indenture, the Event of Default under the indenture governing such notes caused by such default will be deemed likewise to be cured or waived;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or reorganization involving 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Defeasance and Discharge </w:t>
      </w:r>
    </w:p>
    <w:p>
      <w:pPr>
        <w:pStyle w:val="TextBody"/>
        <w:bidi w:val="0"/>
        <w:spacing w:before="120" w:after="0"/>
        <w:jc w:val="left"/>
        <w:rPr>
          <w:rFonts w:ascii="Times New Roman" w:hAnsi="Times New Roman"/>
          <w:sz w:val="20"/>
        </w:rPr>
      </w:pPr>
      <w:r>
        <w:rPr>
          <w:rFonts w:ascii="Times New Roman" w:hAnsi="Times New Roman"/>
          <w:sz w:val="20"/>
        </w:rPr>
        <w:t xml:space="preserve">Each series of notes is also subject to defeasance and discharge as described under the captions “Defeasance of Debt Securities and Certain Covenants in Certain Circumstances” and “Satisfaction and Discharge Prior to Maturity” in the accompanying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Each series of notes will be represented by one or more permanent global certificates (each, a “Global Note,” and collectively, the “Global Notes”) deposited with, or on behalf of, the trustee as custodian for DTC and registered in the name of Cede &amp; Co. (DTC’s partnership nominee), for credit to an account of a direct or indirect participant in DTC (including Euroclear Bank SA/NV or Clearstream Banking S.A.). Unless and until certificated notes are issued under the limited circumstances described in the accompanying prospectus, no beneficial owner of a note shall be entitled to receive a definitive certificate representing notes. So long as DTC or any successor depositary (collectively, the “Depositary”) or its nominee is the registered owner of the Global Notes, the Depositary, or such nominee, as the case may be, will be considered to be the sole owner or holder of the notes for all purposes of the indenture. Beneficial interests in the Global Notes will be represented through book-entry accounts of financial institutions acting on behalf of beneficial owners as direct and indirect participants in DTC. Investors may elect to hold interests in the Global Notes through DTC either directly if they are participants in DTC or indirectly through organizations that are participants in DTC (including Euroclear Bank SA/NV or Clearstream Banking S.A.). </w:t>
      </w:r>
    </w:p>
    <w:p>
      <w:pPr>
        <w:pStyle w:val="TextBody"/>
        <w:bidi w:val="0"/>
        <w:spacing w:before="360" w:after="0"/>
        <w:jc w:val="left"/>
        <w:rPr>
          <w:rFonts w:ascii="Times New Roman" w:hAnsi="Times New Roman"/>
          <w:b/>
          <w:sz w:val="20"/>
        </w:rPr>
      </w:pPr>
      <w:r>
        <w:rPr>
          <w:rFonts w:ascii="Times New Roman" w:hAnsi="Times New Roman"/>
          <w:b/>
          <w:sz w:val="20"/>
        </w:rPr>
        <w:t xml:space="preserve">Clearance and Settlement Procedures </w:t>
      </w:r>
    </w:p>
    <w:p>
      <w:pPr>
        <w:pStyle w:val="TextBody"/>
        <w:bidi w:val="0"/>
        <w:spacing w:before="120" w:after="0"/>
        <w:jc w:val="left"/>
        <w:rPr>
          <w:rFonts w:ascii="Times New Roman" w:hAnsi="Times New Roman"/>
          <w:sz w:val="20"/>
        </w:rPr>
      </w:pPr>
      <w:r>
        <w:rPr>
          <w:rFonts w:ascii="Times New Roman" w:hAnsi="Times New Roman"/>
          <w:sz w:val="20"/>
        </w:rPr>
        <w:t xml:space="preserve">Initial settlement for the notes will be made in immediately available funds. Secondary market trading between DTC participants will occur in the ordinary way in accordance with DTC rules and will be settled in immediately available funds.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rom72941_8"/>
      <w:bookmarkEnd w:id="10"/>
      <w:r>
        <w:rPr>
          <w:rFonts w:ascii="Times New Roman" w:hAnsi="Times New Roman"/>
          <w:b/>
          <w:sz w:val="20"/>
        </w:rPr>
        <w:t xml:space="preserve">MATERIAL UNITED STATES FEDERAL INCOME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material U.S. federal income tax considerations related to the purchase, ownership and disposition of the notes. This summary is based upon provisions of the U.S. Internal Revenue Code of 1986, as amended (the “Code”), applicable regulations, administrative rulings and judicial decisions, all as in effect as of the date of this prospectus supplement, any of which may subsequently be changed, possibly retroactively, or interpreted differently by the U.S. Internal Revenue Service (the “IRS”), so as to result in U.S. federal income tax consequences different from those discussed below. This summary deals only with notes held as capital assets within the meaning of Section 1221 of the Code (generally for investment purposes) by a beneficial owner who purchases notes for cash on original issuance at the initial offering price at which a substantial amount of the notes are sold for cash to persons other than bond houses, brokers, or similar persons or organizations acting in the capacity of underwriters, placement agents or wholesalers, which we refer to as the “issue price.” This summary does not address all aspects of U.S. federal income tax related to the purchase, ownership and disposition of the notes and does not address all tax consequences that may be relevant to holders in light of their personal circumstances or particular situations,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consequences to holders who may be subject to special tax treatment, including dealers in securities or currencies, banks and other financial institutions, regulated investment companies, real estate investment trusts, tax-exempt entities, insurance companies and traders in securities that elect to use a mark-to-market method of accounting for their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consequences to persons holding notes as a part of a hedging, integrated, conversion or constructive sale transaction or a straddle;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consequences to U.S. holders (as defined below) of notes whose “functional currency”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consequences to persons required for U.S. federal income tax purposes to conform the timing of income accruals with respect to the notes to their financial statements under Section 451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consequences to partnerships or other pass-through entities and their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consequences to certain former citizens or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federal alternative minimum tax consequences,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application of the Medicare tax on net investment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state, local or foreign tax consequences;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federal estate or gift tax consequences, if 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partnership (including any entity or arrangement treated as a partnership for U.S. federal income tax purposes) holds notes, the tax treatment of a partner will generally depend upon the status of the partner and the activities of the partnership. A beneficial owner that is a partnership and partners in such a partnership should consult their tax advisors. </w:t>
      </w:r>
    </w:p>
    <w:p>
      <w:pPr>
        <w:pStyle w:val="TextBody"/>
        <w:bidi w:val="0"/>
        <w:spacing w:before="240" w:after="0"/>
        <w:jc w:val="left"/>
        <w:rPr>
          <w:rFonts w:ascii="Times New Roman" w:hAnsi="Times New Roman"/>
          <w:b/>
          <w:sz w:val="20"/>
        </w:rPr>
      </w:pPr>
      <w:r>
        <w:rPr>
          <w:rFonts w:ascii="Times New Roman" w:hAnsi="Times New Roman"/>
          <w:b/>
          <w:sz w:val="20"/>
        </w:rPr>
        <w:t xml:space="preserve">THIS SUMMARY OF MATERIAL UNITED STATES FEDERAL INCOME TAX CONSIDERATIONS IS FOR GENERAL INFORMATION ONLY AND IS NOT TAX ADVICE FOR ANY PARTICULAR INVESTOR. THIS SUMMARY DOES NOT ADDRESS ALL U.S. FEDERAL TAX CONSIDERATIONS OR THE TAX CONSIDERATIONS ARISING UNDER THE LAWS OF ANY FOREIGN, STATE OR LOCAL JURISDICTION. IF YOU ARE CONSIDERING THE PURCHASE OF NOTES, YOU SHOULD CONSULT YOUR TAX ADVISORS CONCERNING THE U.S. FEDERAL INCOME AND OTHER TAX CONSEQUENCES TO YOU IN LIGHT OF YOUR OWN SPECIFIC SITUATION, AS WELL AS CONSEQUENCES ARISING UNDER THE LAWS OF ANY OTHER TAXING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this discussion, we use the term “U.S. holder” to refer to a beneficial owner of notes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any other entity or arrangement treated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it (i) is subject to the primary supervision of a court within the United States and one or more U.S. persons have the authority to control all substantial decisions of the trust, or (ii) has a valid election in effect under applicable U.S. Treasury Regulations to be treated as a U.S.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use the term “non-U.S. holder” to describe a beneficial owner (other than a partnership or other entity or arrangement treated as a partnership for U.S. federal income tax purposes) of notes that is not a U.S. holder. Non-U.S. holders should consult their tax advisors to determine the U.S. federal, state, local and other tax consequences that may be relevant to them.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Payments </w:t>
      </w:r>
    </w:p>
    <w:p>
      <w:pPr>
        <w:pStyle w:val="TextBody"/>
        <w:bidi w:val="0"/>
        <w:spacing w:before="120" w:after="0"/>
        <w:jc w:val="left"/>
        <w:rPr>
          <w:rFonts w:ascii="Times New Roman" w:hAnsi="Times New Roman"/>
          <w:sz w:val="20"/>
        </w:rPr>
      </w:pPr>
      <w:r>
        <w:rPr>
          <w:rFonts w:ascii="Times New Roman" w:hAnsi="Times New Roman"/>
          <w:sz w:val="20"/>
        </w:rPr>
        <w:t xml:space="preserve">In certain circumstances, we may be obligated to pay certain additional amounts on the notes. For example, if we are required to repurchase notes in connection with a Change of Control Triggering Event as described in “Description of the Notes—Change of Control Offer,” we must pay a 1% premium. In addition, if we exercise our option to redeem any Fixed Rate Notes prior to the applicable Par Call Date as described in “Description of the Notes—Optional Redemption,” we may be required to pay a redemption price in excess of the principal amount of such Fixed Rate Notes. The possibility of such payments may implicate special rules under U.S. Treasury Regulations governing “contingent payment debt instruments.” According to those regulations, the possibility that additional payments will be made will not cause the notes to be contingent payment debt instruments if, as of the date the notes are issued, there is only a remote chance that such payments will be made or certain other exceptions apply. We have determined and intend to take the position (and this discussion assumes) that the possibility of such events occurring will not subject the notes to the contingent payment debt instrument rules. </w:t>
      </w:r>
    </w:p>
    <w:p>
      <w:pPr>
        <w:pStyle w:val="TextBody"/>
        <w:bidi w:val="0"/>
        <w:spacing w:before="240" w:after="0"/>
        <w:jc w:val="left"/>
        <w:rPr>
          <w:rFonts w:ascii="Times New Roman" w:hAnsi="Times New Roman"/>
          <w:sz w:val="20"/>
        </w:rPr>
      </w:pPr>
      <w:r>
        <w:rPr>
          <w:rFonts w:ascii="Times New Roman" w:hAnsi="Times New Roman"/>
          <w:sz w:val="20"/>
        </w:rPr>
        <w:t xml:space="preserve">Our determination that the notes are not contingent payment debt instruments is binding on holders for U.S. federal income tax purposes unless they disclose their contrary positions to the IRS in the manner required by applicable U.S. Treasury Regulations. Our determination that the notes are not contingent payment debt instruments is not, however, binding on the IRS. If the IRS were to successfully challenge our determination and the notes were treated as contingent payment debt instruments, U.S. holders would be required, among other things, to (i) accrue interest income based on a projected payment schedule and comparable yield, which may be a higher rate than the stated interest rate on the notes, regardless of their method of tax accounting and (ii) possibly treat as ordinary income, rather than capital gain, some or all of any gain recognized on a sale, exchange, redemption or other taxable disposition of a note. In the event that any of the above contingencies were to occur, it would affect the character, amount and timing of the income recognized by a U.S. holder. </w:t>
      </w:r>
    </w:p>
    <w:p>
      <w:pPr>
        <w:pStyle w:val="TextBody"/>
        <w:bidi w:val="0"/>
        <w:spacing w:before="360" w:after="0"/>
        <w:jc w:val="left"/>
        <w:rPr>
          <w:rFonts w:ascii="Times New Roman" w:hAnsi="Times New Roman"/>
          <w:b/>
          <w:sz w:val="20"/>
        </w:rPr>
      </w:pPr>
      <w:r>
        <w:rPr>
          <w:rFonts w:ascii="Times New Roman" w:hAnsi="Times New Roman"/>
          <w:b/>
          <w:sz w:val="20"/>
        </w:rPr>
        <w:t xml:space="preserve">Consequences to 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Payments of Interest </w:t>
      </w:r>
    </w:p>
    <w:p>
      <w:pPr>
        <w:pStyle w:val="TextBody"/>
        <w:bidi w:val="0"/>
        <w:spacing w:before="120" w:after="0"/>
        <w:jc w:val="left"/>
        <w:rPr>
          <w:rFonts w:ascii="Times New Roman" w:hAnsi="Times New Roman"/>
          <w:sz w:val="20"/>
        </w:rPr>
      </w:pPr>
      <w:r>
        <w:rPr>
          <w:rFonts w:ascii="Times New Roman" w:hAnsi="Times New Roman"/>
          <w:sz w:val="20"/>
        </w:rPr>
        <w:t xml:space="preserve">It is anticipated, and this discussion assumes, that the notes will be issued with no more than a </w:t>
      </w:r>
      <w:r>
        <w:rPr>
          <w:rFonts w:ascii="Times New Roman" w:hAnsi="Times New Roman"/>
          <w:i/>
          <w:sz w:val="20"/>
        </w:rPr>
        <w:t xml:space="preserve">de minimis </w:t>
      </w:r>
      <w:r>
        <w:rPr>
          <w:rFonts w:ascii="Times New Roman" w:hAnsi="Times New Roman"/>
          <w:sz w:val="20"/>
        </w:rPr>
        <w:t xml:space="preserve">amount of original issue discount (“OID”) for U.S. federal income tax purposes, in which case interest on a note generally will be taxable to a U.S. holder as ordinary income at the time it is received or accrued in accordance with the U.S. holder’s usual method of accounting for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however, the issue price of the applicable series of notes is less than their stated principal amount and the difference is more than a </w:t>
      </w:r>
      <w:r>
        <w:rPr>
          <w:rFonts w:ascii="Times New Roman" w:hAnsi="Times New Roman"/>
          <w:i/>
          <w:sz w:val="20"/>
        </w:rPr>
        <w:t xml:space="preserve">de minimis </w:t>
      </w:r>
      <w:r>
        <w:rPr>
          <w:rFonts w:ascii="Times New Roman" w:hAnsi="Times New Roman"/>
          <w:sz w:val="20"/>
        </w:rPr>
        <w:t xml:space="preserve">amount (as set forth in the applicable U.S. Treasury Regulations), a U.S. holder of such series of notes generally will be required to include the difference in income as OID as it accrues on a constant yield-to-maturity basis (as set forth in the applicable U.S. Treasury Regulations) whether or not it receives cash payments and regardless of its method of tax accounting.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Exchange, Redemption or Other Taxable Disposition of Notes </w:t>
      </w:r>
    </w:p>
    <w:p>
      <w:pPr>
        <w:pStyle w:val="TextBody"/>
        <w:bidi w:val="0"/>
        <w:spacing w:before="120" w:after="0"/>
        <w:jc w:val="left"/>
        <w:rPr>
          <w:rFonts w:ascii="Times New Roman" w:hAnsi="Times New Roman"/>
          <w:sz w:val="20"/>
        </w:rPr>
      </w:pPr>
      <w:r>
        <w:rPr>
          <w:rFonts w:ascii="Times New Roman" w:hAnsi="Times New Roman"/>
          <w:sz w:val="20"/>
        </w:rPr>
        <w:t xml:space="preserve">A U.S. holder generally will recognize gain or loss upon the sale, exchange, redemption or other taxable disposition of a note equal to the difference between the amount realized and such U.S. holder’s adjusted tax basis in the note. The amount realized will equal the amount of the cash and the fair market value of any property received in exchange for the note (other than amounts attributable to accrued but unpaid interest, which amounts will be treated as ordinary interest income for U.S. federal income tax purposes to the extent not previously included in income). A U.S. holder’s tax basis in a note will generally be equal to the amount that such U.S. holder paid for the note, increased by OID included in income by the U.S. holder with respect to the note, if any. In general, any gain or loss recognized on a taxable disposition of the note will be capital gain or loss. If, at the time of the sale, exchange, redemption or other taxable disposition of the note, a U.S. holder is treated as holding the note for more than one year, such capital gain or loss will be long-term capital gain or loss. If the U.S. holder is treated as holding the note for one year or less, such capital gain or loss will be short-term capital gain or loss. In the case of certain non-corporate U.S. holders (including individuals), long-term capital gain generally is subject to U.S. federal income tax at a lower rate than short-term capital gain, which is taxed at ordinary income rates. A U.S. holder’s ability to deduct capital losses is subject to significant limitations under the Code.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reporting requirements generally will apply to payments of interest on the notes and to the proceeds of a sale, exchange, redemption or other taxable disposition of a note paid to a U.S. holder unless the U.S. holder is an exempt recipient. Backup withholding at the applicable rate will apply to those payments if the U.S. holder fails to provide its correct taxpayer identification number or certification of its exempt status (generally by providing an IRS Form W-9 or an approved substitute), or if the U.S. holder is notified by the IRS that the U.S. holder has failed to report in full payments of interest and dividend income. Backup withholding is not an additional tax. Any amounts withheld under the backup withholding rules will be allowed as a refund or a credit against a U.S. holder’s U.S. federal income tax liability, provided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Consequences to Non-U.S.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Payments of Interest </w:t>
      </w:r>
    </w:p>
    <w:p>
      <w:pPr>
        <w:pStyle w:val="TextBody"/>
        <w:bidi w:val="0"/>
        <w:spacing w:before="120" w:after="0"/>
        <w:jc w:val="left"/>
        <w:rPr>
          <w:rFonts w:ascii="Times New Roman" w:hAnsi="Times New Roman"/>
          <w:sz w:val="20"/>
        </w:rPr>
      </w:pPr>
      <w:r>
        <w:rPr>
          <w:rFonts w:ascii="Times New Roman" w:hAnsi="Times New Roman"/>
          <w:sz w:val="20"/>
        </w:rPr>
        <w:t xml:space="preserve">In general, payments of interest on the notes to a non-U.S. holder will be considered “portfolio interest” and, subject to the discussions below of income effectively connected with a U.S. trade or business, backup withholding, and the Foreign Account Tax Compliance Act, will not be subject to U.S. federal income or withholding tax,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does not directly or indirectly, actually or constructively, own 10% or more of the total combined voting power of all classes of our stock entitled to vote within the meaning of Section 871(h)(3)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not, for U.S. federal income tax purposes, a controlled foreign corporation that is related (actually or constructively) to us through stock ownership;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not a bank whose receipt of interest on a note is described in Section 881(c)(3)(A) of the Code;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(a) the non-U.S. holder provides its name, address and taxpayer identification number, if any, and certifies, under penalties of perjury, that it is not a U.S. person (which certification may be made on an IRS Form W-8BEN, W-8BEN-E or other applicable form) or (b) the non-U.S. holder holds the notes through certain foreign intermediaries or certain foreign partnerships, and the non-U.S. holder and the foreign intermediary or foreign partnership satisfy the certification requirements of applicable U.S. Treasury Regulations. Special certification rules apply to non-U.S. holders that are pass-through entities.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non-U.S. holder cannot satisfy the requirements described above, payments of interest generally will be subject to a 30% U.S. federal withholding tax, unless the non-U.S. holder provides us with a properly executed (i) IRS Form W-8BEN or W-8BEN-E (or other applicable form) claiming an exemption from or reduction in withholding under the benefit of an applicable income tax treaty or (ii) IRS Form W-8ECI (or other applicable form) stating that interest paid on the notes is not subject to withholding tax because it is effectively connected with the non-U.S. holder’s conduct of a trade or business within the United States and includable in the non-U.S. holder’s gross income. </w:t>
      </w:r>
    </w:p>
    <w:p>
      <w:pPr>
        <w:pStyle w:val="TextBody"/>
        <w:bidi w:val="0"/>
        <w:spacing w:before="240" w:after="0"/>
        <w:jc w:val="left"/>
        <w:rPr>
          <w:rFonts w:ascii="Times New Roman" w:hAnsi="Times New Roman"/>
          <w:sz w:val="20"/>
        </w:rPr>
      </w:pPr>
      <w:r>
        <w:rPr>
          <w:rFonts w:ascii="Times New Roman" w:hAnsi="Times New Roman"/>
          <w:sz w:val="20"/>
        </w:rPr>
        <w:t xml:space="preserve">If a non-U.S. holder is engaged in a trade or business within the United States and interest on the notes is effectively connected with the conduct of that trade or business and, if required by an applicable income tax treaty, is attributable to a U.S. permanent establishment or fixed base, then, although the non-U.S. holder will be exempt from the 30% withholding tax (provided the certification requirements discussed above are satisfied), the non-U.S. holder generally will be subject to U.S. federal income tax on that interest on a net income basis at regular U.S. federal income tax rates and generally in the same manner as if the non-U.S. holder were a U.S. holder. In addition, if a non-U.S. holder is a foreign corporation, it may be subject to a branch profits tax equal to 30% (or lesser rate under an applicable income tax treaty) of its effectively connected earnings and profits for the taxable year, subject to certain adjustments.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Exchange, Redemption or Other Taxable Disposition of Notes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regarding backup withholding and the Foreign Account Tax Compliance Act, gain realized by a non-U.S. holder on the sale, exchange, redemption or other taxable disposition of a note (other than with respect to payments attributable to accrued interest, which will be taxed as described above under “—Consequences to Non-U.S. Holders—Payments of Interest”) will not be subject to U.S. federal income tax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gain is effectively connected with the non-U.S. holder’s conduct of a trade or business within the United States (and, if required by an applicable income tax treaty, is attributable to a U.S. permanent establishment or fixed base);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an individual who is present in the United States for 183 days or more in the taxable year of that disposition and certain other conditions are met.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non-U.S. holder is described in the first bullet point above, it generally will be subject to tax on the net gain derived from the sale, exchange, redemption or other taxable disposition of the notes at regular U.S. federal income tax rates and generally in the same manner as if the non-U.S. holder were a U.S. holder. In addition, if a non-U.S. holder is a foreign corporation, it may be subject to a branch profits tax equal to 30% (or lesser rate under an applicable income tax treaty) of its effectively connected earnings and profits for the taxable year, subject to certain adjustments. If a non-U.S. holder is an individual described in the second bullet point above, such holder will be subject to a flat 30% tax (unless an applicable income tax treaty provides otherwise) on the gain derived from the sale, exchange, redemption or other taxable disposition, which may be offset by certain U.S. source capital losses.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Generally, we must report annually to the IRS and to non-U.S. holders the amount of interest paid to non-U.S. holders on the notes and the amount of tax, if any, withheld with respect to those payments. Copies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 returns reporting such interest payments and withholding may also be made available to the tax authorities in the country in which a non-U.S. holder resides under the provisions of an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In general, a non-U.S. holder will not be subject to backup withholding with respect to payments of interest that we make on the notes, provided the certification described above in the last bullet point under “—Consequences to Non-U.S. Holders—Payments of Interest” has been received and we do not have actual knowledge or reason to know that the holder is a U.S. person, as defined under the Code, who is not an exempt recipient. However, a non-U.S. holder will be subject to information reporting and, depending on the circumstances, backup withholding at the applicable rate with respect to payments of the proceeds of the sale of a note within the United States or conducted through certain U.S.-related financial intermediaries, unless the certification described above has been received, and the payor does not have actual knowledge or reason to know that a holder is a U.S. person, as defined under the Code, who is not an exempt recipient, or the non-U.S. holder otherwise establishes an exemption.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will be allowed as a refund or a credit against a non-U.S. holder’s U.S. federal income tax liability, provided the required information is timely furnished to the IRS. The backup withholding and information reporting rules are complex, and non-U.S. holders are urged to consult their tax advisors regarding application of these rules to their particular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Foreign Account Tax Compliance Act </w:t>
      </w:r>
    </w:p>
    <w:p>
      <w:pPr>
        <w:pStyle w:val="TextBody"/>
        <w:bidi w:val="0"/>
        <w:spacing w:before="120" w:after="0"/>
        <w:jc w:val="left"/>
        <w:rPr>
          <w:rFonts w:ascii="Times New Roman" w:hAnsi="Times New Roman"/>
          <w:sz w:val="20"/>
        </w:rPr>
      </w:pPr>
      <w:r>
        <w:rPr>
          <w:rFonts w:ascii="Times New Roman" w:hAnsi="Times New Roman"/>
          <w:sz w:val="20"/>
        </w:rPr>
        <w:t xml:space="preserve">Provisions of the Code commonly referred to as the Foreign Account Tax Compliance Act, or FATCA, generally impose a 30% withholding tax on payments of interest on the notes if paid to a foreign entity (including, in some cases, when such foreign entity is acting as an intermediary) unless (i) if the foreign entity is a “foreign financial institution,” the foreign entity undertakes certain due diligence, reporting, withholding, and certification obligations, (ii) if the foreign entity is a “non-financial foreign entity,” the foreign entity identifies certain of its U.S. investors or provides certification that it does not have any such investors, or (iii) the foreign entity is otherwise exempt from FATCA. </w:t>
      </w:r>
    </w:p>
    <w:p>
      <w:pPr>
        <w:pStyle w:val="TextBody"/>
        <w:bidi w:val="0"/>
        <w:spacing w:before="240" w:after="0"/>
        <w:jc w:val="left"/>
        <w:rPr>
          <w:rFonts w:ascii="Times New Roman" w:hAnsi="Times New Roman"/>
          <w:sz w:val="20"/>
        </w:rPr>
      </w:pPr>
      <w:r>
        <w:rPr>
          <w:rFonts w:ascii="Times New Roman" w:hAnsi="Times New Roman"/>
          <w:sz w:val="20"/>
        </w:rPr>
        <w:t xml:space="preserve">While withholding under FATCA may also apply to gross proceeds from the sale, exchange or other taxable disposition of the notes (including settlement of the notes at maturity), under proposed U.S. Treasury Regulations, withholding on payments of gross proceeds is not required. Although such regulations are not final, applicable withholding agents may rely on the proposed regulations until final regulations are issued. </w:t>
      </w:r>
    </w:p>
    <w:p>
      <w:pPr>
        <w:pStyle w:val="TextBody"/>
        <w:bidi w:val="0"/>
        <w:spacing w:before="240" w:after="0"/>
        <w:jc w:val="left"/>
        <w:rPr>
          <w:rFonts w:ascii="Times New Roman" w:hAnsi="Times New Roman"/>
          <w:sz w:val="20"/>
        </w:rPr>
      </w:pPr>
      <w:r>
        <w:rPr>
          <w:rFonts w:ascii="Times New Roman" w:hAnsi="Times New Roman"/>
          <w:sz w:val="20"/>
        </w:rPr>
        <w:t xml:space="preserve">An intergovernmental agreement between the United States and an applicable foreign country may modify those requirements. If withholding under FATCA is required on any payment related to the notes, investors not otherwise subject to withholding (or that otherwise would be entitled to a reduced rate of withholding) on such payment may be required to seek a refund or credit from the IRS to obtain the benefit of such exemption (or reduction). Prospective investors are encouraged to consult their own tax advisors regarding the possible implications of FATCA on their investment in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rom72941_9"/>
      <w:bookmarkEnd w:id="11"/>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We and J.P. Morgan Securities LLC, as representative for the underwriters for this offering of notes, have entered into an underwriting agreement, dated     , 2026, with respect to the notes. Under the terms and subject to the conditions contained in the underwriting agreement, we have agreed to sell to the underwriters named below, and each underwriter has severally agreed to purchase, at the initial public offering price less the underwriting discounts set forth on the cover page of this prospectus supplement, the aggregate principal amounts of the notes listed next to its name in the following table.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62"/>
        <w:gridCol w:w="181"/>
        <w:gridCol w:w="143"/>
        <w:gridCol w:w="1043"/>
        <w:gridCol w:w="60"/>
        <w:gridCol w:w="181"/>
        <w:gridCol w:w="143"/>
        <w:gridCol w:w="1043"/>
        <w:gridCol w:w="60"/>
        <w:gridCol w:w="181"/>
        <w:gridCol w:w="143"/>
        <w:gridCol w:w="1043"/>
        <w:gridCol w:w="60"/>
        <w:gridCol w:w="180"/>
        <w:gridCol w:w="143"/>
        <w:gridCol w:w="1043"/>
        <w:gridCol w:w="60"/>
        <w:gridCol w:w="181"/>
        <w:gridCol w:w="143"/>
        <w:gridCol w:w="1043"/>
        <w:gridCol w:w="69"/>
      </w:tblGrid>
      <w:tr>
        <w:trPr/>
        <w:tc>
          <w:tcPr>
            <w:tcW w:w="3062"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06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181" w:type="dxa"/>
            <w:tcBorders/>
            <w:vAlign w:val="bottom"/>
          </w:tcPr>
          <w:p>
            <w:pPr>
              <w:pStyle w:val="TableContents"/>
              <w:bidi w:val="0"/>
              <w:spacing w:before="0" w:after="283"/>
              <w:jc w:val="left"/>
              <w:rPr/>
            </w:pPr>
            <w:r>
              <w:rPr/>
              <w:t>  </w:t>
            </w:r>
          </w:p>
        </w:tc>
        <w:tc>
          <w:tcPr>
            <w:tcW w:w="11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 of</w:t>
              <w:br/>
              <w:t>Floating</w:t>
              <w:br/>
              <w:t>Rate Notes</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 of</w:t>
              <w:br/>
              <w:t>20  Notes</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 of</w:t>
              <w:br/>
              <w:t>20  Notes</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 of</w:t>
              <w:br/>
              <w:t>20  Notes</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 of</w:t>
              <w:br/>
              <w:t>20  Notes</w:t>
            </w:r>
          </w:p>
        </w:tc>
        <w:tc>
          <w:tcPr>
            <w:tcW w:w="69" w:type="dxa"/>
            <w:tcBorders/>
            <w:vAlign w:val="bottom"/>
          </w:tcPr>
          <w:p>
            <w:pPr>
              <w:pStyle w:val="TableContents"/>
              <w:bidi w:val="0"/>
              <w:spacing w:before="0" w:after="283"/>
              <w:jc w:val="left"/>
              <w:rPr/>
            </w:pPr>
            <w:r>
              <w:rPr/>
              <w:t> </w:t>
            </w:r>
          </w:p>
        </w:tc>
      </w:tr>
      <w:tr>
        <w:trPr/>
        <w:tc>
          <w:tcPr>
            <w:tcW w:w="3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18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43"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3062" w:type="dxa"/>
            <w:tcBorders/>
          </w:tcPr>
          <w:p>
            <w:pPr>
              <w:pStyle w:val="TableContents"/>
              <w:bidi w:val="0"/>
              <w:spacing w:before="0" w:after="0"/>
              <w:jc w:val="left"/>
              <w:rPr>
                <w:rFonts w:ascii="Times New Roman" w:hAnsi="Times New Roman"/>
                <w:sz w:val="20"/>
              </w:rPr>
            </w:pPr>
            <w:r>
              <w:rPr>
                <w:rFonts w:ascii="Times New Roman" w:hAnsi="Times New Roman"/>
                <w:sz w:val="20"/>
              </w:rPr>
              <w:t>Barclays Capital Inc.</w:t>
            </w:r>
          </w:p>
        </w:tc>
        <w:tc>
          <w:tcPr>
            <w:tcW w:w="18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3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BNP Paribas Securities Corp.</w:t>
            </w:r>
          </w:p>
        </w:tc>
        <w:tc>
          <w:tcPr>
            <w:tcW w:w="18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3062"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18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3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18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3062"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18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3062"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8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43"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3062"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104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104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104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104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1043"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provides that the underwriters are obligated to purchase all of the notes if they purchase any of the notes. The underwriting agreement also provides that if an underwriter defaults, the purchase commitments of non-defaulting underwriters may be increased or the offering of the notes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Notes sold by the underwriters to the public will initially be offered at the public offering price set forth on the cover of this prospectus supplement. Any notes sold by the underwriters to securities dealers may be sold at a discount from the public offering price of up to  % of the principal amount of the Floating Rate Notes, up to  % of the principal amount of the 20  Notes, up to  % of the principal amount of the 20  Notes, up to  % of the principal amount of the 20  Notes and up to   % of the principal amount of the 20  Notes. Any such securities dealers may resell the notes purchased from the underwriters to certain other brokers or dealers at a discount from the public offering price of up to  % of the principal amount of the Floating Rate Notes, up to  % of the principal amount of the 20  Notes, up to  % of the principal amount of the 20  Notes, up to  % of the principal amount of the 20  Notes and up to   % of the principal amount of the 20  Notes. After the initial public offering of the notes, the underwriters may change the public offering price and concession and discount to brokers or dealers. The offering of the notes by the underwriters is subject to receipt and acceptance and is subject to the underwriters’ right to reject any order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our out-of-pocket expenses for this offering, excluding the underwriting discounts, will be approximately $  . </w:t>
      </w:r>
    </w:p>
    <w:p>
      <w:pPr>
        <w:pStyle w:val="TextBody"/>
        <w:bidi w:val="0"/>
        <w:spacing w:before="240" w:after="0"/>
        <w:jc w:val="left"/>
        <w:rPr>
          <w:rFonts w:ascii="Times New Roman" w:hAnsi="Times New Roman"/>
          <w:sz w:val="20"/>
        </w:rPr>
      </w:pPr>
      <w:r>
        <w:rPr>
          <w:rFonts w:ascii="Times New Roman" w:hAnsi="Times New Roman"/>
          <w:sz w:val="20"/>
        </w:rPr>
        <w:t xml:space="preserve">The notes are new issues of securities with no established trading markets. Certain of the underwriters have advised us that they may make a market in the notes after completion of the offering, but they will not be obligated to do so and may in their sole discretion discontinue any market-making activities at any time without notice. We cannot assure you that a liquid trading market will develop for any series of notes, that you will be able to sell your notes at a particular time or that the prices you receive when you sell your notes will be favorable.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several underwriters against liabilities under the Securities Act or contribute to payments which the underwriters may be required to make in that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expect that delivery of the notes will be made to investors on or about    , 2026, which will be the    business day following the date of this prospectus supplement (this settlement cycle being referred to as “T+ ”). Pursuant to Rule 15c6-1 under the Exchange Act, trades in the secondary market are generally required to settle in one business day unless the parties to any such trade expressly agree otherwise. Accordingly, purchasers who wish to trade the notes prior to one business day before delivery of the notes will be required, by virtue of the fact that the notes initially will settle in T+ , to specify alternative settlement arrangements to prevent a failed settlement, and should consult their advisors.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and their respective affiliates have, from time to time, performed, and may in the future perform, various financial advisory, commercial banking and investment banking services in the ordinary course of business for us and our affiliates, for which they received or will receive customary fees and expense reimbursement.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has a lending relationship with us, certain of those underwriters or their affiliates routinely hedge, certain other of those underwriters or their affiliates are likely to hedge or otherwise reduce,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the underwriters may engage in stabilizing transactions, over-allotment transactions, syndicate covering transactions and penalty bids.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Stabilizing transactions permit bids to purchase the underlying security so long as the stabilizing bids do not exceed a specified maximum.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Over-allotment involves sales by the underwriters of notes in excess of the principal amount of the notes the underwriters are obligated to purchase, which creates a syndicate short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Syndicate covering transactions involve purchases of the notes in the open market after the distribution has been completed in order to cover syndicate short positions. A short position is more likely to be created if the underwriters are concerned that there may be downward pressure on the price of the notes in the open market after pricing that could adversely affect investors who purchase in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Penalty bids permit the representative to reclaim a selling concession from a syndicate member when the notes originally sold by the syndicate member are purchased in a stabilizing or syndicate covering transaction to cover syndicate short positions.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stabilizing transactions, over-allotment transactions, syndicate covering transactions and penalty bids may have the effect of raising or maintaining the market price of the notes or preventing or retarding a decline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market price of the notes. As a result, the price of the notes may be higher than the price that might otherwise exist in the open market. These transactions, if commenced, may be discontinued by the underwriters in their sole discretion at any time and without notice.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ERISA Investors </w:t>
      </w:r>
    </w:p>
    <w:p>
      <w:pPr>
        <w:pStyle w:val="TextBody"/>
        <w:bidi w:val="0"/>
        <w:spacing w:before="120" w:after="0"/>
        <w:jc w:val="left"/>
        <w:rPr>
          <w:rFonts w:ascii="Times New Roman" w:hAnsi="Times New Roman"/>
          <w:sz w:val="20"/>
        </w:rPr>
      </w:pPr>
      <w:r>
        <w:rPr>
          <w:rFonts w:ascii="Times New Roman" w:hAnsi="Times New Roman"/>
          <w:sz w:val="20"/>
        </w:rPr>
        <w:t xml:space="preserve">Each purchaser of the notes that is (1) an employee benefit plan subject to Title I of the Employee Retirement Income Security Act of 1974, as amended (“ERISA”), (2) a plan or account subject to Section 4975 of the Code or (3) an entity deemed to hold “plan assets” of any such employee benefit plan, plan or account, by acceptance of a note, will be deemed to have represented and warranted that a fiduciary acting on its behalf is causing it to purchase the notes and that such fiduciary: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 bank, an insurance carrier, a registered investment adviser, a registered broker-dealer or an independent fiduciary with at least $50 million of assets under management or control as specified in 29 CFR Section 2510.3-21(c)(1)(i) (excluding an IRA owner or a relative of an IRA owner if the purchaser is an IRA);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independent (for purposes of 29 CFR Section 2510.3-21(c)(1)) of Analog Devices, each underwriter and their respective affiliates (the “Transaction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capable of evaluating investment risks independently, both in general and with regard to particular transactions and investment strategies, including the purchaser’s transactions with the Transaction Parties 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been advised that none of the Transaction Parties has undertaken or will undertake to provide impartial investment advice, or has given or will give advice in a fiduciary capacity, in connection with the purchaser’s transactions with the Transaction Parties contemplated 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 “fiduciary” under Section 3(21)(A) of ERISA or Section 4975(e)(3) of the Code, or both, as applicable, with respect to, and is responsible for exercising independent judgment in evaluating, the purchaser’s transactions with the Transaction Parties contemplated hereby;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understands and acknowledges the existence and nature of the underwriting discount, commissions and fees, and any other related fees, compensation arrangements or financial interests, described in this prospectus supplement; and understands, acknowledges and agrees that no such fee or other compensation is a fee or other compensation for the provision of investment advice, and that none of the Transaction Parties, nor any of their respective directors, officers, members, partners, employees, principals or agents has received or will receive a fee or other compensation from the purchaser or such fiduciary for the provision of investment advice (rather than other services) in connection with the purchaser’s transactions with the Transaction Parties contemplated hereby.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sz w:val="20"/>
        </w:rPr>
      </w:pPr>
      <w:r>
        <w:rPr>
          <w:rFonts w:ascii="Times New Roman" w:hAnsi="Times New Roman"/>
          <w:b/>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sold in Canada only to purchasers purchasing, or deemed to be purchasing, as principal that are accredited investors, as defined in National Instrument 45-106 </w:t>
      </w:r>
      <w:r>
        <w:rPr>
          <w:rFonts w:ascii="Times New Roman" w:hAnsi="Times New Roman"/>
          <w:i/>
          <w:sz w:val="20"/>
        </w:rPr>
        <w:t xml:space="preserve">Prospectus Exemptions </w:t>
      </w:r>
      <w:r>
        <w:rPr>
          <w:rFonts w:ascii="Times New Roman" w:hAnsi="Times New Roman"/>
          <w:sz w:val="20"/>
        </w:rPr>
        <w:t xml:space="preserve">or subsection 73.3(1) of the </w:t>
      </w:r>
      <w:r>
        <w:rPr>
          <w:rFonts w:ascii="Times New Roman" w:hAnsi="Times New Roman"/>
          <w:i/>
          <w:sz w:val="20"/>
        </w:rPr>
        <w:t xml:space="preserve">Securities Act </w:t>
      </w:r>
      <w:r>
        <w:rPr>
          <w:rFonts w:ascii="Times New Roman" w:hAnsi="Times New Roman"/>
          <w:sz w:val="20"/>
        </w:rPr>
        <w:t xml:space="preserve">(Ontario), and are permitted clients, as defined in National Instrument 31-103 </w:t>
      </w:r>
      <w:r>
        <w:rPr>
          <w:rFonts w:ascii="Times New Roman" w:hAnsi="Times New Roman"/>
          <w:i/>
          <w:sz w:val="20"/>
        </w:rPr>
        <w:t>Registration Requirements, Exemptions and Ongoing Registrant Obligations</w:t>
      </w:r>
      <w:r>
        <w:rPr>
          <w:rFonts w:ascii="Times New Roman" w:hAnsi="Times New Roman"/>
          <w:sz w:val="20"/>
        </w:rPr>
        <w:t xml:space="preserve">. Any resale of the notes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and the accompanying prospectus (including any amendments to the foregoing) contain a misrepresentation, provided that the remedies for rescission or damages are exercised by the purchaser within the time limit prescribed by the securities legislation of the purchaser’s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w:t>
      </w:r>
      <w:r>
        <w:rPr>
          <w:rFonts w:ascii="Times New Roman" w:hAnsi="Times New Roman"/>
          <w:i/>
          <w:sz w:val="20"/>
        </w:rPr>
        <w:t xml:space="preserve">Underwriting Conflicts </w:t>
      </w:r>
      <w:r>
        <w:rPr>
          <w:rFonts w:ascii="Times New Roman" w:hAnsi="Times New Roman"/>
          <w:sz w:val="20"/>
        </w:rPr>
        <w:t xml:space="preserve">(“NI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European Economic Area (the “EEA”). For these purposes, a retail investor means a person who is one (or more)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retail client as defined in point (11) of Article 4(1) of Directive 2014/65/EU (as amended, “MiFID II”);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customer within the meaning of Directive (EU) 2016/97 (as amended, the “Insurance Distribution Directive”), where that customer would not qualify as a professional client as defined in point (10) of Article 4(1) of MiFID II;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 qualified investor as defined in Regulation (EU) 2017/1129 (as amended, the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Neither this prospectus supplement nor the accompanying prospectus is a prospectus for the purposes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This EEA selling restriction is in addition to any other selling restrictions set out in this prospectus supplement and the accompanying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United Kingdom. For these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expression “retail investor” means a person who is neither: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8"/>
        <w:gridCol w:w="8575"/>
      </w:tblGrid>
      <w:tr>
        <w:trPr/>
        <w:tc>
          <w:tcPr>
            <w:tcW w:w="112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professional client as defined in point (8) of Article 2(1) of Regulation (EU) No. 600/2014 as it forms part of domestic law by virtue of the European Union (Withdrawal) Act 2018 (the “EUWA”); nor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8"/>
        <w:gridCol w:w="8576"/>
      </w:tblGrid>
      <w:tr>
        <w:trPr/>
        <w:tc>
          <w:tcPr>
            <w:tcW w:w="112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qualified investor as defined in paragraph 15 of Schedule 1 to the Public Offers and Admissions to Trading Regulations 2024 (“POATRs”);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expression “offer” includes the communication in any form and by any means of sufficient information on the terms of the offer and the notes to be offered so as to enable an investor to decide to buy or subscribe the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Consequently, no disclosure document required by the FCA Product Disclosure Sourcebook (“DISC”) for offering, selling or distributing the notes or otherwise making them available to retail investors in the United Kingdom has been prepared and therefore offering, selling or distributing the notes or otherwise making them available to any retail investor in the United Kingdom may be unlawful under DISC and the Consumer Composite Investments (Designated Activities) Regulations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prospectus supplement and the accompanying prospectus have been prepared on the basis that any offer of the notes in the United Kingdom will be made pursuant to an exception from the prohibition on offers of notes to the public under the POATRs. </w:t>
      </w:r>
    </w:p>
    <w:p>
      <w:pPr>
        <w:pStyle w:val="TextBody"/>
        <w:bidi w:val="0"/>
        <w:spacing w:before="240" w:after="0"/>
        <w:jc w:val="left"/>
        <w:rPr>
          <w:rFonts w:ascii="Times New Roman" w:hAnsi="Times New Roman"/>
          <w:sz w:val="20"/>
        </w:rPr>
      </w:pPr>
      <w:r>
        <w:rPr>
          <w:rFonts w:ascii="Times New Roman" w:hAnsi="Times New Roman"/>
          <w:sz w:val="20"/>
        </w:rPr>
        <w:t xml:space="preserve">In the United Kingdom, this prospectus supplement and the accompanying prospectus are being distributed only to, and are directed only at (i) persons having professional experience in matters relating to investments falling within Article 19(5) of the Financial Services and Markets Act 2000 (Financial Promotion) Order 2005 (as amended, the “Order”); (ii) persons falling within the meaning of Article 49(2)(a) to (d) (“high net worth companies, unincorporated associations etc.”) of the Order; (iii) persons outside the United Kingdom or (iv)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In the United Kingdom, the notes or any investment or investment activity to which this prospectus supplement and the accompanying prospectus relate are available only to, and will be engaged in only with, Relevant Persons. Any person in the United Kingdom that is not a Relevant Person should not act or rely on this prospectus supplement or the accompanying prospectus or any of their contents. </w:t>
      </w:r>
    </w:p>
    <w:p>
      <w:pPr>
        <w:pStyle w:val="TextBody"/>
        <w:bidi w:val="0"/>
        <w:spacing w:before="240" w:after="0"/>
        <w:jc w:val="left"/>
        <w:rPr>
          <w:rFonts w:ascii="Times New Roman" w:hAnsi="Times New Roman"/>
          <w:sz w:val="20"/>
        </w:rPr>
      </w:pPr>
      <w:r>
        <w:rPr>
          <w:rFonts w:ascii="Times New Roman" w:hAnsi="Times New Roman"/>
          <w:sz w:val="20"/>
        </w:rPr>
        <w:t xml:space="preserve">This UK selling restriction is in addition to any other selling restrictions set out in this prospectus supplement and the accompanying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(i) The notes have not been offered or sold and will not be offered or sold in Hong Kong, by means of any document, other than (a) to “professional investors” as defined in the Securities and Futures Ordinance (Cap. 571 of the laws of Hong Kong) (the “SFO”) and any rules made thereunder; or (b) in other circumstances which do not result in the document being a “prospectus” as defined in the Companies (Winding Up and Miscellaneous Provisions) Ordinance (Cap. 32 of the Laws of Hong Kong) (the “CO”) or which do not constitute an offer to the public within the meaning of the CO; and, (ii) whether in Hong Kong or elsewhere, any advertisement, invitation or document relating to the notes, has been issued or is in the possession of any person for the purposes of issue, and will not be issued or come into the possession of any person for the purposes of issue,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has not been reviewed or approved by any regulatory authorities in Hong Kong, including the SFO and the Companies Registry of Hong Kong and neither has it been registered with the Registrar of Companies in Hong Kong. Accordingly, this prospectus supplement may not be issued, circulated or distributed (in whole or in part) in Hong Kong or be used for any purpose in Hong Kong, and the notes may not be offered for subscription to members of the public in Hong Kong. Each person acquiring the notes will be required, and is deemed by the acquisition of the notes, to confirm that such person is aware of the restriction on offers of the notes described in this prospectus supplement and the relevant offering documents and that such person is not acquiring, and has not been offered any notes in circumstances that contravene any such restrictions. You are advised to exercise caution in relation to the offer. If you are in any doubt about any of the contents of this prospectus supplement, you should obtain independent professional advice.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under the Financial Instruments and Exchange Act of Japan (Act No. 25 of 1948, as amended, the “FIEA”) and, accordingly, will not be offered or sold, directly or indirectly, in Japan or to, or for the benefit of, any Japanese Person or to others for reoffering or resale, directly or indirectly, in Japan or to, or for the benefit of, any Japanese Person, except pursuant to an exemption from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registration requirements of, and otherwise in compliance with, the FIEA and any other applicable laws, regulations and governmental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have not been registered as a prospectus with the Monetary Authority of Singapore. Accordingly, this prospectus supplement,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notes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275(1A) or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w:t>
            </w:r>
          </w:p>
        </w:tc>
      </w:tr>
    </w:tbl>
    <w:p>
      <w:pPr>
        <w:pStyle w:val="TextBody"/>
        <w:bidi w:val="0"/>
        <w:spacing w:before="240" w:after="0"/>
        <w:jc w:val="left"/>
        <w:rPr>
          <w:rFonts w:ascii="Times New Roman" w:hAnsi="Times New Roman"/>
          <w:sz w:val="20"/>
        </w:rPr>
      </w:pPr>
      <w:r>
        <w:rPr>
          <w:rFonts w:ascii="Times New Roman" w:hAnsi="Times New Roman"/>
          <w:i/>
          <w:sz w:val="20"/>
        </w:rPr>
        <w:t>Singapore SFA Product Classification</w:t>
      </w:r>
      <w:r>
        <w:rPr>
          <w:rFonts w:ascii="Times New Roman" w:hAnsi="Times New Roman"/>
          <w:sz w:val="20"/>
        </w:rPr>
        <w:t xml:space="preserve">: solely for the purposes of its obligations pursuant to sections 309B(1)(a) and 309B(1)(c) of the SFA, we have determined and hereby notified all relevant persons (as defined in Section 309A(1)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are not intended to constitute an offer or solicitation to purchase or invest in the notes in Switzerland. The notes may not be publicly offered, directly or indirectly, in Switzerland within the meaning of the Swiss Financial Services Act (“FinSA”), and no application has or will be made to admit the notes to trading on any trading venue (exchange or multilateral trading facility)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Switzerland. Neither this prospectus supplement, the accompanying prospectus nor any other offering or marketing material relating to the notes constitutes a prospectus pursuant to the FinSA, and neither this prospectus supplement, the accompanying prospectus nor any other offering or marketing material relating to the notes may be publicly distributed or otherwise made publicly available in Switzerland.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Taiwan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or filed with, or approved by,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or will be authorized to offer, sell, give advice regarding or otherwise intermediate the offering and sale of the notes in Taiwan.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United Arab Emirates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 and sale of securities. Further, this prospectus supplement and the accompanying prospectus do not constitute a public offer of securities in the United Arab Emirates (including the Dubai International Financial Centre) and are not intended to be a public offer. This prospectus supplement and the accompanying prospectus have not been approved by or filed with the Central Bank of the United Arab Emirates, the Securities and Commodities Authority or the Dubai Financial Services Authority.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Dubai International Financial Centre (“DIFC”)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relate to an Exempt Offer in accordance with the Markets Rules 2012 of the Dubai Financial Services Authority (“DFSA”). This prospectus supplement and the accompanying prospectus are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or the accompanying prospectus nor taken steps to verify the information set forth herein and has no responsibility for this prospectus supplement or the accompanying prospectus. The notes may be illiquid and/or subject to restrictions on their resale. Prospective purchasers of the notes offered should conduct their own due diligence on the notes. If you do not understand the contents of this prospectus supplement or the accompanying prospectus, you should consult an authorized financial advisor. </w:t>
      </w:r>
    </w:p>
    <w:p>
      <w:pPr>
        <w:pStyle w:val="TextBody"/>
        <w:bidi w:val="0"/>
        <w:spacing w:before="240" w:after="0"/>
        <w:jc w:val="left"/>
        <w:rPr>
          <w:rFonts w:ascii="Times New Roman" w:hAnsi="Times New Roman"/>
          <w:sz w:val="20"/>
        </w:rPr>
      </w:pPr>
      <w:r>
        <w:rPr>
          <w:rFonts w:ascii="Times New Roman" w:hAnsi="Times New Roman"/>
          <w:sz w:val="20"/>
        </w:rPr>
        <w:t xml:space="preserve">In relation to its use in the DIFC, this prospectus supplement and the accompanying prospectus are strictly private and confidential and are being distributed to a limited number of investors and must not be provided to any person other than the original recipient and may not be reproduced or used for any other purpose. The interests in the notes may not be offered or sold directly or indirectly to the public in the DIFC.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South Korea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with the Financial Services Commission of Korea under the Financial Investment Services and Capital Markets Act of Korea. Accordingly, the notes have not been and will not be offered, sold or delivered, directly or indirectly, in Korea or to, or for the account or benefit of, any resident of Korea (as defined in the Foreign Exchange Transactions Law of Korea and its Enforcement Decree) or to others for re-offering or resale, except as otherwise permitted by applicable Korean laws and regulations. Furthermore, the notes may not be re-sold to South Korean residents unless the purchaser of the notes complies with all applicable regulatory requirements (including but not limited to government approval requirements under the Foreign Exchange Transaction Law and its subordinate decrees and regulations) in connection with their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rom72941_10"/>
      <w:bookmarkEnd w:id="1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 connection with the offering of the notes will be passed upon for us by Sidley Austin LLP. The underwriters have been represented by Cravath, Swaine &amp; Moore LLP. </w:t>
      </w:r>
    </w:p>
    <w:p>
      <w:pPr>
        <w:pStyle w:val="TextBody"/>
        <w:bidi w:val="0"/>
        <w:spacing w:before="480" w:after="0"/>
        <w:jc w:val="center"/>
        <w:rPr>
          <w:rFonts w:ascii="Times New Roman" w:hAnsi="Times New Roman"/>
          <w:b/>
          <w:sz w:val="20"/>
        </w:rPr>
      </w:pPr>
      <w:bookmarkStart w:id="13" w:name="supprom72941_11"/>
      <w:bookmarkEnd w:id="1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Analog Devices, Inc. appearing in Analog Devices, Inc.’s Annual Report (Form 10-K) for the year ended November 1, 2025 and the effectiveness of Analog Devices, Inc.’s internal control over financial reporting as of November 1, 2025,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 </w:t>
      </w:r>
    </w:p>
    <w:p>
      <w:pPr>
        <w:pStyle w:val="TextBody"/>
        <w:bidi w:val="0"/>
        <w:spacing w:before="480" w:after="0"/>
        <w:jc w:val="center"/>
        <w:rPr>
          <w:rFonts w:ascii="Times New Roman" w:hAnsi="Times New Roman"/>
          <w:b/>
          <w:sz w:val="20"/>
        </w:rPr>
      </w:pPr>
      <w:bookmarkStart w:id="14" w:name="supprom72941_12"/>
      <w:bookmarkEnd w:id="1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http://www.analog.com. The information contained on, or that can be accessed through, our website is not a part of this prospectus supplement. We have included our website address in this prospectus supplement solely as an inactive textual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upprom72941_13"/>
      <w:bookmarkEnd w:id="15"/>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supplement is considered to be part of this prospectus supplement and the accompanying prospectus. 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(File No. 001-07819) and any future filings that we make with the SEC under Sections 13(a), 13(c), 14 or 15(d) of the Exchange Act, until the offering of the notes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November 1, 2025, as filed with the SEC on November  25, 2025, including the information specifically incorporated by reference into the Annual Report on </w:t>
            </w:r>
            <w:hyperlink r:id="rId4">
              <w:r>
                <w:rPr>
                  <w:rStyle w:val="InternetLink"/>
                  <w:rFonts w:ascii="Times New Roman" w:hAnsi="Times New Roman"/>
                  <w:sz w:val="20"/>
                </w:rPr>
                <w:t>Form 10-K</w:t>
              </w:r>
            </w:hyperlink>
            <w:r>
              <w:rPr>
                <w:rFonts w:ascii="Times New Roman" w:hAnsi="Times New Roman"/>
                <w:sz w:val="20"/>
              </w:rPr>
              <w:t xml:space="preserve"> from our Definitive Proxy Statement on </w:t>
            </w:r>
            <w:hyperlink r:id="rId5">
              <w:r>
                <w:rPr>
                  <w:rStyle w:val="InternetLink"/>
                  <w:rFonts w:ascii="Times New Roman" w:hAnsi="Times New Roman"/>
                  <w:sz w:val="20"/>
                </w:rPr>
                <w:t>Schedule 14A</w:t>
              </w:r>
            </w:hyperlink>
            <w:r>
              <w:rPr>
                <w:rFonts w:ascii="Times New Roman" w:hAnsi="Times New Roman"/>
                <w:sz w:val="20"/>
              </w:rPr>
              <w:t xml:space="preserve"> for our 2026 Annual Meeting of Stockholders, as filed with the SEC on January 23,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Quarterly Reports on Form 10-Q for the fiscal quarter ended January 31, 2026, as filed with the SEC on </w:t>
            </w:r>
            <w:hyperlink r:id="rId6">
              <w:r>
                <w:rPr>
                  <w:rStyle w:val="InternetLink"/>
                  <w:rFonts w:ascii="Times New Roman" w:hAnsi="Times New Roman"/>
                  <w:sz w:val="20"/>
                </w:rPr>
                <w:t>February 18, 2026</w:t>
              </w:r>
            </w:hyperlink>
            <w:r>
              <w:rPr>
                <w:rFonts w:ascii="Times New Roman" w:hAnsi="Times New Roman"/>
                <w:sz w:val="20"/>
              </w:rPr>
              <w:t xml:space="preserve">, for the fiscal quarter ended May 2, 2026, as filed with the SEC on </w:t>
            </w:r>
            <w:hyperlink r:id="rId7">
              <w:r>
                <w:rPr>
                  <w:rStyle w:val="InternetLink"/>
                  <w:rFonts w:ascii="Times New Roman" w:hAnsi="Times New Roman"/>
                  <w:sz w:val="20"/>
                </w:rPr>
                <w:t>May 20, 2026</w:t>
              </w:r>
            </w:hyperlink>
            <w:r>
              <w:rPr>
                <w:rFonts w:ascii="Times New Roman" w:hAnsi="Times New Roman"/>
                <w:sz w:val="20"/>
              </w:rPr>
              <w:t xml:space="preserve"> and for the fiscal quarter ended August 1, 2026, as filed with the SEC on </w:t>
            </w:r>
            <w:hyperlink r:id="rId8">
              <w:r>
                <w:rPr>
                  <w:rStyle w:val="InternetLink"/>
                  <w:rFonts w:ascii="Times New Roman" w:hAnsi="Times New Roman"/>
                  <w:sz w:val="20"/>
                </w:rPr>
                <w:t>August 19,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as filed with the SEC on </w:t>
            </w:r>
            <w:hyperlink r:id="rId9">
              <w:r>
                <w:rPr>
                  <w:rStyle w:val="InternetLink"/>
                  <w:rFonts w:ascii="Times New Roman" w:hAnsi="Times New Roman"/>
                  <w:sz w:val="20"/>
                </w:rPr>
                <w:t>January 23, 2026</w:t>
              </w:r>
            </w:hyperlink>
            <w:r>
              <w:rPr>
                <w:rFonts w:ascii="Times New Roman" w:hAnsi="Times New Roman"/>
                <w:sz w:val="20"/>
              </w:rPr>
              <w:t xml:space="preserve"> (Item 5.02 only), </w:t>
            </w:r>
            <w:hyperlink r:id="rId10">
              <w:r>
                <w:rPr>
                  <w:rStyle w:val="InternetLink"/>
                  <w:rFonts w:ascii="Times New Roman" w:hAnsi="Times New Roman"/>
                  <w:sz w:val="20"/>
                </w:rPr>
                <w:t>February  18, 2026</w:t>
              </w:r>
            </w:hyperlink>
            <w:r>
              <w:rPr>
                <w:rFonts w:ascii="Times New Roman" w:hAnsi="Times New Roman"/>
                <w:sz w:val="20"/>
              </w:rPr>
              <w:t xml:space="preserve"> (Item 8.01 and Exhibit 99.2 of Item 9.01 only), </w:t>
            </w:r>
            <w:hyperlink r:id="rId11">
              <w:r>
                <w:rPr>
                  <w:rStyle w:val="InternetLink"/>
                  <w:rFonts w:ascii="Times New Roman" w:hAnsi="Times New Roman"/>
                  <w:sz w:val="20"/>
                </w:rPr>
                <w:t>March  12, 2026</w:t>
              </w:r>
            </w:hyperlink>
            <w:r>
              <w:rPr>
                <w:rFonts w:ascii="Times New Roman" w:hAnsi="Times New Roman"/>
                <w:sz w:val="20"/>
              </w:rPr>
              <w:t xml:space="preserve">, </w:t>
            </w:r>
            <w:hyperlink r:id="rId12">
              <w:r>
                <w:rPr>
                  <w:rStyle w:val="InternetLink"/>
                  <w:rFonts w:ascii="Times New Roman" w:hAnsi="Times New Roman"/>
                  <w:sz w:val="20"/>
                </w:rPr>
                <w:t>July  2, 2026</w:t>
              </w:r>
            </w:hyperlink>
            <w:r>
              <w:rPr>
                <w:rFonts w:ascii="Times New Roman" w:hAnsi="Times New Roman"/>
                <w:sz w:val="20"/>
              </w:rPr>
              <w:t xml:space="preserve">, and </w:t>
            </w:r>
            <w:hyperlink r:id="rId13">
              <w:r>
                <w:rPr>
                  <w:rStyle w:val="InternetLink"/>
                  <w:rFonts w:ascii="Times New Roman" w:hAnsi="Times New Roman"/>
                  <w:sz w:val="20"/>
                </w:rPr>
                <w:t>July 29, 2026</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filed by us pursuant to Sections 13(a), 13(c), 14 or 15(d) of the Exchange Act, after the date of this prospectus supplement and before the termination of the offering shall also be deemed to be incorporated herein by reference. The most recent information that we file with the SEC automatically updates and supersedes older information. The information contained in any such filing will be deemed to be a part of this prospectus supplement, commencing on the date on which the document is filed. </w:t>
      </w:r>
    </w:p>
    <w:p>
      <w:pPr>
        <w:pStyle w:val="TextBody"/>
        <w:bidi w:val="0"/>
        <w:spacing w:before="240" w:after="0"/>
        <w:jc w:val="left"/>
        <w:rPr>
          <w:rFonts w:ascii="Times New Roman" w:hAnsi="Times New Roman"/>
          <w:sz w:val="20"/>
        </w:rPr>
      </w:pPr>
      <w:r>
        <w:rPr>
          <w:rFonts w:ascii="Times New Roman" w:hAnsi="Times New Roman"/>
          <w:sz w:val="20"/>
        </w:rPr>
        <w:t xml:space="preserve">We are not, however, incorporating by reference any documents or portions thereof, whether specifically listed above or filed in the future, that are not deemed “filed” with the SEC, including any information furnished pursuant to Items 2.02 or 7.01 of Form 8-K or certain exhibits furnished pursuant to Item 9.01 of Form 8-K.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telephoning us at the following address or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Analog Devices, Inc. </w:t>
      </w:r>
    </w:p>
    <w:p>
      <w:pPr>
        <w:pStyle w:val="TextBody"/>
        <w:bidi w:val="0"/>
        <w:spacing w:before="0" w:after="0"/>
        <w:jc w:val="center"/>
        <w:rPr>
          <w:rFonts w:ascii="Times New Roman" w:hAnsi="Times New Roman"/>
          <w:sz w:val="20"/>
        </w:rPr>
      </w:pPr>
      <w:r>
        <w:rPr>
          <w:rFonts w:ascii="Times New Roman" w:hAnsi="Times New Roman"/>
          <w:sz w:val="20"/>
        </w:rPr>
        <w:t xml:space="preserve">One Analog Way </w:t>
      </w:r>
    </w:p>
    <w:p>
      <w:pPr>
        <w:pStyle w:val="TextBody"/>
        <w:bidi w:val="0"/>
        <w:spacing w:before="0" w:after="0"/>
        <w:jc w:val="center"/>
        <w:rPr>
          <w:rFonts w:ascii="Times New Roman" w:hAnsi="Times New Roman"/>
          <w:sz w:val="20"/>
        </w:rPr>
      </w:pPr>
      <w:r>
        <w:rPr>
          <w:rFonts w:ascii="Times New Roman" w:hAnsi="Times New Roman"/>
          <w:sz w:val="20"/>
        </w:rPr>
        <w:t xml:space="preserve">Wilmington, MA 01887 </w:t>
      </w:r>
    </w:p>
    <w:p>
      <w:pPr>
        <w:pStyle w:val="TextBody"/>
        <w:bidi w:val="0"/>
        <w:spacing w:before="0" w:after="0"/>
        <w:jc w:val="center"/>
        <w:rPr>
          <w:rFonts w:ascii="Times New Roman" w:hAnsi="Times New Roman"/>
          <w:sz w:val="20"/>
        </w:rPr>
      </w:pPr>
      <w:r>
        <w:rPr>
          <w:rFonts w:ascii="Times New Roman" w:hAnsi="Times New Roman"/>
          <w:sz w:val="20"/>
        </w:rPr>
        <w:t xml:space="preserve">Telephone: (781) 461-3282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719070" cy="78168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4"/>
                    <a:stretch>
                      <a:fillRect/>
                    </a:stretch>
                  </pic:blipFill>
                  <pic:spPr bwMode="auto">
                    <a:xfrm>
                      <a:off x="0" y="0"/>
                      <a:ext cx="2719070" cy="78168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Analog Devices, Inc. </w:t>
      </w:r>
    </w:p>
    <w:p>
      <w:pPr>
        <w:pStyle w:val="TextBody"/>
        <w:bidi w:val="0"/>
        <w:spacing w:before="24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offer to sell the debt securities described in this prospectus. The debt securities will be senior unsecured obligations and will rank equally with all of our other senior unsecured indebtedness. </w:t>
      </w:r>
    </w:p>
    <w:p>
      <w:pPr>
        <w:pStyle w:val="TextBody"/>
        <w:bidi w:val="0"/>
        <w:spacing w:before="240" w:after="0"/>
        <w:jc w:val="left"/>
        <w:rPr>
          <w:rFonts w:ascii="Times New Roman" w:hAnsi="Times New Roman"/>
          <w:sz w:val="20"/>
        </w:rPr>
      </w:pPr>
      <w:r>
        <w:rPr>
          <w:rFonts w:ascii="Times New Roman" w:hAnsi="Times New Roman"/>
          <w:sz w:val="20"/>
        </w:rPr>
        <w:t xml:space="preserve">Each time we offer debt securities using this prospectus, we will provide specific terms and offering prices in supplements to this prospectus. The prospectus supplements may also add to, update or change the information in this prospectus and will also describe the specific manner in which we will offer the debt securities. You should carefully read this prospectus and the applicable prospectus supplement, including the information incorporated by reference, prior to investing in our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debt securities on a continuous or delayed basis directly to investors or through underwriters, dealers or agents, or through a combination of these methods. The names of any underwriters, dealers or agents will be included in a prospectus supplement. If any agents, dealers or underwriters are involved in the sale of any debt securities, the applicable prospectus supplement will set forth any applicable commissions or discounts.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offices are located at One Analog Way, Wilmington, Massachusetts 01887, and our telephone number is 781-935-5565. </w:t>
      </w:r>
    </w:p>
    <w:p>
      <w:pPr>
        <w:pStyle w:val="TextBody"/>
        <w:bidi w:val="0"/>
        <w:spacing w:before="240" w:after="0"/>
        <w:jc w:val="left"/>
        <w:rPr/>
      </w:pPr>
      <w:r>
        <w:rPr>
          <w:rFonts w:ascii="Times New Roman" w:hAnsi="Times New Roman"/>
          <w:b/>
          <w:sz w:val="24"/>
        </w:rPr>
        <w:t>Investing in these debt securities involves certain risks. See the information included under “</w:t>
      </w:r>
      <w:hyperlink w:anchor="toc72941_2">
        <w:r>
          <w:rPr>
            <w:rStyle w:val="InternetLink"/>
            <w:rFonts w:ascii="Times New Roman" w:hAnsi="Times New Roman"/>
            <w:b/>
            <w:sz w:val="24"/>
          </w:rPr>
          <w:t>Risk Factors</w:t>
        </w:r>
      </w:hyperlink>
      <w:r>
        <w:rPr>
          <w:rFonts w:ascii="Times New Roman" w:hAnsi="Times New Roman"/>
          <w:b/>
          <w:sz w:val="24"/>
        </w:rPr>
        <w:t xml:space="preserve">” included on page 5 of this prospectus and in any accompanying prospectus supplement, and under similar headings in the documents incorporated by reference in this prospectus or any prospectus supplement, for a discussion of the factors you should carefully consider before deciding to purchase these debt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August 21,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72941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72941_3">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72941_4">
              <w:r>
                <w:rPr>
                  <w:rStyle w:val="InternetLink"/>
                  <w:rFonts w:ascii="Times New Roman" w:hAnsi="Times New Roman"/>
                  <w:sz w:val="20"/>
                </w:rPr>
                <w:t>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72941_5">
              <w:r>
                <w:rPr>
                  <w:rStyle w:val="InternetLink"/>
                  <w:rFonts w:ascii="Times New Roman" w:hAnsi="Times New Roman"/>
                  <w:sz w:val="20"/>
                </w:rPr>
                <w:t>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72941_2">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72941_6">
              <w:r>
                <w:rPr>
                  <w:rStyle w:val="InternetLink"/>
                  <w:rFonts w:ascii="Times New Roman" w:hAnsi="Times New Roman"/>
                  <w:sz w:val="20"/>
                </w:rPr>
                <w:t>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72941_7">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72941_8">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72941_9">
              <w:r>
                <w:rPr>
                  <w:rStyle w:val="InternetLink"/>
                  <w:rFonts w:ascii="Times New Roman" w:hAnsi="Times New Roman"/>
                  <w:sz w:val="20"/>
                </w:rPr>
                <w:t>FORMS OF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72941_10">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72941_11">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72941_12">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72941_1"/>
      <w:bookmarkEnd w:id="16"/>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Securities and Exchange Commission, which we refer to as the “SEC,” utilizing a “shelf” registration process. Under this shelf registration process, we may from time to time sell debt securities described in this prospectus in one or more offerings.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debt securities we may offer. Each time we sell debt securities, we will provide one or more prospectus supplements that will contain specific information about the terms of the offering. The prospectus supplement may also add, update or change information contained in this prospectus. You should read both this prospectus and any accompanying prospectus supplement together with the additional information described under the headings “Incorporation by Reference” and “Where You Can Find More Information”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debt securities other than the debt securities described in this prospectus or such accompanying prospectus supplement or an offer to sell or the solicitation of an offer to buy such debt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The terms “the Company,” “Analog Devices,” “we,” “our,” “ours” and “us” refer to Analog Devices, Inc. and its subsidiaries on a consolidated basis, unless the context otherwise requires.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72941_3"/>
      <w:bookmarkEnd w:id="17"/>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w:t>
      </w:r>
      <w:r>
        <w:rPr>
          <w:rFonts w:ascii="Times New Roman" w:hAnsi="Times New Roman"/>
          <w:i/>
          <w:sz w:val="20"/>
        </w:rPr>
        <w:t>https://www.sec.gov</w:t>
      </w:r>
      <w:r>
        <w:rPr>
          <w:rFonts w:ascii="Times New Roman" w:hAnsi="Times New Roman"/>
          <w:sz w:val="20"/>
        </w:rPr>
        <w:t xml:space="preserve">. Copies of certain information filed by us with the SEC are also available on our website at </w:t>
      </w:r>
      <w:r>
        <w:rPr>
          <w:rFonts w:ascii="Times New Roman" w:hAnsi="Times New Roman"/>
          <w:i/>
          <w:sz w:val="20"/>
        </w:rPr>
        <w:t>https://www.analog.com</w:t>
      </w:r>
      <w:r>
        <w:rPr>
          <w:rFonts w:ascii="Times New Roman" w:hAnsi="Times New Roman"/>
          <w:sz w:val="20"/>
        </w:rPr>
        <w:t xml:space="preserve">. The information contained on, or that can be accessed through, our website is not a part of this prospectus and is not incorporated by reference. We have included our website address in this prospectus solely as an inactive textual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the securities we are offering. Statements in this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72941_4"/>
      <w:bookmarkEnd w:id="18"/>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001-07819)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Annual Report on </w:t>
            </w:r>
            <w:hyperlink r:id="rId15">
              <w:r>
                <w:rPr>
                  <w:rStyle w:val="InternetLink"/>
                  <w:rFonts w:ascii="Times New Roman" w:hAnsi="Times New Roman"/>
                  <w:sz w:val="20"/>
                </w:rPr>
                <w:t>Form 10-K</w:t>
              </w:r>
            </w:hyperlink>
            <w:r>
              <w:rPr>
                <w:rFonts w:ascii="Times New Roman" w:hAnsi="Times New Roman"/>
                <w:sz w:val="20"/>
              </w:rPr>
              <w:t xml:space="preserve"> for the fiscal year ended October 28, 2023, as filed with the SEC on November 21, 2023, including the information specifically incorporated by reference into the Annual Report on Form 10-K from our </w:t>
            </w:r>
            <w:hyperlink r:id="rId16">
              <w:r>
                <w:rPr>
                  <w:rStyle w:val="InternetLink"/>
                  <w:rFonts w:ascii="Times New Roman" w:hAnsi="Times New Roman"/>
                  <w:sz w:val="20"/>
                </w:rPr>
                <w:t>Definitive Proxy Statement</w:t>
              </w:r>
            </w:hyperlink>
            <w:r>
              <w:rPr>
                <w:rFonts w:ascii="Times New Roman" w:hAnsi="Times New Roman"/>
                <w:sz w:val="20"/>
              </w:rPr>
              <w:t xml:space="preserve"> for our 2024 Annual Meeting of Stockholders, as filed with the SEC on January 19,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Quarterly Report on </w:t>
            </w:r>
            <w:hyperlink r:id="rId17">
              <w:r>
                <w:rPr>
                  <w:rStyle w:val="InternetLink"/>
                  <w:rFonts w:ascii="Times New Roman" w:hAnsi="Times New Roman"/>
                  <w:sz w:val="20"/>
                </w:rPr>
                <w:t>Form 10-Q</w:t>
              </w:r>
            </w:hyperlink>
            <w:r>
              <w:rPr>
                <w:rFonts w:ascii="Times New Roman" w:hAnsi="Times New Roman"/>
                <w:sz w:val="20"/>
              </w:rPr>
              <w:t xml:space="preserve"> for the fiscal quarter ended February 3, 2024, as filed with the SEC on February 21,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18">
              <w:r>
                <w:rPr>
                  <w:rStyle w:val="InternetLink"/>
                  <w:rFonts w:ascii="Times New Roman" w:hAnsi="Times New Roman"/>
                  <w:sz w:val="20"/>
                </w:rPr>
                <w:t>Form 10-Q</w:t>
              </w:r>
            </w:hyperlink>
            <w:r>
              <w:rPr>
                <w:rFonts w:ascii="Times New Roman" w:hAnsi="Times New Roman"/>
                <w:sz w:val="20"/>
              </w:rPr>
              <w:t xml:space="preserve"> for the fiscal quarter ended May 4, 2024, as filed with the SEC on May 22,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19">
              <w:r>
                <w:rPr>
                  <w:rStyle w:val="InternetLink"/>
                  <w:rFonts w:ascii="Times New Roman" w:hAnsi="Times New Roman"/>
                  <w:sz w:val="20"/>
                </w:rPr>
                <w:t>Form 10-Q</w:t>
              </w:r>
            </w:hyperlink>
            <w:r>
              <w:rPr>
                <w:rFonts w:ascii="Times New Roman" w:hAnsi="Times New Roman"/>
                <w:sz w:val="20"/>
              </w:rPr>
              <w:t xml:space="preserve"> for the fiscal quarter ended August 3, 2024, as filed with the SEC on August 21, 2024;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our Current Reports on Form 8-K, as filed with the SEC on</w:t>
            </w:r>
            <w:hyperlink r:id="rId20">
              <w:r>
                <w:rPr>
                  <w:rStyle w:val="InternetLink"/>
                  <w:rFonts w:ascii="Times New Roman" w:hAnsi="Times New Roman"/>
                  <w:sz w:val="20"/>
                </w:rPr>
                <w:t xml:space="preserve"> December 7, 2023</w:t>
              </w:r>
            </w:hyperlink>
            <w:r>
              <w:rPr>
                <w:rFonts w:ascii="Times New Roman" w:hAnsi="Times New Roman"/>
                <w:sz w:val="20"/>
              </w:rPr>
              <w:t xml:space="preserve">, </w:t>
            </w:r>
            <w:hyperlink r:id="rId21">
              <w:r>
                <w:rPr>
                  <w:rStyle w:val="InternetLink"/>
                  <w:rFonts w:ascii="Times New Roman" w:hAnsi="Times New Roman"/>
                  <w:sz w:val="20"/>
                </w:rPr>
                <w:t>January  19, 2024</w:t>
              </w:r>
            </w:hyperlink>
            <w:r>
              <w:rPr>
                <w:rFonts w:ascii="Times New Roman" w:hAnsi="Times New Roman"/>
                <w:sz w:val="20"/>
              </w:rPr>
              <w:t xml:space="preserve">, </w:t>
            </w:r>
            <w:hyperlink r:id="rId22">
              <w:r>
                <w:rPr>
                  <w:rStyle w:val="InternetLink"/>
                  <w:rFonts w:ascii="Times New Roman" w:hAnsi="Times New Roman"/>
                  <w:sz w:val="20"/>
                </w:rPr>
                <w:t>January  25, 2024</w:t>
              </w:r>
            </w:hyperlink>
            <w:r>
              <w:rPr>
                <w:rFonts w:ascii="Times New Roman" w:hAnsi="Times New Roman"/>
                <w:sz w:val="20"/>
              </w:rPr>
              <w:t xml:space="preserve"> (Item 5.02 only), </w:t>
            </w:r>
            <w:hyperlink r:id="rId23">
              <w:r>
                <w:rPr>
                  <w:rStyle w:val="InternetLink"/>
                  <w:rFonts w:ascii="Times New Roman" w:hAnsi="Times New Roman"/>
                  <w:sz w:val="20"/>
                </w:rPr>
                <w:t>February  21, 2024</w:t>
              </w:r>
            </w:hyperlink>
            <w:r>
              <w:rPr>
                <w:rFonts w:ascii="Times New Roman" w:hAnsi="Times New Roman"/>
                <w:sz w:val="20"/>
              </w:rPr>
              <w:t xml:space="preserve"> (Item 8.01 only), </w:t>
            </w:r>
            <w:hyperlink r:id="rId24">
              <w:r>
                <w:rPr>
                  <w:rStyle w:val="InternetLink"/>
                  <w:rFonts w:ascii="Times New Roman" w:hAnsi="Times New Roman"/>
                  <w:sz w:val="20"/>
                </w:rPr>
                <w:t>March  14, 2024</w:t>
              </w:r>
            </w:hyperlink>
            <w:r>
              <w:rPr>
                <w:rFonts w:ascii="Times New Roman" w:hAnsi="Times New Roman"/>
                <w:sz w:val="20"/>
              </w:rPr>
              <w:t xml:space="preserve">, </w:t>
            </w:r>
            <w:hyperlink r:id="rId25">
              <w:r>
                <w:rPr>
                  <w:rStyle w:val="InternetLink"/>
                  <w:rFonts w:ascii="Times New Roman" w:hAnsi="Times New Roman"/>
                  <w:sz w:val="20"/>
                </w:rPr>
                <w:t>and April 3, 2024</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telephoning us at the following address or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Analog Devices, Inc. </w:t>
      </w:r>
    </w:p>
    <w:p>
      <w:pPr>
        <w:pStyle w:val="TextBody"/>
        <w:bidi w:val="0"/>
        <w:spacing w:before="0" w:after="0"/>
        <w:jc w:val="center"/>
        <w:rPr>
          <w:rFonts w:ascii="Times New Roman" w:hAnsi="Times New Roman"/>
          <w:sz w:val="20"/>
        </w:rPr>
      </w:pPr>
      <w:r>
        <w:rPr>
          <w:rFonts w:ascii="Times New Roman" w:hAnsi="Times New Roman"/>
          <w:sz w:val="20"/>
        </w:rPr>
        <w:t xml:space="preserve">One Analog Way </w:t>
      </w:r>
    </w:p>
    <w:p>
      <w:pPr>
        <w:pStyle w:val="TextBody"/>
        <w:bidi w:val="0"/>
        <w:spacing w:before="0" w:after="0"/>
        <w:jc w:val="center"/>
        <w:rPr>
          <w:rFonts w:ascii="Times New Roman" w:hAnsi="Times New Roman"/>
          <w:sz w:val="20"/>
        </w:rPr>
      </w:pPr>
      <w:r>
        <w:rPr>
          <w:rFonts w:ascii="Times New Roman" w:hAnsi="Times New Roman"/>
          <w:sz w:val="20"/>
        </w:rPr>
        <w:t xml:space="preserve">Wilmington, MA 01887 </w:t>
      </w:r>
    </w:p>
    <w:p>
      <w:pPr>
        <w:pStyle w:val="TextBody"/>
        <w:bidi w:val="0"/>
        <w:spacing w:before="0" w:after="0"/>
        <w:jc w:val="center"/>
        <w:rPr>
          <w:rFonts w:ascii="Times New Roman" w:hAnsi="Times New Roman"/>
          <w:sz w:val="20"/>
        </w:rPr>
      </w:pPr>
      <w:r>
        <w:rPr>
          <w:rFonts w:ascii="Times New Roman" w:hAnsi="Times New Roman"/>
          <w:sz w:val="20"/>
        </w:rPr>
        <w:t xml:space="preserve">Telephone: (781) 461-3282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72941_5"/>
      <w:bookmarkEnd w:id="19"/>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information incorporated by reference in this prospectus contain forward-looking statements regarding future events and our future results that are subject to the safe harbor created under the Private Securities Litigation Reform Act of 1995 and other safe harbors under the Securities Act of 1933, as amended, or the Securities Act, and the Exchange Act.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“potential,” “may,” “could” and “will,” and variations of such words and similar expressions are intended to identify such forward-looking statements. In addition, any statements that refer to projections regarding our future financial performance or results; our anticipated growth and trends in our businesses; the effects of business, economic, political, legal and regulatory impacts or conflicts upon our global operations; changes in demand for semiconductors and the related changes in demand and supply for our products; manufacturing delays, product availability and supply chain disruptions; our ability to recruit or retain our key personnel; our future liquidity, capital needs and capital expenditures; our development of technologies and processes and research and development investments; our future market position and expected competitive changes in the marketplace for our products; the anticipated result of litigation matters; our plans to pay dividends or repurchase stock; servicing our outstanding debt; our plans to borrow under our third amended and restated revolving credit agreement, as amended, and issue notes under our commercial paper program and the planned use of proceeds from such borrowing and issuing; our expected tax rate; expected cost savings; the effect of new accounting pronouncements; our plans to integrate or realize the benefits or synergies expected of acquired businesses and technologies; our Global Repositioning Actions and Q4 2023 Plan (each as described in our Annual Report on Form 10-K for the fiscal year ended October 28, 2023 and our Quarterly Report on Form 10-Q for the quarter ended February 3, 2024); and other characterizations of future events or circumstances are forward-looking statements. Our actual results could differ materially from those anticipated in these forward-looking statements as a result of various factors.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important factors and uncertainties, among others, could cause actual results to differ materially from those described in the forward-looking statements: economic, political, legal and regulatory uncertainty or conflicts; changes in demand for semiconductor products; manufacturing delays, product and raw materials availability and supply chain disruptions; products that may be diverted from our authorized distribution channels; changes in export classifications, import and export regulations or duties and tariffs; our development of technologies and research and development investments; our future liquidity, capital needs and capital expenditures; our ability to compete successfully in the markets in which we operate; our ability to recruit and retain key personnel; risks related to acquisitions or other strategic transactions; security breaches or other cyber incidents; adverse results in litigation matters; reputational damage; changes in our estimates of our expected tax rates based on current tax law; risks related to our indebtedness; and unanticipated difficulties or expenditures relating to integrating Maxim Integrated Products, Inc. </w:t>
      </w:r>
    </w:p>
    <w:p>
      <w:pPr>
        <w:pStyle w:val="TextBody"/>
        <w:bidi w:val="0"/>
        <w:spacing w:before="240" w:after="0"/>
        <w:jc w:val="left"/>
        <w:rPr>
          <w:rFonts w:ascii="Times New Roman" w:hAnsi="Times New Roman"/>
          <w:sz w:val="20"/>
        </w:rPr>
      </w:pPr>
      <w:r>
        <w:rPr>
          <w:rFonts w:ascii="Times New Roman" w:hAnsi="Times New Roman"/>
          <w:sz w:val="20"/>
        </w:rPr>
        <w:t xml:space="preserve">You should pay particular attention to the important risk factors and cautionary statements referenced in the section of any accompanying prospectus supplement entitled “Risk Factors.” You should also carefully review the risk factors and cautionary statements described in the other documents we file from time to time with the SEC, specifically our most recent Annual Report on Form 10-K, our Quarterly Report on Form 10-Q for the quarter ended August 3, 2024 and our Current Reports on Form 8-K. Therefore, actual results may differ materially and adversely from those expressed in any forward-looking statements. We undertake no obligation to revise or update any forward-looking statements, including to reflect events or circumstances occurring after the date of the filing of this prospectus, except to the extent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72941_2"/>
      <w:bookmarkEnd w:id="20"/>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debt securities involves risk. You should carefully consider the risks and uncertainties described in the accompanying prospectus supplement, as well as all of the risk factors contained in our filings with the SEC that are incorporated by reference in this prospectus, including the risk factors in our Annual Report on Form 10-K for the fiscal year ended October 28, 2023, before making an investment decision pursuant to this prospectus and any accompanying prospectus supplement relating to a specific offering. </w:t>
      </w:r>
    </w:p>
    <w:p>
      <w:pPr>
        <w:pStyle w:val="TextBody"/>
        <w:bidi w:val="0"/>
        <w:spacing w:before="240" w:after="0"/>
        <w:jc w:val="left"/>
        <w:rPr>
          <w:rFonts w:ascii="Times New Roman" w:hAnsi="Times New Roman"/>
          <w:sz w:val="20"/>
        </w:rPr>
      </w:pPr>
      <w:r>
        <w:rPr>
          <w:rFonts w:ascii="Times New Roman" w:hAnsi="Times New Roman"/>
          <w:sz w:val="20"/>
        </w:rPr>
        <w:t xml:space="preserve">Our business, financial condition and results of operations could be materially and adversely affected by any or all of these risks or by additional risks and uncertainties not presently known to us or that we currently deem immaterial that may adversely affect us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72941_6"/>
      <w:bookmarkEnd w:id="21"/>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 global semiconductor leader dedicated to solving our customers’ most complex engineering challenges. We deliver innovations that connect technology to human breakthroughs and play a critical role at the intersection of the physical and digital worlds by providing the building blocks to sense, measure, interpret, connect and power. We design, manufacture, test and market a broad portfolio of solutions, including integrated circuits (ICs), software and subsystems that leverage high-performance analog, mixed-signal and digital signal processing technologies. Our comprehensive product portfolio, deep domain expertise and advanced manufacturing capabilities extend across high-performance precision and high-speed mixed-signal, power management and processing technologies – including data converters, amplifiers, power management, radio frequency (RF) ICs, edge processors and other sensors. We serve approximately 125,000 customers worldwide with more than 75,000 products in the industrial, automotive, communications, and consumer markets. </w:t>
      </w:r>
    </w:p>
    <w:p>
      <w:pPr>
        <w:pStyle w:val="TextBody"/>
        <w:bidi w:val="0"/>
        <w:spacing w:before="240" w:after="0"/>
        <w:jc w:val="left"/>
        <w:rPr>
          <w:rFonts w:ascii="Times New Roman" w:hAnsi="Times New Roman"/>
          <w:sz w:val="20"/>
        </w:rPr>
      </w:pPr>
      <w:r>
        <w:rPr>
          <w:rFonts w:ascii="Times New Roman" w:hAnsi="Times New Roman"/>
          <w:sz w:val="20"/>
        </w:rPr>
        <w:t xml:space="preserve">We were incorporated in Massachusetts in 1965. Our headquarters is near Boston, in Wilmington, Massachusetts. In addition, we have manufacturing facilities primarily in the United States, Ireland and Southeast Asia. Our common stock is listed on The Nasdaq Global Select Market under the symbol ADI and is included in the Standard &amp; Poor’s 500 Index.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offices are located at One Analog Way, Wilmington, Massachusetts 01887, and our telephone number is (781) 935-5565.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72941_7"/>
      <w:bookmarkEnd w:id="22"/>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any securities offered under this prospectus for general corporate purposes unless otherwise indicated in the applicable prospectus supplement. General corporate purposes may include the acquisition of companies or businesses, repayment and/or refinancing of debt, working capital, capital expenditures, repurchases of our common stock under our stock repurchase program and dividend payments. We have not determined the amount of net proceeds to be used specifically for such purposes. As a result, management will retain broad discretion over the allocation of the net proceeds of any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72941_8"/>
      <w:bookmarkEnd w:id="23"/>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describes certain general terms and provisions of our debt securities. When we offer to sell a particular series of debt securities, we will describe the specific terms of the series in a supplement to this prospectus. We will also indicate in the supplement whether the general terms and provisions described in this prospectus apply to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a supplement to this prospectus, the debt securities will be our direct, unsecured obligations and will rank equally with all of our other unsecured and unsubordinated indebtedness.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issued under an indenture dated June 3, 2013 between us and The Bank of New York Mellon Trust Company, N.A., as trustee, which we refer to as the “indenture.” We have summarized select portions of the indenture below. The summary is not complete. The indenture has been incorporated by reference as an exhibit to the registration statement and you should read the indenture for provisions that may be important to you. Capitalized terms used in the summary and not defined herein have the meanings specified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“the Company,” “we,” “our” and “us” in this section, we mean Analog Devices, Inc. excluding, unless the context otherwise requires or as otherwise expressly stated,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debt securities will be established by or pursuant to a resolution of our board of directors or a duly authorized committee of our board of directors and set forth or determined in the manner provided in a resolution of our board of directors or a duly authorized committee of our board of directors, in an officers’ certificate or by a supplemental indenture. The particular terms of each series of debt securities will be described in a prospectus supplement relating to such series (including any pricing supplement or term sheet). </w:t>
      </w:r>
    </w:p>
    <w:p>
      <w:pPr>
        <w:pStyle w:val="TextBody"/>
        <w:bidi w:val="0"/>
        <w:spacing w:before="240" w:after="0"/>
        <w:jc w:val="left"/>
        <w:rPr>
          <w:rFonts w:ascii="Times New Roman" w:hAnsi="Times New Roman"/>
          <w:sz w:val="20"/>
        </w:rPr>
      </w:pPr>
      <w:r>
        <w:rPr>
          <w:rFonts w:ascii="Times New Roman" w:hAnsi="Times New Roman"/>
          <w:sz w:val="20"/>
        </w:rPr>
        <w:t xml:space="preserve">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 </w:t>
      </w:r>
    </w:p>
    <w:p>
      <w:pPr>
        <w:pStyle w:val="TextBody"/>
        <w:bidi w:val="0"/>
        <w:spacing w:before="240" w:after="0"/>
        <w:jc w:val="left"/>
        <w:rPr>
          <w:rFonts w:ascii="Times New Roman" w:hAnsi="Times New Roman"/>
          <w:sz w:val="20"/>
        </w:rPr>
      </w:pPr>
      <w:r>
        <w:rPr>
          <w:rFonts w:ascii="Times New Roman" w:hAnsi="Times New Roman"/>
          <w:sz w:val="20"/>
        </w:rPr>
        <w:t xml:space="preserve">(1) the title of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(2) the price or prices (expressed as a percentage of the principal amount) at which we will sell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(3) any limit on the aggregate principal amount of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(4) the date or dates on which we will pay the principal on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(5) 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(6) the place or places where principal of, premium and any interest on the debt securities will be payable; </w:t>
      </w:r>
    </w:p>
    <w:p>
      <w:pPr>
        <w:pStyle w:val="TextBody"/>
        <w:bidi w:val="0"/>
        <w:spacing w:before="240" w:after="0"/>
        <w:jc w:val="left"/>
        <w:rPr>
          <w:rFonts w:ascii="Times New Roman" w:hAnsi="Times New Roman"/>
          <w:sz w:val="20"/>
        </w:rPr>
      </w:pPr>
      <w:r>
        <w:rPr>
          <w:rFonts w:ascii="Times New Roman" w:hAnsi="Times New Roman"/>
          <w:sz w:val="20"/>
        </w:rPr>
        <w:t xml:space="preserve">(7) the terms and conditions upon which we may redeem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(8) any obligation we have to redeem or purchase the debt securities pursuant to any sinking fund or analogous provisions or at the option of a holder of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(9) the dates on which and the price or prices at which we will repurchase debt securities at the option of the holders of debt securities and other detailed terms and provisions of these repurchase obligations; </w:t>
      </w:r>
    </w:p>
    <w:p>
      <w:pPr>
        <w:pStyle w:val="TextBody"/>
        <w:bidi w:val="0"/>
        <w:spacing w:before="240" w:after="0"/>
        <w:jc w:val="left"/>
        <w:rPr>
          <w:rFonts w:ascii="Times New Roman" w:hAnsi="Times New Roman"/>
          <w:sz w:val="20"/>
        </w:rPr>
      </w:pPr>
      <w:r>
        <w:rPr>
          <w:rFonts w:ascii="Times New Roman" w:hAnsi="Times New Roman"/>
          <w:sz w:val="20"/>
        </w:rPr>
        <w:t xml:space="preserve">(10) the denominations in which the debt securities will be issued, if other than denominations of $1,000 and any integral multiple thereof; </w:t>
      </w:r>
    </w:p>
    <w:p>
      <w:pPr>
        <w:pStyle w:val="TextBody"/>
        <w:bidi w:val="0"/>
        <w:spacing w:before="240" w:after="0"/>
        <w:jc w:val="left"/>
        <w:rPr>
          <w:rFonts w:ascii="Times New Roman" w:hAnsi="Times New Roman"/>
          <w:sz w:val="20"/>
        </w:rPr>
      </w:pPr>
      <w:r>
        <w:rPr>
          <w:rFonts w:ascii="Times New Roman" w:hAnsi="Times New Roman"/>
          <w:sz w:val="20"/>
        </w:rPr>
        <w:t xml:space="preserve">(11) whether the debt securities will be issued in the form of certificated debt securities or global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(12) the portion of the principal amount of the debt securities payable upon declaration of acceleration of the maturity date, if other than the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(13) the currency of denomination of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(14) the designation of the currency, currencies or currency units in which payment of principal of, premium and any interest on the debt securities will be made; </w:t>
      </w:r>
    </w:p>
    <w:p>
      <w:pPr>
        <w:pStyle w:val="TextBody"/>
        <w:bidi w:val="0"/>
        <w:spacing w:before="240" w:after="0"/>
        <w:jc w:val="left"/>
        <w:rPr>
          <w:rFonts w:ascii="Times New Roman" w:hAnsi="Times New Roman"/>
          <w:sz w:val="20"/>
        </w:rPr>
      </w:pPr>
      <w:r>
        <w:rPr>
          <w:rFonts w:ascii="Times New Roman" w:hAnsi="Times New Roman"/>
          <w:sz w:val="20"/>
        </w:rPr>
        <w:t xml:space="preserve">(15) if payments of principal of, premium or any interest on the debt securities will be made in one or more currencies or currency units other than that or those in which the debt securities are denominated, the manner in which the exchange rate with respect to these payments will be determined; </w:t>
      </w:r>
    </w:p>
    <w:p>
      <w:pPr>
        <w:pStyle w:val="TextBody"/>
        <w:bidi w:val="0"/>
        <w:spacing w:before="240" w:after="0"/>
        <w:jc w:val="left"/>
        <w:rPr>
          <w:rFonts w:ascii="Times New Roman" w:hAnsi="Times New Roman"/>
          <w:sz w:val="20"/>
        </w:rPr>
      </w:pPr>
      <w:r>
        <w:rPr>
          <w:rFonts w:ascii="Times New Roman" w:hAnsi="Times New Roman"/>
          <w:sz w:val="20"/>
        </w:rPr>
        <w:t xml:space="preserve">(16) the manner in which the amounts of payment of principal of, premium or any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 </w:t>
      </w:r>
    </w:p>
    <w:p>
      <w:pPr>
        <w:pStyle w:val="TextBody"/>
        <w:bidi w:val="0"/>
        <w:spacing w:before="240" w:after="0"/>
        <w:jc w:val="left"/>
        <w:rPr>
          <w:rFonts w:ascii="Times New Roman" w:hAnsi="Times New Roman"/>
          <w:sz w:val="20"/>
        </w:rPr>
      </w:pPr>
      <w:r>
        <w:rPr>
          <w:rFonts w:ascii="Times New Roman" w:hAnsi="Times New Roman"/>
          <w:sz w:val="20"/>
        </w:rPr>
        <w:t xml:space="preserve">(17) any provisions relating to any security provided for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(18) any addition to or change in the Events of Default described in this prospectus or in the indenture with respect to the debt securities and any change in the acceleration provisions described in this prospectus or in the indenture with respect to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(19) any addition to or change in the covenants described in this prospectus or in the indenture with respect to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(20) any listing on a securities exchange; </w:t>
      </w:r>
    </w:p>
    <w:p>
      <w:pPr>
        <w:pStyle w:val="TextBody"/>
        <w:bidi w:val="0"/>
        <w:spacing w:before="240" w:after="0"/>
        <w:jc w:val="left"/>
        <w:rPr>
          <w:rFonts w:ascii="Times New Roman" w:hAnsi="Times New Roman"/>
          <w:sz w:val="20"/>
        </w:rPr>
      </w:pPr>
      <w:r>
        <w:rPr>
          <w:rFonts w:ascii="Times New Roman" w:hAnsi="Times New Roman"/>
          <w:sz w:val="20"/>
        </w:rPr>
        <w:t xml:space="preserve">(21) the initial public offering price, if any is established for such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(22) any other terms of the debt securities, which may supplement, modify or delete any provision of the indenture as it applies to that series; and </w:t>
      </w:r>
    </w:p>
    <w:p>
      <w:pPr>
        <w:pStyle w:val="TextBody"/>
        <w:bidi w:val="0"/>
        <w:spacing w:before="240" w:after="0"/>
        <w:jc w:val="left"/>
        <w:rPr>
          <w:rFonts w:ascii="Times New Roman" w:hAnsi="Times New Roman"/>
          <w:sz w:val="20"/>
        </w:rPr>
      </w:pPr>
      <w:r>
        <w:rPr>
          <w:rFonts w:ascii="Times New Roman" w:hAnsi="Times New Roman"/>
          <w:sz w:val="20"/>
        </w:rPr>
        <w:t xml:space="preserve">(23) any depositaries, interest rate calculation agents, exchange rate calculation agents or other agents with respect to the debt securities if other than those appointed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indenture does not limit our ability to issue convertible or subordinated debt securities. We may also issue debt securities that provide for an amount less than their stated principal amount to be due and payable upon declaration of acceleration of their maturity pursuant to the terms of the indenture. We will provide you with information on the material United States federal income tax considerations and other special considerations applicable to any of these debt securities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See “Forms of Securities” in this prospectus for a description of transfer and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 Protection in the Event of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that could adversely affect holders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any restrictive covenants applicable to any issue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may not consolidate with or merge with or into, or convey, transfer or lease all or substantially all of our properties and assets to, any person (a “successor person”) unless: </w:t>
      </w:r>
    </w:p>
    <w:p>
      <w:pPr>
        <w:pStyle w:val="TextBody"/>
        <w:bidi w:val="0"/>
        <w:spacing w:before="240" w:after="0"/>
        <w:jc w:val="left"/>
        <w:rPr>
          <w:rFonts w:ascii="Times New Roman" w:hAnsi="Times New Roman"/>
          <w:sz w:val="20"/>
        </w:rPr>
      </w:pPr>
      <w:r>
        <w:rPr>
          <w:rFonts w:ascii="Times New Roman" w:hAnsi="Times New Roman"/>
          <w:sz w:val="20"/>
        </w:rPr>
        <w:t xml:space="preserve">(1) we are the surviving corporation or the successor person (if other than Analog Devices, Inc.) is a corporation organized and validly existing under the laws of any U.S. domestic jurisdiction and expressly assumes by a supplemental indenture our obligations on the debt securities and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(2) immediately after giving effect to the transaction, no Event of Default, and no event which, after notice or lapse of time, or both, would become an Event of Default, shall have occurred and be continuing under the indenture; and </w:t>
      </w:r>
    </w:p>
    <w:p>
      <w:pPr>
        <w:pStyle w:val="TextBody"/>
        <w:bidi w:val="0"/>
        <w:spacing w:before="240" w:after="0"/>
        <w:jc w:val="left"/>
        <w:rPr>
          <w:rFonts w:ascii="Times New Roman" w:hAnsi="Times New Roman"/>
          <w:sz w:val="20"/>
        </w:rPr>
      </w:pPr>
      <w:r>
        <w:rPr>
          <w:rFonts w:ascii="Times New Roman" w:hAnsi="Times New Roman"/>
          <w:sz w:val="20"/>
        </w:rPr>
        <w:t xml:space="preserve">(3) certain other conditions are met.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any subsidiary of ours may consolidate with, merge into or transfer all or part of its properties to us.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pPr>
      <w:r>
        <w:rPr/>
        <w:t>“</w:t>
      </w:r>
      <w:r>
        <w:rPr>
          <w:rFonts w:ascii="Times New Roman" w:hAnsi="Times New Roman"/>
          <w:i/>
          <w:sz w:val="20"/>
        </w:rPr>
        <w:t>Event of Default</w:t>
      </w:r>
      <w:r>
        <w:rPr>
          <w:rFonts w:ascii="Times New Roman" w:hAnsi="Times New Roman"/>
          <w:sz w:val="20"/>
        </w:rPr>
        <w:t xml:space="preserve">” means with respect to any series of debt securities, any of the following unless otherwise provided in the resolutions, officers’ certificate or supplemental indenture establishing such series: </w:t>
      </w:r>
    </w:p>
    <w:p>
      <w:pPr>
        <w:pStyle w:val="TextBody"/>
        <w:bidi w:val="0"/>
        <w:spacing w:before="240" w:after="0"/>
        <w:jc w:val="left"/>
        <w:rPr>
          <w:rFonts w:ascii="Times New Roman" w:hAnsi="Times New Roman"/>
          <w:sz w:val="20"/>
        </w:rPr>
      </w:pPr>
      <w:r>
        <w:rPr>
          <w:rFonts w:ascii="Times New Roman" w:hAnsi="Times New Roman"/>
          <w:sz w:val="20"/>
        </w:rPr>
        <w:t xml:space="preserve">(1) default in the payment of any interest upon any debt security of that series when it becomes due and payable, and continuance of that default for a period of 30 days; </w:t>
      </w:r>
    </w:p>
    <w:p>
      <w:pPr>
        <w:pStyle w:val="TextBody"/>
        <w:bidi w:val="0"/>
        <w:spacing w:before="240" w:after="0"/>
        <w:jc w:val="left"/>
        <w:rPr>
          <w:rFonts w:ascii="Times New Roman" w:hAnsi="Times New Roman"/>
          <w:sz w:val="20"/>
        </w:rPr>
      </w:pPr>
      <w:r>
        <w:rPr>
          <w:rFonts w:ascii="Times New Roman" w:hAnsi="Times New Roman"/>
          <w:sz w:val="20"/>
        </w:rPr>
        <w:t xml:space="preserve">(2) default in the payment of principal of or any premium on any debt security of that series when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(3) default in the performance or breach of any other covenant by us in the indenture (other than a covenant that has been included in the indenture solely for the benefit of a series of debt securities other than such series), which default continues uncured for a period of 90 days after we receive written notice from the trustee or we and the trustee receive written notice from the holders of not less than 25% in principal amount of the outstanding debt securities of that series as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(4) certain events of bankruptcy, insolvency or reorganization involving us; and </w:t>
      </w:r>
    </w:p>
    <w:p>
      <w:pPr>
        <w:pStyle w:val="TextBody"/>
        <w:bidi w:val="0"/>
        <w:spacing w:before="240" w:after="0"/>
        <w:jc w:val="left"/>
        <w:rPr>
          <w:rFonts w:ascii="Times New Roman" w:hAnsi="Times New Roman"/>
          <w:sz w:val="20"/>
        </w:rPr>
      </w:pPr>
      <w:r>
        <w:rPr>
          <w:rFonts w:ascii="Times New Roman" w:hAnsi="Times New Roman"/>
          <w:sz w:val="20"/>
        </w:rPr>
        <w:t xml:space="preserve">(5) any other Event of Default provided with respect to debt securities of that series that is described in the applicable prospectus supplement accompanying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- 10 -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of our other indebtedness outstanding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the principal and interest with respect to debt securities of that series which have become due solely by such declaration of acceleration, have been cured or waived as provided in the indenture and the trustee’s fees and expenses have been paid in full. We refer you to the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the trustee will be under no obligation to exercise any of its rights or powers under the indenture unless the trustee receives security or indemnity satisfactory to it against any cost, liability or expense.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before="240" w:after="0"/>
        <w:jc w:val="left"/>
        <w:rPr>
          <w:rFonts w:ascii="Times New Roman" w:hAnsi="Times New Roman"/>
          <w:sz w:val="20"/>
        </w:rPr>
      </w:pPr>
      <w:r>
        <w:rPr>
          <w:rFonts w:ascii="Times New Roman" w:hAnsi="Times New Roman"/>
          <w:sz w:val="20"/>
        </w:rPr>
        <w:t xml:space="preserve">(1) that holder has previously given to the trustee written notice of a continuing Event of Default with respect to debt securities of that series; and </w:t>
      </w:r>
    </w:p>
    <w:p>
      <w:pPr>
        <w:pStyle w:val="TextBody"/>
        <w:bidi w:val="0"/>
        <w:spacing w:before="240" w:after="0"/>
        <w:jc w:val="left"/>
        <w:rPr>
          <w:rFonts w:ascii="Times New Roman" w:hAnsi="Times New Roman"/>
          <w:sz w:val="20"/>
        </w:rPr>
      </w:pPr>
      <w:r>
        <w:rPr>
          <w:rFonts w:ascii="Times New Roman" w:hAnsi="Times New Roman"/>
          <w:sz w:val="20"/>
        </w:rPr>
        <w:t xml:space="preserve">(2) the holders of not less than 25% in principal amount of the outstanding debt securities of that series have made written request, and offered reasonable indemnity, to the trustee to institute the proceeding as trustee, and after receipt of such request the trustee has not received from the holders of a majority in principal amount of the outstanding debt securities of that series a direction inconsistent with that request and has failed to institute the proceeding within 60 days.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holder of any debt security will have an absolute and unconditional right to receive payment of the principal of, any premium and any interest on that debt security on or after the due dates expressed in that debt security and to institute suit for the enforcement of payment.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requires us, within 120 days after the end of our fiscal year, to furnish to the trustee a statement as to compliance with the indenture. The indenture provides that the trustee may withhold notice to the holders of debt securities of any series of any default or Event of Default (except in payment on any debt securities of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- 11 -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series) with respect to debt securities of that series if it in good faith determines that withholding notice is in the interest of the holders of those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amend or supplement the indenture or the debt securities of one or more series without the consent of the holders of the outstanding debt securities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(1) to cure any ambiguity, defect or inconsistency; </w:t>
      </w:r>
    </w:p>
    <w:p>
      <w:pPr>
        <w:pStyle w:val="TextBody"/>
        <w:bidi w:val="0"/>
        <w:spacing w:before="240" w:after="0"/>
        <w:jc w:val="left"/>
        <w:rPr>
          <w:rFonts w:ascii="Times New Roman" w:hAnsi="Times New Roman"/>
          <w:sz w:val="20"/>
        </w:rPr>
      </w:pPr>
      <w:r>
        <w:rPr>
          <w:rFonts w:ascii="Times New Roman" w:hAnsi="Times New Roman"/>
          <w:sz w:val="20"/>
        </w:rPr>
        <w:t xml:space="preserve">(2) to provide for a supplemental indenture as contemplated by Article V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(3) to provide for uncertificated debt securities in addition to or in place of certificated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(4) to make any change that does not adversely affect the rights of any holder of debt securities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(5) to provide for the issuance of and establish the form and terms and conditions of debt securities under the indenture as permitted thereunder; </w:t>
      </w:r>
    </w:p>
    <w:p>
      <w:pPr>
        <w:pStyle w:val="TextBody"/>
        <w:bidi w:val="0"/>
        <w:spacing w:before="240" w:after="0"/>
        <w:jc w:val="left"/>
        <w:rPr>
          <w:rFonts w:ascii="Times New Roman" w:hAnsi="Times New Roman"/>
          <w:sz w:val="20"/>
        </w:rPr>
      </w:pPr>
      <w:r>
        <w:rPr>
          <w:rFonts w:ascii="Times New Roman" w:hAnsi="Times New Roman"/>
          <w:sz w:val="20"/>
        </w:rPr>
        <w:t xml:space="preserve">(6) to evidence and provide for the acceptance of appointment by a successor trustee with respect to any of the debt securities and to add to or change any of the provisions of the indenture as shall be necessary to provide for or facilitate the administration of the trusts thereunder by more than one trustee; or </w:t>
      </w:r>
    </w:p>
    <w:p>
      <w:pPr>
        <w:pStyle w:val="TextBody"/>
        <w:bidi w:val="0"/>
        <w:spacing w:before="240" w:after="0"/>
        <w:jc w:val="left"/>
        <w:rPr>
          <w:rFonts w:ascii="Times New Roman" w:hAnsi="Times New Roman"/>
          <w:sz w:val="20"/>
        </w:rPr>
      </w:pPr>
      <w:r>
        <w:rPr>
          <w:rFonts w:ascii="Times New Roman" w:hAnsi="Times New Roman"/>
          <w:sz w:val="20"/>
        </w:rPr>
        <w:t xml:space="preserve">(7) to comply with requirements of the SEC in order to effect or maintain the qualification of the indenture under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and the trustee may enter into a supplemental indenture as to all other matters with the written consent of the holders of at least a majority in principal amount of the outstanding debt securities of each series affected by such supplemental indenture, provided however that we may not make any modification or amendment without the consent of the holders of each affected debt security then outstanding if that amendment will: </w:t>
      </w:r>
    </w:p>
    <w:p>
      <w:pPr>
        <w:pStyle w:val="TextBody"/>
        <w:bidi w:val="0"/>
        <w:spacing w:before="240" w:after="0"/>
        <w:jc w:val="left"/>
        <w:rPr>
          <w:rFonts w:ascii="Times New Roman" w:hAnsi="Times New Roman"/>
          <w:sz w:val="20"/>
        </w:rPr>
      </w:pPr>
      <w:r>
        <w:rPr>
          <w:rFonts w:ascii="Times New Roman" w:hAnsi="Times New Roman"/>
          <w:sz w:val="20"/>
        </w:rPr>
        <w:t xml:space="preserve">(1) reduce the principal amount of debt securities whose holders must consent to an amendment, supplement or waiver; </w:t>
      </w:r>
    </w:p>
    <w:p>
      <w:pPr>
        <w:pStyle w:val="TextBody"/>
        <w:bidi w:val="0"/>
        <w:spacing w:before="240" w:after="0"/>
        <w:jc w:val="left"/>
        <w:rPr>
          <w:rFonts w:ascii="Times New Roman" w:hAnsi="Times New Roman"/>
          <w:sz w:val="20"/>
        </w:rPr>
      </w:pPr>
      <w:r>
        <w:rPr>
          <w:rFonts w:ascii="Times New Roman" w:hAnsi="Times New Roman"/>
          <w:sz w:val="20"/>
        </w:rPr>
        <w:t xml:space="preserve">(2) reduce the rate of or extend the time for payment of interest (including default interest) on any debt security; </w:t>
      </w:r>
    </w:p>
    <w:p>
      <w:pPr>
        <w:pStyle w:val="TextBody"/>
        <w:bidi w:val="0"/>
        <w:spacing w:before="240" w:after="0"/>
        <w:jc w:val="left"/>
        <w:rPr>
          <w:rFonts w:ascii="Times New Roman" w:hAnsi="Times New Roman"/>
          <w:sz w:val="20"/>
        </w:rPr>
      </w:pPr>
      <w:r>
        <w:rPr>
          <w:rFonts w:ascii="Times New Roman" w:hAnsi="Times New Roman"/>
          <w:sz w:val="20"/>
        </w:rPr>
        <w:t xml:space="preserve">(3) reduce the principal of or premium on, or change the fixed maturity of any debt security or reduce the amount of, or postpone the date fixed for, the payment of any sinking fund or analogous obligation with respect to any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(4) reduce the principal amount of discount securities payable upon acceleration of maturity; </w:t>
      </w:r>
    </w:p>
    <w:p>
      <w:pPr>
        <w:pStyle w:val="TextBody"/>
        <w:bidi w:val="0"/>
        <w:spacing w:before="240" w:after="0"/>
        <w:jc w:val="left"/>
        <w:rPr>
          <w:rFonts w:ascii="Times New Roman" w:hAnsi="Times New Roman"/>
          <w:sz w:val="20"/>
        </w:rPr>
      </w:pPr>
      <w:r>
        <w:rPr>
          <w:rFonts w:ascii="Times New Roman" w:hAnsi="Times New Roman"/>
          <w:sz w:val="20"/>
        </w:rPr>
        <w:t xml:space="preserve">(5) waive a default in the payment of the principal of, premium or any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p>
      <w:pPr>
        <w:pStyle w:val="TextBody"/>
        <w:bidi w:val="0"/>
        <w:spacing w:before="240" w:after="0"/>
        <w:jc w:val="left"/>
        <w:rPr>
          <w:rFonts w:ascii="Times New Roman" w:hAnsi="Times New Roman"/>
          <w:sz w:val="20"/>
        </w:rPr>
      </w:pPr>
      <w:r>
        <w:rPr>
          <w:rFonts w:ascii="Times New Roman" w:hAnsi="Times New Roman"/>
          <w:sz w:val="20"/>
        </w:rPr>
        <w:t xml:space="preserve">(6) make the principal of or premium or interest on any debt security payable in currency other than that stated in the debt security;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- 12 -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(7) 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w:t>
      </w:r>
    </w:p>
    <w:p>
      <w:pPr>
        <w:pStyle w:val="TextBody"/>
        <w:bidi w:val="0"/>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any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of Debt Securities and Certain Covenants in Certain Circumstances </w:t>
      </w:r>
    </w:p>
    <w:p>
      <w:pPr>
        <w:pStyle w:val="TextBody"/>
        <w:bidi w:val="0"/>
        <w:spacing w:before="120" w:after="0"/>
        <w:jc w:val="left"/>
        <w:rPr>
          <w:rFonts w:ascii="Times New Roman" w:hAnsi="Times New Roman"/>
          <w:sz w:val="20"/>
        </w:rPr>
      </w:pPr>
      <w:r>
        <w:rPr>
          <w:rFonts w:ascii="Times New Roman" w:hAnsi="Times New Roman"/>
          <w:i/>
          <w:sz w:val="20"/>
        </w:rPr>
        <w:t>Legal Defeasance</w:t>
      </w:r>
      <w:r>
        <w:rPr>
          <w:rFonts w:ascii="Times New Roman" w:hAnsi="Times New Roman"/>
          <w:sz w:val="20"/>
        </w:rPr>
        <w:t xml:space="preserve">. The indenture provides that, unless otherwise provided by the terms of the applicable series of debt securities, we may be discharged from any and all obligations in respect of the debt securities of any series (except for certain obligations, including to register the transfer or exchange of debt securities of such series, to replace stolen, lost or mutilated debt securities of such series, and to maintain paying agencies and certain provisions relating to the treatment of funds held by paying agents). We will be so discharged upon the deposit with the trustee, in trust, of money and/or U.S. Government Obligations or, in the case of debt securities denominated in a single currency other than U.S. Dollars, money and/or Foreign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and interest on and any mandatory sinking fund payments in respect of the debt securities of that series on the stated maturity of those payments in accordance with the terms of the indenture and those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w:t>
      </w:r>
    </w:p>
    <w:p>
      <w:pPr>
        <w:pStyle w:val="TextBody"/>
        <w:bidi w:val="0"/>
        <w:spacing w:before="240" w:after="0"/>
        <w:jc w:val="left"/>
        <w:rPr>
          <w:rFonts w:ascii="Times New Roman" w:hAnsi="Times New Roman"/>
          <w:sz w:val="20"/>
        </w:rPr>
      </w:pPr>
      <w:r>
        <w:rPr>
          <w:rFonts w:ascii="Times New Roman" w:hAnsi="Times New Roman"/>
          <w:i/>
          <w:sz w:val="20"/>
        </w:rPr>
        <w:t>Defeasance of Certain Covenants</w:t>
      </w:r>
      <w:r>
        <w:rPr>
          <w:rFonts w:ascii="Times New Roman" w:hAnsi="Times New Roman"/>
          <w:sz w:val="20"/>
        </w:rPr>
        <w:t xml:space="preserve">. The indenture provides that, unless otherwise provided by the terms of the applicable series of debt securities, upon compliance with certain conditions: </w:t>
      </w:r>
    </w:p>
    <w:p>
      <w:pPr>
        <w:pStyle w:val="TextBody"/>
        <w:bidi w:val="0"/>
        <w:spacing w:before="240" w:after="0"/>
        <w:jc w:val="left"/>
        <w:rPr>
          <w:rFonts w:ascii="Times New Roman" w:hAnsi="Times New Roman"/>
          <w:sz w:val="20"/>
        </w:rPr>
      </w:pPr>
      <w:r>
        <w:rPr>
          <w:rFonts w:ascii="Times New Roman" w:hAnsi="Times New Roman"/>
          <w:sz w:val="20"/>
        </w:rPr>
        <w:t xml:space="preserve">(1) we may omit to comply with the covenant described under the heading “Consolidation, Merger and Sale of Assets” and certain other covenants set forth in the indenture, as well as any additional covenants which may be set forth in the applicable prospectus supplement; and </w:t>
      </w:r>
    </w:p>
    <w:p>
      <w:pPr>
        <w:pStyle w:val="TextBody"/>
        <w:bidi w:val="0"/>
        <w:spacing w:before="240" w:after="0"/>
        <w:jc w:val="left"/>
        <w:rPr>
          <w:rFonts w:ascii="Times New Roman" w:hAnsi="Times New Roman"/>
          <w:sz w:val="20"/>
        </w:rPr>
      </w:pPr>
      <w:r>
        <w:rPr>
          <w:rFonts w:ascii="Times New Roman" w:hAnsi="Times New Roman"/>
          <w:sz w:val="20"/>
        </w:rPr>
        <w:t xml:space="preserve">(2) any omission to comply with those covenants will not constitute a default or an event of default with respect to the debt securities of that series (“covenant defeasance”). </w:t>
      </w:r>
    </w:p>
    <w:p>
      <w:pPr>
        <w:pStyle w:val="TextBody"/>
        <w:bidi w:val="0"/>
        <w:spacing w:before="240" w:after="0"/>
        <w:jc w:val="left"/>
        <w:rPr>
          <w:rFonts w:ascii="Times New Roman" w:hAnsi="Times New Roman"/>
          <w:sz w:val="20"/>
        </w:rPr>
      </w:pPr>
      <w:r>
        <w:rPr>
          <w:rFonts w:ascii="Times New Roman" w:hAnsi="Times New Roman"/>
          <w:sz w:val="20"/>
        </w:rPr>
        <w:t xml:space="preserve">The conditions include: </w:t>
      </w:r>
    </w:p>
    <w:p>
      <w:pPr>
        <w:pStyle w:val="TextBody"/>
        <w:bidi w:val="0"/>
        <w:spacing w:before="240" w:after="0"/>
        <w:jc w:val="left"/>
        <w:rPr>
          <w:rFonts w:ascii="Times New Roman" w:hAnsi="Times New Roman"/>
          <w:sz w:val="20"/>
        </w:rPr>
      </w:pPr>
      <w:r>
        <w:rPr>
          <w:rFonts w:ascii="Times New Roman" w:hAnsi="Times New Roman"/>
          <w:sz w:val="20"/>
        </w:rPr>
        <w:t xml:space="preserve">(1) depositing with the trustee money and/or U.S. Government Obligations or, in the case of debt securities denominated in a single currency other than U.S. Dollars, money and/or Foreign Government Obligations, that, through the payment of interest and principal in accordance with their terms, will provide money in an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- 13 -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sufficient in the opinion of a nationally recognized firm of independent public accountants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 </w:t>
      </w:r>
    </w:p>
    <w:p>
      <w:pPr>
        <w:pStyle w:val="TextBody"/>
        <w:bidi w:val="0"/>
        <w:spacing w:before="240" w:after="0"/>
        <w:jc w:val="left"/>
        <w:rPr>
          <w:rFonts w:ascii="Times New Roman" w:hAnsi="Times New Roman"/>
          <w:sz w:val="20"/>
        </w:rPr>
      </w:pPr>
      <w:r>
        <w:rPr>
          <w:rFonts w:ascii="Times New Roman" w:hAnsi="Times New Roman"/>
          <w:sz w:val="20"/>
        </w:rPr>
        <w:t xml:space="preserve">(2) delivering to the trustee an opinion of counsel stating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w:t>
      </w:r>
    </w:p>
    <w:p>
      <w:pPr>
        <w:pStyle w:val="TextBody"/>
        <w:bidi w:val="0"/>
        <w:spacing w:before="240" w:after="0"/>
        <w:jc w:val="left"/>
        <w:rPr>
          <w:rFonts w:ascii="Times New Roman" w:hAnsi="Times New Roman"/>
          <w:sz w:val="20"/>
        </w:rPr>
      </w:pPr>
      <w:r>
        <w:rPr>
          <w:rFonts w:ascii="Times New Roman" w:hAnsi="Times New Roman"/>
          <w:i/>
          <w:sz w:val="20"/>
        </w:rPr>
        <w:t>Covenant Defeasance and Events of Default</w:t>
      </w:r>
      <w:r>
        <w:rPr>
          <w:rFonts w:ascii="Times New Roman" w:hAnsi="Times New Roman"/>
          <w:sz w:val="20"/>
        </w:rPr>
        <w:t xml:space="preserve">. In the event we exercise our option to effect covenant defeasance with respect to any series of debt securities and the debt securities of that series are declared due and payable because of the occurrence of any Event of Default, the amount of money and/or U.S. Government Obligations or Foreign Government Obligations on deposit with the trustee should be sufficient to pay amounts due on the debt securities of that series at the time of their stated maturity but may not be sufficient to pay amounts due on the debt securities of that series at the time of the acceleration resulting from the Event of Default. However, we shall remain liable for those payments. </w:t>
      </w:r>
    </w:p>
    <w:p>
      <w:pPr>
        <w:pStyle w:val="TextBody"/>
        <w:bidi w:val="0"/>
        <w:spacing w:before="240" w:after="0"/>
        <w:jc w:val="left"/>
        <w:rPr/>
      </w:pPr>
      <w:r>
        <w:rPr/>
        <w:t>“</w:t>
      </w:r>
      <w:r>
        <w:rPr>
          <w:rFonts w:ascii="Times New Roman" w:hAnsi="Times New Roman"/>
          <w:i/>
          <w:sz w:val="20"/>
        </w:rPr>
        <w:t>Foreign Government Obligations</w:t>
      </w:r>
      <w:r>
        <w:rPr>
          <w:rFonts w:ascii="Times New Roman" w:hAnsi="Times New Roman"/>
          <w:sz w:val="20"/>
        </w:rPr>
        <w:t xml:space="preserve">” means, with respect to debt securities of any series that are denominated in a currency other than U.S. Dollars: </w:t>
      </w:r>
    </w:p>
    <w:p>
      <w:pPr>
        <w:pStyle w:val="TextBody"/>
        <w:bidi w:val="0"/>
        <w:spacing w:before="240" w:after="0"/>
        <w:jc w:val="left"/>
        <w:rPr>
          <w:rFonts w:ascii="Times New Roman" w:hAnsi="Times New Roman"/>
          <w:sz w:val="20"/>
        </w:rPr>
      </w:pPr>
      <w:r>
        <w:rPr>
          <w:rFonts w:ascii="Times New Roman" w:hAnsi="Times New Roman"/>
          <w:sz w:val="20"/>
        </w:rPr>
        <w:t xml:space="preserve">(1) direct obligations of the government that issued or caused to be issued such currency for the payment of which obligations its full faith and credit is pledged which are not callable or redeemable at the option of the issuer thereof; or </w:t>
      </w:r>
    </w:p>
    <w:p>
      <w:pPr>
        <w:pStyle w:val="TextBody"/>
        <w:bidi w:val="0"/>
        <w:spacing w:before="240" w:after="0"/>
        <w:jc w:val="left"/>
        <w:rPr>
          <w:rFonts w:ascii="Times New Roman" w:hAnsi="Times New Roman"/>
          <w:sz w:val="20"/>
        </w:rPr>
      </w:pPr>
      <w:r>
        <w:rPr>
          <w:rFonts w:ascii="Times New Roman" w:hAnsi="Times New Roman"/>
          <w:sz w:val="20"/>
        </w:rPr>
        <w:t xml:space="preserve">(2) obligations of a person controlled or supervised by or acting as an agency or instrumentality of that government the timely payment of which is unconditionally guaranteed as a full faith and credit obligation by that government which are not callable or redeemable at the option of the issuer thereof. </w:t>
      </w:r>
    </w:p>
    <w:p>
      <w:pPr>
        <w:pStyle w:val="TextBody"/>
        <w:bidi w:val="0"/>
        <w:spacing w:before="240" w:after="0"/>
        <w:jc w:val="left"/>
        <w:rPr/>
      </w:pPr>
      <w:r>
        <w:rPr/>
        <w:t>“</w:t>
      </w:r>
      <w:r>
        <w:rPr>
          <w:rFonts w:ascii="Times New Roman" w:hAnsi="Times New Roman"/>
          <w:i/>
          <w:sz w:val="20"/>
        </w:rPr>
        <w:t>U.S. Government Obligations</w:t>
      </w:r>
      <w:r>
        <w:rPr>
          <w:rFonts w:ascii="Times New Roman" w:hAnsi="Times New Roman"/>
          <w:sz w:val="20"/>
        </w:rPr>
        <w:t xml:space="preserve">” means securities that are: (1) direct obligations of the United States for the payment of which its full faith and credit is pledged, or (2) obligations of a person controlled or supervised by and acting as an agency or instrumentality of the United States the payment of which is unconditionally guaranteed as a full faith and credit obligation by the United States; that, in either case under clauses (1) or (2)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 </w:t>
      </w:r>
    </w:p>
    <w:p>
      <w:pPr>
        <w:pStyle w:val="TextBody"/>
        <w:bidi w:val="0"/>
        <w:spacing w:before="360" w:after="0"/>
        <w:jc w:val="left"/>
        <w:rPr>
          <w:rFonts w:ascii="Times New Roman" w:hAnsi="Times New Roman"/>
          <w:b/>
          <w:sz w:val="20"/>
        </w:rPr>
      </w:pPr>
      <w:r>
        <w:rPr>
          <w:rFonts w:ascii="Times New Roman" w:hAnsi="Times New Roman"/>
          <w:b/>
          <w:sz w:val="20"/>
        </w:rPr>
        <w:t xml:space="preserve">Satisfaction and Discharge Prior to Maturity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the right at any time to satisfy and discharge its obligations, other than certain specified obligations, under all debt securities issued pursuant to the indenture by depositing in trust with the trustee money and/or U.S. Government Obligations. The Company’s exercise of this right is subject to certain conditions including that either (1) all securities under the indenture (subject to certain exceptions) have been delivered to the trustee for cancellation or (2) all securities under the indenture not previously delivered to the trustee for cancellation have become due and payable or will become due and payable at their stated maturity within one year or have been called for redemption or are to be called for redemption within one year or have been paid and discharged under the Company’s right of legal defeasance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- 14 -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such deposit is sufficient, in the opinion of a nationally recognized firm of independent public accountants (unless the funds consist solely of money), to make all payments of (1) interest on the debt securities prior to their redemption or maturity and (2) principal of (and premium, if any) and interest on such debt securities when due upon redemption or at maturity, all the obligations of the Company under the indenture will be discharged and terminated except as otherwise provided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will be governed by, and construed in accordance with, the internal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- 15 -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72941_9"/>
      <w:bookmarkEnd w:id="24"/>
      <w:r>
        <w:rPr>
          <w:rFonts w:ascii="Times New Roman" w:hAnsi="Times New Roman"/>
          <w:b/>
          <w:sz w:val="20"/>
        </w:rPr>
        <w:t xml:space="preserve">FORMS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Each debt security will be represented either by a certificate issued in definitive form to a particular investor or by one or more global securities representing the entire issuance of securities. Unless the applicable prospectus supplement provides otherwise,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securities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 </w:t>
      </w:r>
    </w:p>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the debt securities of a particular series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 </w:t>
      </w:r>
    </w:p>
    <w:p>
      <w:pPr>
        <w:pStyle w:val="TextBody"/>
        <w:bidi w:val="0"/>
        <w:spacing w:before="240" w:after="0"/>
        <w:jc w:val="left"/>
        <w:rPr>
          <w:rFonts w:ascii="Times New Roman" w:hAnsi="Times New Roman"/>
          <w:sz w:val="20"/>
        </w:rPr>
      </w:pPr>
      <w:r>
        <w:rPr>
          <w:rFonts w:ascii="Times New Roman" w:hAnsi="Times New Roman"/>
          <w:sz w:val="20"/>
        </w:rPr>
        <w:t xml:space="preserve">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 </w:t>
      </w:r>
    </w:p>
    <w:p>
      <w:pPr>
        <w:pStyle w:val="TextBody"/>
        <w:bidi w:val="0"/>
        <w:spacing w:before="240" w:after="0"/>
        <w:jc w:val="left"/>
        <w:rPr>
          <w:rFonts w:ascii="Times New Roman" w:hAnsi="Times New Roman"/>
          <w:sz w:val="20"/>
        </w:rPr>
      </w:pPr>
      <w:r>
        <w:rPr>
          <w:rFonts w:ascii="Times New Roman" w:hAnsi="Times New Roman"/>
          <w:sz w:val="20"/>
        </w:rPr>
        <w:t xml:space="preserve">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depositary, or its nominee, is the registered owner of a global security, that depositary or its nominee, as the case may be, will be considered the sole owner or holder of the securities represented by the global security for all purposes under the indenture.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indenture.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indenture. We understand that under existing industry practices, if we request any action of holders or if an owner of a beneficial interest in a global security desires to give or take any action that a holder is entitled to give or take under the indenture, the depositary for the global security would authorize the participants holding the relevant beneficial interests to give or take that action, and the participants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- 16 -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would authorize beneficial owners owning through them to give or take that action or would otherwise act upon the instructions of beneficial owners holding through them. </w:t>
      </w:r>
    </w:p>
    <w:p>
      <w:pPr>
        <w:pStyle w:val="TextBody"/>
        <w:bidi w:val="0"/>
        <w:spacing w:before="240" w:after="0"/>
        <w:jc w:val="left"/>
        <w:rPr>
          <w:rFonts w:ascii="Times New Roman" w:hAnsi="Times New Roman"/>
          <w:sz w:val="20"/>
        </w:rPr>
      </w:pPr>
      <w:r>
        <w:rPr>
          <w:rFonts w:ascii="Times New Roman" w:hAnsi="Times New Roman"/>
          <w:sz w:val="20"/>
        </w:rPr>
        <w:t xml:space="preserve">Principal, premium, if any, and interest payments on debt securities represented by a global security registered in the name of a depositary or its nominee will be made to the depositary or its nominee, as the case may be, as the registered owner of the global security. None of the Company, the trustee, or any other agent of the Company or the trustee will have any responsibility or liability for any aspect of the records relating to payments made on account of beneficial ownership interests in the global security or for maintaining, supervising or reviewing any records relating to those beneficial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depositary for any of the securities represented by a global security, upon receipt of any payment to holders of principal, premium, interest or other distribution of underlying securities or other property of that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 </w:t>
      </w:r>
    </w:p>
    <w:p>
      <w:pPr>
        <w:pStyle w:val="TextBody"/>
        <w:bidi w:val="0"/>
        <w:spacing w:before="240" w:after="0"/>
        <w:jc w:val="left"/>
        <w:rPr>
          <w:rFonts w:ascii="Times New Roman" w:hAnsi="Times New Roman"/>
          <w:sz w:val="20"/>
        </w:rPr>
      </w:pPr>
      <w:r>
        <w:rPr>
          <w:rFonts w:ascii="Times New Roman" w:hAnsi="Times New Roman"/>
          <w:sz w:val="20"/>
        </w:rPr>
        <w:t xml:space="preserve">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In addition, we may, at any time and in our sole discretion and subject to the procedures of the depositary, determine not to have securities represented by global securities and, in that event, will issue securities in definitive form for the global securities of that series. Any securities issued in definitive form in exchange for a global security will be registered in the name or names that the depositary gives to the trustee or other relevant agent of ours or theirs. It is expected that the depositary’s instructions will be based on directions received by the depositary from participants with respect to ownership of beneficial interests in the global security that had been held by the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- 17 -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72941_10"/>
      <w:bookmarkEnd w:id="25"/>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(1) through underwriters; </w:t>
      </w:r>
    </w:p>
    <w:p>
      <w:pPr>
        <w:pStyle w:val="TextBody"/>
        <w:bidi w:val="0"/>
        <w:spacing w:before="240" w:after="0"/>
        <w:jc w:val="left"/>
        <w:rPr>
          <w:rFonts w:ascii="Times New Roman" w:hAnsi="Times New Roman"/>
          <w:sz w:val="20"/>
        </w:rPr>
      </w:pPr>
      <w:r>
        <w:rPr>
          <w:rFonts w:ascii="Times New Roman" w:hAnsi="Times New Roman"/>
          <w:sz w:val="20"/>
        </w:rPr>
        <w:t xml:space="preserve">(2) through dealers; </w:t>
      </w:r>
    </w:p>
    <w:p>
      <w:pPr>
        <w:pStyle w:val="TextBody"/>
        <w:bidi w:val="0"/>
        <w:spacing w:before="240" w:after="0"/>
        <w:jc w:val="left"/>
        <w:rPr>
          <w:rFonts w:ascii="Times New Roman" w:hAnsi="Times New Roman"/>
          <w:sz w:val="20"/>
        </w:rPr>
      </w:pPr>
      <w:r>
        <w:rPr>
          <w:rFonts w:ascii="Times New Roman" w:hAnsi="Times New Roman"/>
          <w:sz w:val="20"/>
        </w:rPr>
        <w:t xml:space="preserve">(3) through agents; </w:t>
      </w:r>
    </w:p>
    <w:p>
      <w:pPr>
        <w:pStyle w:val="TextBody"/>
        <w:bidi w:val="0"/>
        <w:spacing w:before="240" w:after="0"/>
        <w:jc w:val="left"/>
        <w:rPr>
          <w:rFonts w:ascii="Times New Roman" w:hAnsi="Times New Roman"/>
          <w:sz w:val="20"/>
        </w:rPr>
      </w:pPr>
      <w:r>
        <w:rPr>
          <w:rFonts w:ascii="Times New Roman" w:hAnsi="Times New Roman"/>
          <w:sz w:val="20"/>
        </w:rPr>
        <w:t xml:space="preserve">(4) directly to purchasers; or </w:t>
      </w:r>
    </w:p>
    <w:p>
      <w:pPr>
        <w:pStyle w:val="TextBody"/>
        <w:bidi w:val="0"/>
        <w:spacing w:before="240" w:after="0"/>
        <w:jc w:val="left"/>
        <w:rPr>
          <w:rFonts w:ascii="Times New Roman" w:hAnsi="Times New Roman"/>
          <w:sz w:val="20"/>
        </w:rPr>
      </w:pPr>
      <w:r>
        <w:rPr>
          <w:rFonts w:ascii="Times New Roman" w:hAnsi="Times New Roman"/>
          <w:sz w:val="20"/>
        </w:rPr>
        <w:t xml:space="preserve">(5) through a combination of any of these methods of sale.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may be used in connection with any offering of our debt securities through any of these methods or other methods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directly solicit offers to purchase debt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the debt securities may be effected from time to time in one or more transactions: </w:t>
      </w:r>
    </w:p>
    <w:p>
      <w:pPr>
        <w:pStyle w:val="TextBody"/>
        <w:bidi w:val="0"/>
        <w:spacing w:before="240" w:after="0"/>
        <w:jc w:val="left"/>
        <w:rPr>
          <w:rFonts w:ascii="Times New Roman" w:hAnsi="Times New Roman"/>
          <w:sz w:val="20"/>
        </w:rPr>
      </w:pPr>
      <w:r>
        <w:rPr>
          <w:rFonts w:ascii="Times New Roman" w:hAnsi="Times New Roman"/>
          <w:sz w:val="20"/>
        </w:rPr>
        <w:t xml:space="preserve">(1) at a fixed price, or prices, which may be changed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(2) at market prices prevailing at the time of sale; </w:t>
      </w:r>
    </w:p>
    <w:p>
      <w:pPr>
        <w:pStyle w:val="TextBody"/>
        <w:bidi w:val="0"/>
        <w:spacing w:before="240" w:after="0"/>
        <w:jc w:val="left"/>
        <w:rPr>
          <w:rFonts w:ascii="Times New Roman" w:hAnsi="Times New Roman"/>
          <w:sz w:val="20"/>
        </w:rPr>
      </w:pPr>
      <w:r>
        <w:rPr>
          <w:rFonts w:ascii="Times New Roman" w:hAnsi="Times New Roman"/>
          <w:sz w:val="20"/>
        </w:rPr>
        <w:t xml:space="preserve">(3) at prices related to such prevailing market prices; or </w:t>
      </w:r>
    </w:p>
    <w:p>
      <w:pPr>
        <w:pStyle w:val="TextBody"/>
        <w:bidi w:val="0"/>
        <w:spacing w:before="240" w:after="0"/>
        <w:jc w:val="left"/>
        <w:rPr>
          <w:rFonts w:ascii="Times New Roman" w:hAnsi="Times New Roman"/>
          <w:sz w:val="20"/>
        </w:rPr>
      </w:pPr>
      <w:r>
        <w:rPr>
          <w:rFonts w:ascii="Times New Roman" w:hAnsi="Times New Roman"/>
          <w:sz w:val="20"/>
        </w:rPr>
        <w:t xml:space="preserve">(4)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Each prospectus supplement will describe the method of distribution of the debt securities and any applicable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with respect to the debt securities of a particular series will describe the terms of the offering of the debt securities, including the following: </w:t>
      </w:r>
    </w:p>
    <w:p>
      <w:pPr>
        <w:pStyle w:val="TextBody"/>
        <w:bidi w:val="0"/>
        <w:spacing w:before="240" w:after="0"/>
        <w:jc w:val="left"/>
        <w:rPr>
          <w:rFonts w:ascii="Times New Roman" w:hAnsi="Times New Roman"/>
          <w:sz w:val="20"/>
        </w:rPr>
      </w:pPr>
      <w:r>
        <w:rPr>
          <w:rFonts w:ascii="Times New Roman" w:hAnsi="Times New Roman"/>
          <w:sz w:val="20"/>
        </w:rPr>
        <w:t xml:space="preserve">(1) the name of the agent or any underwriters; </w:t>
      </w:r>
    </w:p>
    <w:p>
      <w:pPr>
        <w:pStyle w:val="TextBody"/>
        <w:bidi w:val="0"/>
        <w:spacing w:before="240" w:after="0"/>
        <w:jc w:val="left"/>
        <w:rPr>
          <w:rFonts w:ascii="Times New Roman" w:hAnsi="Times New Roman"/>
          <w:sz w:val="20"/>
        </w:rPr>
      </w:pPr>
      <w:r>
        <w:rPr>
          <w:rFonts w:ascii="Times New Roman" w:hAnsi="Times New Roman"/>
          <w:sz w:val="20"/>
        </w:rPr>
        <w:t xml:space="preserve">(2) the public offering or purchase price and the proceeds we will receive from the sale of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(3) any discounts and commissions to be allowed or re-allowed or paid to the agent or underwriters; </w:t>
      </w:r>
    </w:p>
    <w:p>
      <w:pPr>
        <w:pStyle w:val="TextBody"/>
        <w:bidi w:val="0"/>
        <w:spacing w:before="240" w:after="0"/>
        <w:jc w:val="left"/>
        <w:rPr>
          <w:rFonts w:ascii="Times New Roman" w:hAnsi="Times New Roman"/>
          <w:sz w:val="20"/>
        </w:rPr>
      </w:pPr>
      <w:r>
        <w:rPr>
          <w:rFonts w:ascii="Times New Roman" w:hAnsi="Times New Roman"/>
          <w:sz w:val="20"/>
        </w:rPr>
        <w:t xml:space="preserve">(4) all other items constituting underwriting compensation; </w:t>
      </w:r>
    </w:p>
    <w:p>
      <w:pPr>
        <w:pStyle w:val="TextBody"/>
        <w:bidi w:val="0"/>
        <w:spacing w:before="240" w:after="0"/>
        <w:jc w:val="left"/>
        <w:rPr>
          <w:rFonts w:ascii="Times New Roman" w:hAnsi="Times New Roman"/>
          <w:sz w:val="20"/>
        </w:rPr>
      </w:pPr>
      <w:r>
        <w:rPr>
          <w:rFonts w:ascii="Times New Roman" w:hAnsi="Times New Roman"/>
          <w:sz w:val="20"/>
        </w:rPr>
        <w:t xml:space="preserve">(5) any discounts and commissions to be allowed or re-allowed or paid to dealers; and </w:t>
      </w:r>
    </w:p>
    <w:p>
      <w:pPr>
        <w:pStyle w:val="TextBody"/>
        <w:bidi w:val="0"/>
        <w:spacing w:before="240" w:after="0"/>
        <w:jc w:val="left"/>
        <w:rPr>
          <w:rFonts w:ascii="Times New Roman" w:hAnsi="Times New Roman"/>
          <w:sz w:val="20"/>
        </w:rPr>
      </w:pPr>
      <w:r>
        <w:rPr>
          <w:rFonts w:ascii="Times New Roman" w:hAnsi="Times New Roman"/>
          <w:sz w:val="20"/>
        </w:rPr>
        <w:t xml:space="preserve">(6) any exchanges on which the debt securities will be listed.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- 18 -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any underwriters or agents are utilized in the sale of the debt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certain of the terms of the related agreement with them. </w:t>
      </w:r>
    </w:p>
    <w:p>
      <w:pPr>
        <w:pStyle w:val="TextBody"/>
        <w:bidi w:val="0"/>
        <w:spacing w:before="240" w:after="0"/>
        <w:jc w:val="left"/>
        <w:rPr>
          <w:rFonts w:ascii="Times New Roman" w:hAnsi="Times New Roman"/>
          <w:sz w:val="20"/>
        </w:rPr>
      </w:pPr>
      <w:r>
        <w:rPr>
          <w:rFonts w:ascii="Times New Roman" w:hAnsi="Times New Roman"/>
          <w:sz w:val="20"/>
        </w:rPr>
        <w:t xml:space="preserve">If a dealer is utilized in the sale of the debt securities in respect of which this prospectus is delivered, we will sell such debt securities to the dealer, as principal. The dealer may then resell such securities to the public at varying prices to be determined by such dealer at the time of resale. </w:t>
      </w:r>
    </w:p>
    <w:p>
      <w:pPr>
        <w:pStyle w:val="TextBody"/>
        <w:bidi w:val="0"/>
        <w:spacing w:before="240" w:after="0"/>
        <w:jc w:val="left"/>
        <w:rPr>
          <w:rFonts w:ascii="Times New Roman" w:hAnsi="Times New Roman"/>
          <w:sz w:val="20"/>
        </w:rPr>
      </w:pPr>
      <w:r>
        <w:rPr>
          <w:rFonts w:ascii="Times New Roman" w:hAnsi="Times New Roman"/>
          <w:sz w:val="20"/>
        </w:rPr>
        <w:t xml:space="preserve">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If so indicated in the applicable prospectus supplement, we will authorize underwriters or other persons acting as our agents to solicit offers by certain institutions to purchase debt securities from us pursuant to delayed delivery contracts providing for payment and delivery on the date stated in the prospectus supplement. Each contract will be for an amount not less than, and the aggregate amount of debt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 </w:t>
      </w:r>
    </w:p>
    <w:p>
      <w:pPr>
        <w:pStyle w:val="TextBody"/>
        <w:bidi w:val="0"/>
        <w:spacing w:before="240" w:after="0"/>
        <w:jc w:val="left"/>
        <w:rPr>
          <w:rFonts w:ascii="Times New Roman" w:hAnsi="Times New Roman"/>
          <w:sz w:val="20"/>
        </w:rPr>
      </w:pPr>
      <w:r>
        <w:rPr>
          <w:rFonts w:ascii="Times New Roman" w:hAnsi="Times New Roman"/>
          <w:sz w:val="20"/>
        </w:rPr>
        <w:t xml:space="preserve">(1) the purchase by an institution of the debt securities covered under that contract shall not at the time of delivery be prohibited under the laws of the jurisdiction to which that institution is subject; and </w:t>
      </w:r>
    </w:p>
    <w:p>
      <w:pPr>
        <w:pStyle w:val="TextBody"/>
        <w:bidi w:val="0"/>
        <w:spacing w:before="240" w:after="0"/>
        <w:jc w:val="left"/>
        <w:rPr>
          <w:rFonts w:ascii="Times New Roman" w:hAnsi="Times New Roman"/>
          <w:sz w:val="20"/>
        </w:rPr>
      </w:pPr>
      <w:r>
        <w:rPr>
          <w:rFonts w:ascii="Times New Roman" w:hAnsi="Times New Roman"/>
          <w:sz w:val="20"/>
        </w:rPr>
        <w:t xml:space="preserve">(2) if the debt securities are also being sold to underwriters acting as principals for their own account, the underwriters shall have purchased such debt securities not sold for delayed delivery. The underwriters and other persons acting as our agents will not have any responsibility in respect of the validity or performance of delayed delivery contracts. </w:t>
      </w:r>
    </w:p>
    <w:p>
      <w:pPr>
        <w:pStyle w:val="TextBody"/>
        <w:bidi w:val="0"/>
        <w:spacing w:before="240" w:after="0"/>
        <w:jc w:val="left"/>
        <w:rPr>
          <w:rFonts w:ascii="Times New Roman" w:hAnsi="Times New Roman"/>
          <w:sz w:val="20"/>
        </w:rPr>
      </w:pPr>
      <w:r>
        <w:rPr>
          <w:rFonts w:ascii="Times New Roman" w:hAnsi="Times New Roman"/>
          <w:sz w:val="20"/>
        </w:rPr>
        <w:t xml:space="preserve">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debt securities, any underwriters may engage in transactions that stabilize, maintain or otherwise affect the price of the debt securities or any other securities the prices of which may be used to determine payments on such debt securities. Specifically, any underwriters may overallot in connection with the offering, creating a short position for their own accounts. In addition, to cover overallotments or to stabilize the price of the debt securities or of any such other securities, the underwriters may bid for, and purchase, the debt securities or any such other securities in the open market. Finally, in any offering of the debt securities through a syndicate of underwriters, the underwriting syndicate may reclaim selling concessions allowed to an underwriter or a dealer for distributing the debt securities in the offering if the syndicate repurchases previously distributed debt securities in transactions to cover syndicate short positions, in stabilization transactions or otherwise. Any of these activities may stabilize or maintain the market price of the debt securities above independent market levels. Any such underwriters are not required to engage in these activities and may end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- 19 -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prior to the first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may be new issues of securities and may have no established trading market. The debt securities may or may not be listed on a national securities exchange. We can make no assurance as to the liquidity of or the existence of trading markets for any of the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- 20 -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72941_11"/>
      <w:bookmarkEnd w:id="26"/>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the applicable prospectus supplement indicates otherwise, the validity of the debt securities in respect of which this prospectus is being delivered will be passed upon by Wilmer Cutler Pickering Hale and Dorr LLP. </w:t>
      </w:r>
    </w:p>
    <w:p>
      <w:pPr>
        <w:pStyle w:val="TextBody"/>
        <w:bidi w:val="0"/>
        <w:spacing w:before="480" w:after="0"/>
        <w:jc w:val="center"/>
        <w:rPr>
          <w:rFonts w:ascii="Times New Roman" w:hAnsi="Times New Roman"/>
          <w:b/>
          <w:sz w:val="20"/>
        </w:rPr>
      </w:pPr>
      <w:bookmarkStart w:id="27" w:name="toc72941_12"/>
      <w:bookmarkEnd w:id="27"/>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Analog Devices, Inc. appearing in Analog Devices, Inc.’s Annual Report (Form 10-K) for the year ended October 28, 2023, and the effectiveness of Analog Devices, Inc.’s internal control over financial reporting as of October 28, 2023,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- 21 -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700" w:after="0"/>
        <w:jc w:val="center"/>
        <w:rPr>
          <w:rFonts w:ascii="Times New Roman" w:hAnsi="Times New Roman"/>
          <w:b/>
          <w:sz w:val="32"/>
        </w:rPr>
      </w:pPr>
      <w:r>
        <w:rPr>
          <w:rFonts w:ascii="Times New Roman" w:hAnsi="Times New Roman"/>
          <w:b/>
          <w:sz w:val="32"/>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3234055" cy="892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6"/>
                    <a:stretch>
                      <a:fillRect/>
                    </a:stretch>
                  </pic:blipFill>
                  <pic:spPr bwMode="auto">
                    <a:xfrm>
                      <a:off x="0" y="0"/>
                      <a:ext cx="3234055" cy="8921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500" w:after="0"/>
        <w:jc w:val="center"/>
        <w:rPr>
          <w:rFonts w:ascii="Times New Roman" w:hAnsi="Times New Roman"/>
          <w:b/>
          <w:sz w:val="24"/>
        </w:rPr>
      </w:pPr>
      <w:r>
        <w:rPr>
          <w:rFonts w:ascii="Times New Roman" w:hAnsi="Times New Roman"/>
          <w:b/>
          <w:sz w:val="24"/>
        </w:rPr>
        <w:t xml:space="preserve">$   Floating Rate Senior Notes Due 20  </w:t>
      </w:r>
    </w:p>
    <w:p>
      <w:pPr>
        <w:pStyle w:val="TextBody"/>
        <w:bidi w:val="0"/>
        <w:spacing w:before="240" w:after="0"/>
        <w:jc w:val="center"/>
        <w:rPr>
          <w:rFonts w:ascii="Times New Roman" w:hAnsi="Times New Roman"/>
          <w:b/>
          <w:sz w:val="24"/>
        </w:rPr>
      </w:pPr>
      <w:r>
        <w:rPr>
          <w:rFonts w:ascii="Times New Roman" w:hAnsi="Times New Roman"/>
          <w:b/>
          <w:sz w:val="24"/>
        </w:rPr>
        <w:t xml:space="preserve">$     % Senior Notes Due 20  </w:t>
      </w:r>
    </w:p>
    <w:p>
      <w:pPr>
        <w:pStyle w:val="TextBody"/>
        <w:bidi w:val="0"/>
        <w:spacing w:before="240" w:after="0"/>
        <w:jc w:val="center"/>
        <w:rPr>
          <w:rFonts w:ascii="Times New Roman" w:hAnsi="Times New Roman"/>
          <w:b/>
          <w:sz w:val="24"/>
        </w:rPr>
      </w:pPr>
      <w:r>
        <w:rPr>
          <w:rFonts w:ascii="Times New Roman" w:hAnsi="Times New Roman"/>
          <w:b/>
          <w:sz w:val="24"/>
        </w:rPr>
        <w:t xml:space="preserve">$     % Senior Notes Due 20  </w:t>
      </w:r>
    </w:p>
    <w:p>
      <w:pPr>
        <w:pStyle w:val="TextBody"/>
        <w:bidi w:val="0"/>
        <w:spacing w:before="240" w:after="0"/>
        <w:jc w:val="center"/>
        <w:rPr>
          <w:rFonts w:ascii="Times New Roman" w:hAnsi="Times New Roman"/>
          <w:b/>
          <w:sz w:val="24"/>
        </w:rPr>
      </w:pPr>
      <w:r>
        <w:rPr>
          <w:rFonts w:ascii="Times New Roman" w:hAnsi="Times New Roman"/>
          <w:b/>
          <w:sz w:val="24"/>
        </w:rPr>
        <w:t xml:space="preserve">$     % Senior Notes Due 20  </w:t>
      </w:r>
    </w:p>
    <w:p>
      <w:pPr>
        <w:pStyle w:val="TextBody"/>
        <w:bidi w:val="0"/>
        <w:spacing w:before="240" w:after="0"/>
        <w:jc w:val="center"/>
        <w:rPr>
          <w:rFonts w:ascii="Times New Roman" w:hAnsi="Times New Roman"/>
          <w:b/>
          <w:sz w:val="24"/>
        </w:rPr>
      </w:pPr>
      <w:r>
        <w:rPr>
          <w:rFonts w:ascii="Times New Roman" w:hAnsi="Times New Roman"/>
          <w:b/>
          <w:sz w:val="24"/>
        </w:rPr>
        <w:t xml:space="preserve">$     % Senior Notes Due 20 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0" w:after="0"/>
        <w:jc w:val="center"/>
        <w:rPr>
          <w:rFonts w:ascii="Times New Roman" w:hAnsi="Times New Roman"/>
          <w:b/>
          <w:i/>
          <w:sz w:val="24"/>
        </w:rPr>
      </w:pPr>
      <w:r>
        <w:rPr>
          <w:rFonts w:ascii="Times New Roman" w:hAnsi="Times New Roman"/>
          <w:b/>
          <w:i/>
          <w:sz w:val="24"/>
        </w:rPr>
        <w:t xml:space="preserve">Joint Book-Running 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98"/>
        <w:gridCol w:w="90"/>
        <w:gridCol w:w="1174"/>
        <w:gridCol w:w="90"/>
        <w:gridCol w:w="2028"/>
        <w:gridCol w:w="90"/>
        <w:gridCol w:w="1999"/>
        <w:gridCol w:w="90"/>
        <w:gridCol w:w="1286"/>
        <w:gridCol w:w="89"/>
        <w:gridCol w:w="1971"/>
      </w:tblGrid>
      <w:tr>
        <w:trPr/>
        <w:tc>
          <w:tcPr>
            <w:tcW w:w="1298"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298" w:type="dxa"/>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2118" w:type="dxa"/>
            <w:gridSpan w:val="2"/>
            <w:tcBorders/>
            <w:vAlign w:val="center"/>
          </w:tcPr>
          <w:p>
            <w:pPr>
              <w:pStyle w:val="TableContents"/>
              <w:bidi w:val="0"/>
              <w:spacing w:before="0" w:after="283"/>
              <w:jc w:val="left"/>
              <w:rPr>
                <w:sz w:val="4"/>
                <w:szCs w:val="4"/>
              </w:rPr>
            </w:pPr>
            <w:r>
              <w:rPr>
                <w:sz w:val="4"/>
                <w:szCs w:val="4"/>
              </w:rPr>
            </w:r>
          </w:p>
        </w:tc>
        <w:tc>
          <w:tcPr>
            <w:tcW w:w="2089" w:type="dxa"/>
            <w:gridSpan w:val="2"/>
            <w:tcBorders/>
            <w:vAlign w:val="center"/>
          </w:tcPr>
          <w:p>
            <w:pPr>
              <w:pStyle w:val="TableContents"/>
              <w:bidi w:val="0"/>
              <w:spacing w:before="0" w:after="283"/>
              <w:jc w:val="left"/>
              <w:rPr>
                <w:sz w:val="4"/>
                <w:szCs w:val="4"/>
              </w:rPr>
            </w:pPr>
            <w:r>
              <w:rPr>
                <w:sz w:val="4"/>
                <w:szCs w:val="4"/>
              </w:rPr>
            </w:r>
          </w:p>
        </w:tc>
        <w:tc>
          <w:tcPr>
            <w:tcW w:w="1376" w:type="dxa"/>
            <w:gridSpan w:val="2"/>
            <w:tcBorders/>
            <w:vAlign w:val="center"/>
          </w:tcPr>
          <w:p>
            <w:pPr>
              <w:pStyle w:val="TableContents"/>
              <w:bidi w:val="0"/>
              <w:spacing w:before="0" w:after="283"/>
              <w:jc w:val="left"/>
              <w:rPr>
                <w:sz w:val="4"/>
                <w:szCs w:val="4"/>
              </w:rPr>
            </w:pPr>
            <w:r>
              <w:rPr>
                <w:sz w:val="4"/>
                <w:szCs w:val="4"/>
              </w:rPr>
            </w:r>
          </w:p>
        </w:tc>
        <w:tc>
          <w:tcPr>
            <w:tcW w:w="2060" w:type="dxa"/>
            <w:gridSpan w:val="2"/>
            <w:tcBorders/>
            <w:vAlign w:val="center"/>
          </w:tcPr>
          <w:p>
            <w:pPr>
              <w:pStyle w:val="TableContents"/>
              <w:bidi w:val="0"/>
              <w:spacing w:before="0" w:after="283"/>
              <w:jc w:val="left"/>
              <w:rPr>
                <w:sz w:val="4"/>
                <w:szCs w:val="4"/>
              </w:rPr>
            </w:pPr>
            <w:r>
              <w:rPr>
                <w:sz w:val="4"/>
                <w:szCs w:val="4"/>
              </w:rPr>
            </w:r>
          </w:p>
        </w:tc>
      </w:tr>
      <w:tr>
        <w:trPr/>
        <w:tc>
          <w:tcPr>
            <w:tcW w:w="1298" w:type="dxa"/>
            <w:tcBorders/>
          </w:tcPr>
          <w:p>
            <w:pPr>
              <w:pStyle w:val="TableContents"/>
              <w:bidi w:val="0"/>
              <w:spacing w:before="0" w:after="283"/>
              <w:jc w:val="left"/>
              <w:rPr>
                <w:b/>
              </w:rPr>
            </w:pPr>
            <w:r>
              <w:rPr>
                <w:b/>
              </w:rPr>
              <w:t>J.P. Morgan</w:t>
            </w:r>
          </w:p>
        </w:tc>
        <w:tc>
          <w:tcPr>
            <w:tcW w:w="90" w:type="dxa"/>
            <w:tcBorders/>
            <w:vAlign w:val="bottom"/>
          </w:tcPr>
          <w:p>
            <w:pPr>
              <w:pStyle w:val="TableContents"/>
              <w:bidi w:val="0"/>
              <w:spacing w:before="0" w:after="283"/>
              <w:jc w:val="left"/>
              <w:rPr/>
            </w:pPr>
            <w:r>
              <w:rPr/>
              <w:t> </w:t>
            </w:r>
          </w:p>
        </w:tc>
        <w:tc>
          <w:tcPr>
            <w:tcW w:w="1174" w:type="dxa"/>
            <w:tcBorders/>
          </w:tcPr>
          <w:p>
            <w:pPr>
              <w:pStyle w:val="TableContents"/>
              <w:bidi w:val="0"/>
              <w:spacing w:before="0" w:after="283"/>
              <w:jc w:val="right"/>
              <w:rPr>
                <w:b/>
              </w:rPr>
            </w:pPr>
            <w:r>
              <w:rPr>
                <w:b/>
              </w:rPr>
              <w:t>Barclays</w:t>
            </w:r>
          </w:p>
        </w:tc>
        <w:tc>
          <w:tcPr>
            <w:tcW w:w="90" w:type="dxa"/>
            <w:tcBorders/>
            <w:vAlign w:val="bottom"/>
          </w:tcPr>
          <w:p>
            <w:pPr>
              <w:pStyle w:val="TableContents"/>
              <w:bidi w:val="0"/>
              <w:spacing w:before="0" w:after="283"/>
              <w:jc w:val="left"/>
              <w:rPr/>
            </w:pPr>
            <w:r>
              <w:rPr/>
              <w:t> </w:t>
            </w:r>
          </w:p>
        </w:tc>
        <w:tc>
          <w:tcPr>
            <w:tcW w:w="2028" w:type="dxa"/>
            <w:tcBorders/>
          </w:tcPr>
          <w:p>
            <w:pPr>
              <w:pStyle w:val="TableContents"/>
              <w:bidi w:val="0"/>
              <w:spacing w:before="0" w:after="283"/>
              <w:jc w:val="right"/>
              <w:rPr>
                <w:b/>
              </w:rPr>
            </w:pPr>
            <w:r>
              <w:rPr>
                <w:b/>
              </w:rPr>
              <w:t>BNP PARIBAS</w:t>
            </w:r>
          </w:p>
        </w:tc>
        <w:tc>
          <w:tcPr>
            <w:tcW w:w="90" w:type="dxa"/>
            <w:tcBorders/>
            <w:vAlign w:val="bottom"/>
          </w:tcPr>
          <w:p>
            <w:pPr>
              <w:pStyle w:val="TableContents"/>
              <w:bidi w:val="0"/>
              <w:spacing w:before="0" w:after="283"/>
              <w:jc w:val="left"/>
              <w:rPr/>
            </w:pPr>
            <w:r>
              <w:rPr/>
              <w:t> </w:t>
            </w:r>
          </w:p>
        </w:tc>
        <w:tc>
          <w:tcPr>
            <w:tcW w:w="1999" w:type="dxa"/>
            <w:tcBorders/>
          </w:tcPr>
          <w:p>
            <w:pPr>
              <w:pStyle w:val="TableContents"/>
              <w:bidi w:val="0"/>
              <w:spacing w:before="0" w:after="283"/>
              <w:jc w:val="right"/>
              <w:rPr>
                <w:b/>
              </w:rPr>
            </w:pPr>
            <w:r>
              <w:rPr>
                <w:b/>
              </w:rPr>
              <w:t>BofA Securities</w:t>
            </w:r>
          </w:p>
        </w:tc>
        <w:tc>
          <w:tcPr>
            <w:tcW w:w="90" w:type="dxa"/>
            <w:tcBorders/>
            <w:vAlign w:val="bottom"/>
          </w:tcPr>
          <w:p>
            <w:pPr>
              <w:pStyle w:val="TableContents"/>
              <w:bidi w:val="0"/>
              <w:spacing w:before="0" w:after="283"/>
              <w:jc w:val="left"/>
              <w:rPr/>
            </w:pPr>
            <w:r>
              <w:rPr/>
              <w:t> </w:t>
            </w:r>
          </w:p>
        </w:tc>
        <w:tc>
          <w:tcPr>
            <w:tcW w:w="1286" w:type="dxa"/>
            <w:tcBorders/>
          </w:tcPr>
          <w:p>
            <w:pPr>
              <w:pStyle w:val="TableContents"/>
              <w:bidi w:val="0"/>
              <w:spacing w:before="0" w:after="283"/>
              <w:jc w:val="right"/>
              <w:rPr>
                <w:b/>
              </w:rPr>
            </w:pPr>
            <w:r>
              <w:rPr>
                <w:b/>
              </w:rPr>
              <w:t>Citigroup</w:t>
            </w:r>
          </w:p>
        </w:tc>
        <w:tc>
          <w:tcPr>
            <w:tcW w:w="89" w:type="dxa"/>
            <w:tcBorders/>
            <w:vAlign w:val="bottom"/>
          </w:tcPr>
          <w:p>
            <w:pPr>
              <w:pStyle w:val="TableContents"/>
              <w:bidi w:val="0"/>
              <w:spacing w:before="0" w:after="283"/>
              <w:jc w:val="left"/>
              <w:rPr/>
            </w:pPr>
            <w:r>
              <w:rPr/>
              <w:t> </w:t>
            </w:r>
          </w:p>
        </w:tc>
        <w:tc>
          <w:tcPr>
            <w:tcW w:w="1971" w:type="dxa"/>
            <w:tcBorders/>
          </w:tcPr>
          <w:p>
            <w:pPr>
              <w:pStyle w:val="TableContents"/>
              <w:bidi w:val="0"/>
              <w:spacing w:before="0" w:after="283"/>
              <w:jc w:val="right"/>
              <w:rPr>
                <w:b/>
              </w:rPr>
            </w:pPr>
            <w:r>
              <w:rPr>
                <w:b/>
              </w:rPr>
              <w:t>Morgan Stanley</w:t>
            </w:r>
          </w:p>
        </w:tc>
      </w:tr>
    </w:tbl>
    <w:p>
      <w:pPr>
        <w:pStyle w:val="TextBody"/>
        <w:bidi w:val="0"/>
        <w:spacing w:before="600" w:after="0"/>
        <w:jc w:val="center"/>
        <w:rPr/>
      </w:pPr>
      <w:r>
        <w:rPr/>
        <w:t>    </w:t>
      </w:r>
      <w:r>
        <w:rPr>
          <w:rFonts w:ascii="Times New Roman" w:hAnsi="Times New Roman"/>
          <w:b/>
          <w:sz w:val="20"/>
        </w:rPr>
        <w:t xml:space="preserve">,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6281/000000628125000153/adi-20251101.htm" TargetMode="External"/><Relationship Id="rId4" Type="http://schemas.openxmlformats.org/officeDocument/2006/relationships/hyperlink" Target="http://www.sec.gov/Archives/edgar/data/../../../ix?doc=/Archives/edgar/data/6281/000000628125000153/adi-20251101.htm" TargetMode="External"/><Relationship Id="rId5" Type="http://schemas.openxmlformats.org/officeDocument/2006/relationships/hyperlink" Target="http://www.sec.gov/Archives/edgar/data/../../../ix?doc=/Archives/edgar/data/6281/000000628126000010/adi-20260122.htm" TargetMode="External"/><Relationship Id="rId6" Type="http://schemas.openxmlformats.org/officeDocument/2006/relationships/hyperlink" Target="http://www.sec.gov/Archives/edgar/data/../../../ix?doc=/Archives/edgar/data/6281/000000628126000016/adi-20260131.htm" TargetMode="External"/><Relationship Id="rId7" Type="http://schemas.openxmlformats.org/officeDocument/2006/relationships/hyperlink" Target="http://www.sec.gov/Archives/edgar/data/../../../ix?doc=/Archives/edgar/data/6281/000000628126000052/adi-20260502.htm" TargetMode="External"/><Relationship Id="rId8" Type="http://schemas.openxmlformats.org/officeDocument/2006/relationships/hyperlink" Target="http://www.sec.gov/Archives/edgar/data/../../../ix?doc=/Archives/edgar/data/6281/000000628126000073/adi-20260801.htm" TargetMode="External"/><Relationship Id="rId9" Type="http://schemas.openxmlformats.org/officeDocument/2006/relationships/hyperlink" Target="http://www.sec.gov/Archives/edgar/data/../../../ix?doc=/Archives/edgar/data/6281/000000628126000008/adi-20260120.htm" TargetMode="External"/><Relationship Id="rId10" Type="http://schemas.openxmlformats.org/officeDocument/2006/relationships/hyperlink" Target="http://www.sec.gov/Archives/edgar/data/../../../ix?doc=/Archives/edgar/data/6281/000000628126000015/adi-20260217.htm" TargetMode="External"/><Relationship Id="rId11" Type="http://schemas.openxmlformats.org/officeDocument/2006/relationships/hyperlink" Target="http://www.sec.gov/Archives/edgar/data/../../../ix?doc=/Archives/edgar/data/6281/000000628126000022/adi-20260311.htm" TargetMode="External"/><Relationship Id="rId12" Type="http://schemas.openxmlformats.org/officeDocument/2006/relationships/hyperlink" Target="http://www.sec.gov/Archives/edgar/data/../../../ix?doc=/Archives/edgar/data/6281/000119312526294488/d112344d8k.htm" TargetMode="External"/><Relationship Id="rId13" Type="http://schemas.openxmlformats.org/officeDocument/2006/relationships/hyperlink" Target="http://www.sec.gov/Archives/edgar/data/../../../ix?doc=/Archives/edgar/data/6281/000119312526324223/d158253d8k.htm" TargetMode="External"/><Relationship Id="rId14" Type="http://schemas.openxmlformats.org/officeDocument/2006/relationships/image" Target="media/image2.jpeg"/><Relationship Id="rId15" Type="http://schemas.openxmlformats.org/officeDocument/2006/relationships/hyperlink" Target="http://www.sec.gov/Archives/edgar/data/../../../ix?doc=/Archives/edgar/data/0000006281/000000628123000203/adi-20231028.htm" TargetMode="External"/><Relationship Id="rId16" Type="http://schemas.openxmlformats.org/officeDocument/2006/relationships/hyperlink" Target="http://www.sec.gov/Archives/edgar/data/../../../ix?doc=/Archives/edgar/data/0000006281/000000628124000014/adi-20240118.htm" TargetMode="External"/><Relationship Id="rId17" Type="http://schemas.openxmlformats.org/officeDocument/2006/relationships/hyperlink" Target="http://www.sec.gov/Archives/edgar/data/../../../ix?doc=/Archives/edgar/data/0000006281/000000628124000034/adi-20240203.htm" TargetMode="External"/><Relationship Id="rId18" Type="http://schemas.openxmlformats.org/officeDocument/2006/relationships/hyperlink" Target="http://www.sec.gov/Archives/edgar/data/../../../ix?doc=/Archives/edgar/data/6281/000000628124000132/adi-20240504.htm" TargetMode="External"/><Relationship Id="rId19" Type="http://schemas.openxmlformats.org/officeDocument/2006/relationships/hyperlink" Target="http://www.sec.gov/Archives/edgar/data/../../../ix?doc=/Archives/edgar/data/6281/000000628124000159/adi-20240803.htm" TargetMode="External"/><Relationship Id="rId20" Type="http://schemas.openxmlformats.org/officeDocument/2006/relationships/hyperlink" Target="http://www.sec.gov/Archives/edgar/data/../../../ix?doc=/Archives/edgar/data/0000006281/000000628123000209/adi-20231205.htm" TargetMode="External"/><Relationship Id="rId21" Type="http://schemas.openxmlformats.org/officeDocument/2006/relationships/hyperlink" Target="http://www.sec.gov/Archives/edgar/data/../../../ix?doc=/Archives/edgar/data/0000006281/000000628124000012/adi-20240116.htm" TargetMode="External"/><Relationship Id="rId22" Type="http://schemas.openxmlformats.org/officeDocument/2006/relationships/hyperlink" Target="http://www.sec.gov/Archives/edgar/data/../../../ix?doc=/Archives/edgar/data/0000006281/000000628124000019/adi-20240124.htm" TargetMode="External"/><Relationship Id="rId23" Type="http://schemas.openxmlformats.org/officeDocument/2006/relationships/hyperlink" Target="http://www.sec.gov/Archives/edgar/data/../../../ix?doc=/Archives/edgar/data/0000006281/000000628124000032/adi-20240220.htm" TargetMode="External"/><Relationship Id="rId24" Type="http://schemas.openxmlformats.org/officeDocument/2006/relationships/hyperlink" Target="http://www.sec.gov/Archives/edgar/data/../../../ix?doc=/Archives/edgar/data/0000006281/000000628124000071/adi-20240313.htm" TargetMode="External"/><Relationship Id="rId25" Type="http://schemas.openxmlformats.org/officeDocument/2006/relationships/hyperlink" Target="http://www.sec.gov/Archives/edgar/data/../../../ix?doc=/Archives/edgar/data/0000006281/000119312524085997/d786555d8k.htm" TargetMode="External"/><Relationship Id="rId26" Type="http://schemas.openxmlformats.org/officeDocument/2006/relationships/image" Target="media/image3.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71</Pages>
  <Words>36836</Words>
  <Characters>190865</Characters>
  <CharactersWithSpaces>229122</CharactersWithSpaces>
  <Paragraphs>2186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424B2</dc:title>
</cp:coreProperties>
</file>