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75690d8k.htm"/>
      <w:bookmarkStart w:id="1" w:name="ksd17569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September 15,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Analog Devices,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2060"/>
        <w:gridCol w:w="60"/>
        <w:gridCol w:w="980"/>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Massachusetts</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1-7819</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04-2348234</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One Analog Way</w:t>
            </w:r>
          </w:p>
          <w:p>
            <w:pPr>
              <w:pStyle w:val="TableContents"/>
              <w:bidi w:val="0"/>
              <w:spacing w:before="0" w:after="20"/>
              <w:jc w:val="center"/>
              <w:rPr>
                <w:rFonts w:ascii="Times New Roman" w:hAnsi="Times New Roman"/>
                <w:b/>
                <w:sz w:val="20"/>
              </w:rPr>
            </w:pPr>
            <w:r>
              <w:rPr>
                <w:rFonts w:ascii="Times New Roman" w:hAnsi="Times New Roman"/>
                <w:b/>
                <w:sz w:val="20"/>
              </w:rPr>
              <w:t>Wilmington, MA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01887</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(781) 935-5565</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010" w:type="dxa"/>
        <w:jc w:val="left"/>
        <w:tblInd w:w="0" w:type="dxa"/>
        <w:tblLayout w:type="fixed"/>
        <w:tblCellMar>
          <w:top w:w="0" w:type="dxa"/>
          <w:left w:w="0" w:type="dxa"/>
          <w:bottom w:w="0" w:type="dxa"/>
          <w:right w:w="0" w:type="dxa"/>
        </w:tblCellMar>
      </w:tblPr>
      <w:tblGrid>
        <w:gridCol w:w="4325"/>
        <w:gridCol w:w="60"/>
        <w:gridCol w:w="740"/>
        <w:gridCol w:w="60"/>
        <w:gridCol w:w="2825"/>
      </w:tblGrid>
      <w:tr>
        <w:trPr/>
        <w:tc>
          <w:tcPr>
            <w:tcW w:w="43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43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325" w:type="dxa"/>
            <w:tcBorders/>
            <w:vAlign w:val="center"/>
          </w:tcPr>
          <w:p>
            <w:pPr>
              <w:pStyle w:val="TableContents"/>
              <w:bidi w:val="0"/>
              <w:spacing w:before="0" w:after="283"/>
              <w:jc w:val="center"/>
              <w:rPr/>
            </w:pPr>
            <w:r>
              <w:rPr/>
              <w:t>Common Stock $0.16 2/3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ADI</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65" w:type="dxa"/>
        <w:jc w:val="left"/>
        <w:tblInd w:w="0" w:type="dxa"/>
        <w:tblLayout w:type="fixed"/>
        <w:tblCellMar>
          <w:top w:w="0" w:type="dxa"/>
          <w:left w:w="0" w:type="dxa"/>
          <w:bottom w:w="0" w:type="dxa"/>
          <w:right w:w="0" w:type="dxa"/>
        </w:tblCellMar>
      </w:tblPr>
      <w:tblGrid>
        <w:gridCol w:w="1025"/>
        <w:gridCol w:w="3740"/>
      </w:tblGrid>
      <w:tr>
        <w:trPr/>
        <w:tc>
          <w:tcPr>
            <w:tcW w:w="1025" w:type="dxa"/>
            <w:tcBorders/>
            <w:vAlign w:val="center"/>
          </w:tcPr>
          <w:p>
            <w:pPr>
              <w:pStyle w:val="TableContents"/>
              <w:bidi w:val="0"/>
              <w:spacing w:before="0" w:after="283"/>
              <w:jc w:val="left"/>
              <w:rPr>
                <w:b/>
              </w:rPr>
            </w:pPr>
            <w:r>
              <w:rPr>
                <w:b/>
              </w:rPr>
              <w:t>Item 1.01.</w:t>
            </w:r>
          </w:p>
        </w:tc>
        <w:tc>
          <w:tcPr>
            <w:tcW w:w="37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17, 2026, Analog Devices, Inc. (the “Company”) issued $500,000,000 aggregate principal amount of senior notes due September 15, 2029 (the “2029 Notes”), $500,000,000 aggregate principal amount of senior notes due October 1, 2031 (the “2031 Notes”), $1,000,000,000 aggregate principal amount of senior notes due October 1, 2033 (the “2033 Notes”) and $1,000,000,000 aggregate principal amount of senior notes due October 1, 2036 (the “2036 Notes” and, together with the 2029 Notes, the 2031 Notes and the 2033 Notes, the “Notes”) pursuant to an effective registration statement on Form S-3 (File No. 333-281670) (the “Registration Statement”) and a related prospectus and prospectus supplement, each as filed with the Securities and Exchange Commission (the “SEC”). The Notes were issued pursuant to an indenture, dated as of June 3, 2013 (the “Base Indenture”), as supplemented by a supplemental indenture, dated as of September 17, 2026 (the “Supplemental Indenture”), in each case between the Company and The Bank of New York Mellon Trust Company, N.A., as trustee. The Notes are unsecured unsubordinated obligations of the Company and are not guaranteed by any of the Company’s subsidiaries. The Base Indenture and the Supplemental Indenture contain certain covenants, events of default and other customary provisions. </w:t>
      </w:r>
    </w:p>
    <w:p>
      <w:pPr>
        <w:pStyle w:val="TextBody"/>
        <w:bidi w:val="0"/>
        <w:spacing w:before="240" w:after="0"/>
        <w:jc w:val="left"/>
        <w:rPr>
          <w:rFonts w:ascii="Times New Roman" w:hAnsi="Times New Roman"/>
          <w:sz w:val="20"/>
        </w:rPr>
      </w:pPr>
      <w:r>
        <w:rPr>
          <w:rFonts w:ascii="Times New Roman" w:hAnsi="Times New Roman"/>
          <w:sz w:val="20"/>
        </w:rPr>
        <w:t xml:space="preserve">The Notes were sold in an underwritten public offering pursuant to an underwriting agreement, dated as of September 15, 2026, between the Company and J.P. Morgan Securities LLC, as representative of the several underwriters named therein (the “Underwriting Agreement”). The above description of the Underwriting Agreement is qualified in its entirety by reference to the Underwriting Agreement, which is filed as Exhibit 1.1 hereto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2029 Notes bear interest at a rate of 5.100% per annum and will mature on September 15, 2029. The 2031 Notes bear interest at a rate of 5.350% per annum and will mature on October 1, 2031. The 2033 Notes bear interest at a rate of 5.600% per annum and will mature on October 1, 2033. The 2036 Notes bear interest at a rate of 5.750% per annum and will mature on October 1, 2036. Interest on the 2029 Notes is payable semi-annually in arrears on September 15 and March 15 of each year, beginning on March 15, 2027. Interest on the 2031 Notes, the 2033 Notes and the 2036 Notes is payable semi-annually in arrears on October 1 and April 1 of each year, beginning on April 1, 2027. Prior to August 15, 2029 in the case of the 2029 Notes (the date that is one month prior to the scheduled maturity date of the 2029 Notes), September 1, 2031 in the case of the 2031 Notes (the date that is one month prior to the scheduled maturity date of the 2031 Notes), August 1, 2033 in the case of the 2033 Notes (the date that is two months prior to the scheduled maturity date of the 2033 Notes) and July 1, 2036 in the case of the 2036 Notes (the date that is three months prior to the scheduled maturity date of the 2036 Notes) (each, a “Par Call Date”), the Company may, at its option, redeem the applicable series of Notes, in whole or in part, at any time and from time to time, at a redemption price equal to the greater of: (1) (a) the sum of the present values of the remaining scheduled payments of principal and interest thereon discounted to the redemption date (assuming the Notes of such series matured on the applicable Par Call Date) on a semi-annual basis (assuming a 360-day year consisting of twelve 30-day months) at the Treasury Rate plus 10 basis points (in the case of the 2029 Notes), 10 basis points (in the case of the 2031 Notes), 15 basis points (in the case of the 2033 Notes) or 15 basis points (in the case of the 2036 Notes), in each case less (b) interest accrued to the date of redemption, and (2) 100% of the principal amount of the Notes of such series being redeemed, plus, in either case, accrued and unpaid interest thereon to the redemption date. On or after the applicable Par Call Date, the Company may, at its option, redeem each series of Notes, in whole or in part, at any time and from time to time, at a redemption price equal to 100% of the principal amount of the Notes of such series being redeemed plus accrued and unpaid interest thereon to the redemption date. The Notes are unsecured and rank equally in right of payment with all of the Company’s other existing and future unsecured senior indebtedness.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descriptions of the Notes, the Base Indenture and the Supplemental Indenture are summaries only and are qualified in their entirety by reference to the full text of such documents. The Base Indenture, which was filed as Exhibit 4.1 to the Company’s Current Report on Form 8-K filed with the SEC on June 3, 2013, and the Supplemental Indenture, which is attached hereto as Exhibit 4.2, are incorporated herein by reference. All capitalized terms used above and not otherwise defined have the meaning given to such terms in the Base Indenture and the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A copy of the opinion of Sidley Austin LLP, counsel to the Company, relating to the legality of the Notes is attached hereto as Exhibit 5.1 and incorporated into the Registration Statement. </w:t>
      </w:r>
    </w:p>
    <w:p>
      <w:pPr>
        <w:pStyle w:val="TextBody"/>
        <w:bidi w:val="0"/>
        <w:spacing w:before="0" w:after="0"/>
        <w:jc w:val="left"/>
        <w:rPr/>
      </w:pPr>
      <w:r>
        <w:rPr/>
        <w:t> </w:t>
      </w:r>
      <w:r>
        <w:br w:type="page"/>
      </w:r>
    </w:p>
    <w:p>
      <w:pPr>
        <w:pStyle w:val="HorizontalLine"/>
        <w:bidi w:val="0"/>
        <w:jc w:val="left"/>
        <w:rPr/>
      </w:pPr>
      <w:r>
        <w:rPr/>
      </w:r>
    </w:p>
    <w:tbl>
      <w:tblPr>
        <w:tblW w:w="3985" w:type="dxa"/>
        <w:jc w:val="left"/>
        <w:tblInd w:w="0" w:type="dxa"/>
        <w:tblLayout w:type="fixed"/>
        <w:tblCellMar>
          <w:top w:w="0" w:type="dxa"/>
          <w:left w:w="0" w:type="dxa"/>
          <w:bottom w:w="0" w:type="dxa"/>
          <w:right w:w="0" w:type="dxa"/>
        </w:tblCellMar>
      </w:tblPr>
      <w:tblGrid>
        <w:gridCol w:w="1025"/>
        <w:gridCol w:w="2960"/>
      </w:tblGrid>
      <w:tr>
        <w:trPr/>
        <w:tc>
          <w:tcPr>
            <w:tcW w:w="102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0"/>
        <w:gridCol w:w="120"/>
        <w:gridCol w:w="95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No.</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center"/>
              <w:rPr>
                <w:b/>
              </w:rPr>
            </w:pPr>
            <w:r>
              <w:rPr>
                <w:b/>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75690dex11.htm">
              <w:r>
                <w:rPr>
                  <w:rStyle w:val="InternetLink"/>
                </w:rPr>
                <w:t xml:space="preserve">Underwriting Agreement, dated September 15, 2026, between the Company and J.P. Morgan Securities LLC, as representative of the several underwriters named therein.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4.1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r:id="rId2">
              <w:r>
                <w:rPr>
                  <w:rStyle w:val="InternetLink"/>
                </w:rPr>
                <w:t xml:space="preserve">Indenture, dated June 3, 2013, between the Company and The Bank of New York Mellon Trust Company, N.A., as trustee, filed as Exhibit 4.1 to the Company’s Current Report on Form 8-K as filed with the Commission on June 3, 2013 and incorporated herein by reference.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4.2</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75690dex42.htm">
              <w:r>
                <w:rPr>
                  <w:rStyle w:val="InternetLink"/>
                </w:rPr>
                <w:t xml:space="preserve">Supplemental Indenture, dated September 17, 2026, between the Company and The Bank of New York Mellon Trust Company, N.A., as trustee (including the forms of note contained therein).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5.1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75690dex51.htm">
              <w:r>
                <w:rPr>
                  <w:rStyle w:val="InternetLink"/>
                </w:rPr>
                <w:t xml:space="preserve">Opinion of Sidley Austin LLP.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75690dex51.htm">
              <w:r>
                <w:rPr>
                  <w:rStyle w:val="InternetLink"/>
                </w:rPr>
                <w:t xml:space="preserve">Consent of Sidley Austin LLP (included in Exhibit 5.1).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Cover Page Interactive Data File (formatted as inline XBRL).</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schedules and similar attachments have been omitted pursuant to Item 601(a)(5) of Regulation S-K. The registrant undertakes to furnish supplemental copies of any of the omitted schedules upon request by the SEC. </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328" w:type="dxa"/>
        <w:jc w:val="left"/>
        <w:tblInd w:w="0" w:type="dxa"/>
        <w:tblLayout w:type="fixed"/>
        <w:tblCellMar>
          <w:top w:w="0" w:type="dxa"/>
          <w:left w:w="0" w:type="dxa"/>
          <w:bottom w:w="0" w:type="dxa"/>
          <w:right w:w="0" w:type="dxa"/>
        </w:tblCellMar>
      </w:tblPr>
      <w:tblGrid>
        <w:gridCol w:w="2510"/>
        <w:gridCol w:w="60"/>
        <w:gridCol w:w="23"/>
        <w:gridCol w:w="60"/>
        <w:gridCol w:w="365"/>
        <w:gridCol w:w="60"/>
        <w:gridCol w:w="4250"/>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0"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75" w:type="dxa"/>
            <w:gridSpan w:val="3"/>
            <w:tcBorders/>
            <w:vAlign w:val="center"/>
          </w:tcPr>
          <w:p>
            <w:pPr>
              <w:pStyle w:val="TableContents"/>
              <w:bidi w:val="0"/>
              <w:spacing w:before="0" w:after="283"/>
              <w:jc w:val="left"/>
              <w:rPr/>
            </w:pPr>
            <w:r>
              <w:rPr/>
              <w:t>ANALOG DEVICES, INC.</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310"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 September 17,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Janene I. Asgeirsson</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Janene I. Asgeirsson</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Chief Legal Officer and Corporate Secretary</w:t>
            </w:r>
          </w:p>
        </w:tc>
      </w:tr>
    </w:tbl>
    <w:p>
      <w:pPr>
        <w:pStyle w:val="TextBody"/>
        <w:bidi w:val="0"/>
        <w:spacing w:before="0" w:after="0"/>
        <w:jc w:val="right"/>
        <w:rPr>
          <w:rFonts w:ascii="Times New Roman" w:hAnsi="Times New Roman"/>
          <w:b/>
          <w:sz w:val="20"/>
        </w:rPr>
      </w:pPr>
      <w:bookmarkStart w:id="2" w:name="d175690dex11.htm"/>
      <w:bookmarkStart w:id="3" w:name="ksd175690dex11"/>
      <w:bookmarkEnd w:id="2"/>
      <w:bookmarkEnd w:id="3"/>
      <w:r>
        <w:rPr>
          <w:rFonts w:ascii="Times New Roman" w:hAnsi="Times New Roman"/>
          <w:b/>
          <w:sz w:val="20"/>
        </w:rPr>
        <w:t xml:space="preserve">Exhibit 1.1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ANALOG DEVICES, INC.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5.100% Senior Notes due 2029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5.350% Senior Notes due 2031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5.600% Senior Notes due 2033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5.750% Senior Notes due 2036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UNDERWRITING AGREEMENT </w:t>
      </w:r>
    </w:p>
    <w:p>
      <w:pPr>
        <w:pStyle w:val="TextBody"/>
        <w:bidi w:val="0"/>
        <w:spacing w:before="240" w:after="0"/>
        <w:jc w:val="right"/>
        <w:rPr>
          <w:rFonts w:ascii="Times New Roman" w:hAnsi="Times New Roman"/>
          <w:sz w:val="20"/>
        </w:rPr>
      </w:pPr>
      <w:r>
        <w:rPr>
          <w:rFonts w:ascii="Times New Roman" w:hAnsi="Times New Roman"/>
          <w:sz w:val="20"/>
        </w:rPr>
        <w:t xml:space="preserve">September 15, 2026 </w:t>
      </w:r>
    </w:p>
    <w:p>
      <w:pPr>
        <w:pStyle w:val="TextBody"/>
        <w:bidi w:val="0"/>
        <w:spacing w:before="240" w:after="0"/>
        <w:jc w:val="left"/>
        <w:rPr>
          <w:rFonts w:ascii="Times New Roman" w:hAnsi="Times New Roman"/>
          <w:sz w:val="20"/>
        </w:rPr>
      </w:pPr>
      <w:r>
        <w:rPr>
          <w:rFonts w:ascii="Times New Roman" w:hAnsi="Times New Roman"/>
          <w:sz w:val="20"/>
        </w:rPr>
        <w:t xml:space="preserve">J.P. MORGAN SECURITIES LLC </w:t>
      </w:r>
    </w:p>
    <w:p>
      <w:pPr>
        <w:pStyle w:val="TextBody"/>
        <w:bidi w:val="0"/>
        <w:spacing w:before="120" w:after="0"/>
        <w:jc w:val="left"/>
        <w:rPr>
          <w:rFonts w:ascii="Times New Roman" w:hAnsi="Times New Roman"/>
          <w:sz w:val="20"/>
        </w:rPr>
      </w:pPr>
      <w:r>
        <w:rPr>
          <w:rFonts w:ascii="Times New Roman" w:hAnsi="Times New Roman"/>
          <w:sz w:val="20"/>
        </w:rPr>
        <w:t xml:space="preserve">As Representative of the Several Underwriters, </w:t>
      </w:r>
    </w:p>
    <w:p>
      <w:pPr>
        <w:pStyle w:val="TextBody"/>
        <w:bidi w:val="0"/>
        <w:spacing w:before="240" w:after="0"/>
        <w:jc w:val="left"/>
        <w:rPr>
          <w:rFonts w:ascii="Times New Roman" w:hAnsi="Times New Roman"/>
          <w:sz w:val="20"/>
        </w:rPr>
      </w:pPr>
      <w:r>
        <w:rPr>
          <w:rFonts w:ascii="Times New Roman" w:hAnsi="Times New Roman"/>
          <w:sz w:val="20"/>
        </w:rPr>
        <w:t xml:space="preserve">c/o J.P. Morgan Securities LLC </w:t>
      </w:r>
    </w:p>
    <w:p>
      <w:pPr>
        <w:pStyle w:val="TextBody"/>
        <w:bidi w:val="0"/>
        <w:spacing w:before="0" w:after="0"/>
        <w:jc w:val="left"/>
        <w:rPr/>
      </w:pPr>
      <w:r>
        <w:rPr/>
        <w:t> </w:t>
      </w:r>
      <w:r>
        <w:rPr>
          <w:rFonts w:ascii="Times New Roman" w:hAnsi="Times New Roman"/>
          <w:sz w:val="20"/>
        </w:rPr>
        <w:t xml:space="preserve">270 Park Avenue </w:t>
      </w:r>
    </w:p>
    <w:p>
      <w:pPr>
        <w:pStyle w:val="TextBody"/>
        <w:bidi w:val="0"/>
        <w:spacing w:before="0" w:after="0"/>
        <w:jc w:val="left"/>
        <w:rPr/>
      </w:pPr>
      <w:r>
        <w:rPr/>
        <w:t> </w:t>
      </w:r>
      <w:r>
        <w:rPr>
          <w:rFonts w:ascii="Times New Roman" w:hAnsi="Times New Roman"/>
          <w:sz w:val="20"/>
        </w:rPr>
        <w:t xml:space="preserve">New York, NY 10017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Introductory</w:t>
      </w:r>
      <w:r>
        <w:rPr>
          <w:rFonts w:ascii="Times New Roman" w:hAnsi="Times New Roman"/>
          <w:sz w:val="20"/>
        </w:rPr>
        <w:t>. Analog Devices, Inc., a Massachusetts corporation (the “</w:t>
      </w:r>
      <w:r>
        <w:rPr>
          <w:rFonts w:ascii="Times New Roman" w:hAnsi="Times New Roman"/>
          <w:b/>
          <w:sz w:val="20"/>
        </w:rPr>
        <w:t>Company</w:t>
      </w:r>
      <w:r>
        <w:rPr>
          <w:rFonts w:ascii="Times New Roman" w:hAnsi="Times New Roman"/>
          <w:sz w:val="20"/>
        </w:rPr>
        <w:t>”), agrees with the several Underwriters named in Schedule A hereto (the “</w:t>
      </w:r>
      <w:r>
        <w:rPr>
          <w:rFonts w:ascii="Times New Roman" w:hAnsi="Times New Roman"/>
          <w:b/>
          <w:sz w:val="20"/>
        </w:rPr>
        <w:t>Underwriters</w:t>
      </w:r>
      <w:r>
        <w:rPr>
          <w:rFonts w:ascii="Times New Roman" w:hAnsi="Times New Roman"/>
          <w:sz w:val="20"/>
        </w:rPr>
        <w:t>”) for whom J.P. Morgan Securities LLC is acting as Representative (the “</w:t>
      </w:r>
      <w:r>
        <w:rPr>
          <w:rFonts w:ascii="Times New Roman" w:hAnsi="Times New Roman"/>
          <w:b/>
          <w:sz w:val="20"/>
        </w:rPr>
        <w:t>Representative</w:t>
      </w:r>
      <w:r>
        <w:rPr>
          <w:rFonts w:ascii="Times New Roman" w:hAnsi="Times New Roman"/>
          <w:sz w:val="20"/>
        </w:rPr>
        <w:t>”) to issue and sell to the several Underwriters $500,000,000 principal amount of its 5.100% Senior Notes due 2029 (the “</w:t>
      </w:r>
      <w:r>
        <w:rPr>
          <w:rFonts w:ascii="Times New Roman" w:hAnsi="Times New Roman"/>
          <w:b/>
          <w:sz w:val="20"/>
        </w:rPr>
        <w:t>2029 Securities</w:t>
      </w:r>
      <w:r>
        <w:rPr>
          <w:rFonts w:ascii="Times New Roman" w:hAnsi="Times New Roman"/>
          <w:sz w:val="20"/>
        </w:rPr>
        <w:t>”), $500,000,000 principal amount of its 5.350% Senior Notes due 2031 (the “</w:t>
      </w:r>
      <w:r>
        <w:rPr>
          <w:rFonts w:ascii="Times New Roman" w:hAnsi="Times New Roman"/>
          <w:b/>
          <w:sz w:val="20"/>
        </w:rPr>
        <w:t>2031 Securities</w:t>
      </w:r>
      <w:r>
        <w:rPr>
          <w:rFonts w:ascii="Times New Roman" w:hAnsi="Times New Roman"/>
          <w:sz w:val="20"/>
        </w:rPr>
        <w:t>”), $1,000,000,000 principal amount of its 5.600% Senior Notes due 2033 (the “</w:t>
      </w:r>
      <w:r>
        <w:rPr>
          <w:rFonts w:ascii="Times New Roman" w:hAnsi="Times New Roman"/>
          <w:b/>
          <w:sz w:val="20"/>
        </w:rPr>
        <w:t>2033 Securities</w:t>
      </w:r>
      <w:r>
        <w:rPr>
          <w:rFonts w:ascii="Times New Roman" w:hAnsi="Times New Roman"/>
          <w:sz w:val="20"/>
        </w:rPr>
        <w:t>”) and $1,000,000,000 principal amount of its 5.750% Senior Notes due 2036 (the “</w:t>
      </w:r>
      <w:r>
        <w:rPr>
          <w:rFonts w:ascii="Times New Roman" w:hAnsi="Times New Roman"/>
          <w:b/>
          <w:sz w:val="20"/>
        </w:rPr>
        <w:t>2036 Securities</w:t>
      </w:r>
      <w:r>
        <w:rPr>
          <w:rFonts w:ascii="Times New Roman" w:hAnsi="Times New Roman"/>
          <w:sz w:val="20"/>
        </w:rPr>
        <w:t>” and, together with the 2029 Securities, the 2031 Securities and the 2033 Securities, the “</w:t>
      </w:r>
      <w:r>
        <w:rPr>
          <w:rFonts w:ascii="Times New Roman" w:hAnsi="Times New Roman"/>
          <w:b/>
          <w:sz w:val="20"/>
        </w:rPr>
        <w:t>Securities</w:t>
      </w:r>
      <w:r>
        <w:rPr>
          <w:rFonts w:ascii="Times New Roman" w:hAnsi="Times New Roman"/>
          <w:sz w:val="20"/>
        </w:rPr>
        <w:t>”). The Securities shall be issued under an indenture, dated as of June 3, 2013 (the “</w:t>
      </w:r>
      <w:r>
        <w:rPr>
          <w:rFonts w:ascii="Times New Roman" w:hAnsi="Times New Roman"/>
          <w:b/>
          <w:sz w:val="20"/>
        </w:rPr>
        <w:t>Base Indenture</w:t>
      </w:r>
      <w:r>
        <w:rPr>
          <w:rFonts w:ascii="Times New Roman" w:hAnsi="Times New Roman"/>
          <w:sz w:val="20"/>
        </w:rPr>
        <w:t>”), as supplemented by a supplemental indenture (the “</w:t>
      </w:r>
      <w:r>
        <w:rPr>
          <w:rFonts w:ascii="Times New Roman" w:hAnsi="Times New Roman"/>
          <w:b/>
          <w:sz w:val="20"/>
        </w:rPr>
        <w:t>Supplemental Indenture</w:t>
      </w:r>
      <w:r>
        <w:rPr>
          <w:rFonts w:ascii="Times New Roman" w:hAnsi="Times New Roman"/>
          <w:sz w:val="20"/>
        </w:rPr>
        <w:t>” and, together with the Base Indenture, the “</w:t>
      </w:r>
      <w:r>
        <w:rPr>
          <w:rFonts w:ascii="Times New Roman" w:hAnsi="Times New Roman"/>
          <w:b/>
          <w:sz w:val="20"/>
        </w:rPr>
        <w:t>Indenture</w:t>
      </w:r>
      <w:r>
        <w:rPr>
          <w:rFonts w:ascii="Times New Roman" w:hAnsi="Times New Roman"/>
          <w:sz w:val="20"/>
        </w:rPr>
        <w:t>”) to be dated as of the Closing Date (as defined below) between the Company and The Bank of New York Mellon Trust Company, N.A., as trustee (the “</w:t>
      </w:r>
      <w:r>
        <w:rPr>
          <w:rFonts w:ascii="Times New Roman" w:hAnsi="Times New Roman"/>
          <w:b/>
          <w:sz w:val="20"/>
        </w:rPr>
        <w:t>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Representations and Warranties of the Company</w:t>
      </w:r>
      <w:r>
        <w:rPr>
          <w:rFonts w:ascii="Times New Roman" w:hAnsi="Times New Roman"/>
          <w:sz w:val="20"/>
        </w:rPr>
        <w:t xml:space="preserve">. The Company represents and warrants to, and agrees with, the several Underwriters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Filing and Effectiveness of Registration Statement; Certain Defined Terms</w:t>
      </w:r>
      <w:r>
        <w:rPr>
          <w:rFonts w:ascii="Times New Roman" w:hAnsi="Times New Roman"/>
          <w:sz w:val="20"/>
        </w:rPr>
        <w:t>. The Company has filed with the Securities and Exchange Commission (the “</w:t>
      </w:r>
      <w:r>
        <w:rPr>
          <w:rFonts w:ascii="Times New Roman" w:hAnsi="Times New Roman"/>
          <w:b/>
          <w:sz w:val="20"/>
        </w:rPr>
        <w:t>Commission</w:t>
      </w:r>
      <w:r>
        <w:rPr>
          <w:rFonts w:ascii="Times New Roman" w:hAnsi="Times New Roman"/>
          <w:sz w:val="20"/>
        </w:rPr>
        <w:t>”) a registration statement on Form S-3 (No. 333-281670), including a related prospectus or prospectuses, covering the registration of the Securities under the Securities Act of 1933, as amended (the “</w:t>
      </w:r>
      <w:r>
        <w:rPr>
          <w:rFonts w:ascii="Times New Roman" w:hAnsi="Times New Roman"/>
          <w:b/>
          <w:sz w:val="20"/>
        </w:rPr>
        <w:t>Act</w:t>
      </w:r>
      <w:r>
        <w:rPr>
          <w:rFonts w:ascii="Times New Roman" w:hAnsi="Times New Roman"/>
          <w:sz w:val="20"/>
        </w:rPr>
        <w:t>”), which has become effective. “</w:t>
      </w:r>
      <w:r>
        <w:rPr>
          <w:rFonts w:ascii="Times New Roman" w:hAnsi="Times New Roman"/>
          <w:b/>
          <w:sz w:val="20"/>
        </w:rPr>
        <w:t>Registration Statement</w:t>
      </w:r>
      <w:r>
        <w:rPr>
          <w:rFonts w:ascii="Times New Roman" w:hAnsi="Times New Roman"/>
          <w:sz w:val="20"/>
        </w:rPr>
        <w:t>” at any particular time means such registration statement in the form then filed with the Commission, including any amendment thereto, any document incorporated by reference therein and all 430B Information and all 430C Information with respect to such registration statement, that in any case has not been superseded or modified. “</w:t>
      </w:r>
      <w:r>
        <w:rPr>
          <w:rFonts w:ascii="Times New Roman" w:hAnsi="Times New Roman"/>
          <w:b/>
          <w:sz w:val="20"/>
        </w:rPr>
        <w:t>Registration Statement</w:t>
      </w:r>
      <w:r>
        <w:rPr>
          <w:rFonts w:ascii="Times New Roman" w:hAnsi="Times New Roman"/>
          <w:sz w:val="20"/>
        </w:rPr>
        <w:t xml:space="preserve">” without reference to a time means the Registration Statement as of the Effective Time (as defined below). For purposes of this definition, 430B Information shall be considered to be included in the Registration Statement as of the time specified in Rule 430B.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For purposes of this Underwriting Agreement (this “</w:t>
      </w:r>
      <w:r>
        <w:rPr>
          <w:rFonts w:ascii="Times New Roman" w:hAnsi="Times New Roman"/>
          <w:b/>
          <w:sz w:val="20"/>
        </w:rPr>
        <w:t>Agreement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b/>
          <w:sz w:val="20"/>
        </w:rPr>
        <w:t>430B Information</w:t>
      </w:r>
      <w:r>
        <w:rPr>
          <w:rFonts w:ascii="Times New Roman" w:hAnsi="Times New Roman"/>
          <w:sz w:val="20"/>
        </w:rPr>
        <w:t xml:space="preserve">” means information included in a prospectus then deemed to be a part of the Registration Statement pursuant to Rule 430B(e) or retroactively deemed to be a part of the Registration Statement pursuant to Rule 430B(f). </w:t>
      </w:r>
    </w:p>
    <w:p>
      <w:pPr>
        <w:pStyle w:val="TextBody"/>
        <w:bidi w:val="0"/>
        <w:spacing w:before="120" w:after="0"/>
        <w:jc w:val="left"/>
        <w:rPr/>
      </w:pPr>
      <w:r>
        <w:rPr/>
        <w:t>“</w:t>
      </w:r>
      <w:r>
        <w:rPr>
          <w:rFonts w:ascii="Times New Roman" w:hAnsi="Times New Roman"/>
          <w:b/>
          <w:sz w:val="20"/>
        </w:rPr>
        <w:t>430C Information</w:t>
      </w:r>
      <w:r>
        <w:rPr>
          <w:rFonts w:ascii="Times New Roman" w:hAnsi="Times New Roman"/>
          <w:sz w:val="20"/>
        </w:rPr>
        <w:t xml:space="preserve">” means information included in a prospectus then deemed to be a part of the Registration Statement pursuant to Rule 430C. </w:t>
      </w:r>
    </w:p>
    <w:p>
      <w:pPr>
        <w:pStyle w:val="TextBody"/>
        <w:bidi w:val="0"/>
        <w:spacing w:before="120" w:after="0"/>
        <w:jc w:val="left"/>
        <w:rPr/>
      </w:pPr>
      <w:r>
        <w:rPr/>
        <w:t>“</w:t>
      </w:r>
      <w:r>
        <w:rPr>
          <w:rFonts w:ascii="Times New Roman" w:hAnsi="Times New Roman"/>
          <w:b/>
          <w:sz w:val="20"/>
        </w:rPr>
        <w:t>Applicable Time</w:t>
      </w:r>
      <w:r>
        <w:rPr>
          <w:rFonts w:ascii="Times New Roman" w:hAnsi="Times New Roman"/>
          <w:sz w:val="20"/>
        </w:rPr>
        <w:t xml:space="preserve">” means 4:30 p.m. (New York City time) on the date of this Agreement. </w:t>
      </w:r>
    </w:p>
    <w:p>
      <w:pPr>
        <w:pStyle w:val="TextBody"/>
        <w:bidi w:val="0"/>
        <w:spacing w:before="120" w:after="0"/>
        <w:jc w:val="left"/>
        <w:rPr/>
      </w:pPr>
      <w:r>
        <w:rPr/>
        <w:t>“</w:t>
      </w:r>
      <w:r>
        <w:rPr>
          <w:rFonts w:ascii="Times New Roman" w:hAnsi="Times New Roman"/>
          <w:b/>
          <w:sz w:val="20"/>
        </w:rPr>
        <w:t>Closing Date</w:t>
      </w:r>
      <w:r>
        <w:rPr>
          <w:rFonts w:ascii="Times New Roman" w:hAnsi="Times New Roman"/>
          <w:sz w:val="20"/>
        </w:rPr>
        <w:t xml:space="preserve">” has the meaning defined in Section 3 hereof. </w:t>
      </w:r>
    </w:p>
    <w:p>
      <w:pPr>
        <w:pStyle w:val="TextBody"/>
        <w:bidi w:val="0"/>
        <w:spacing w:before="120" w:after="0"/>
        <w:jc w:val="left"/>
        <w:rPr/>
      </w:pPr>
      <w:r>
        <w:rPr/>
        <w:t>“</w:t>
      </w:r>
      <w:r>
        <w:rPr>
          <w:rFonts w:ascii="Times New Roman" w:hAnsi="Times New Roman"/>
          <w:b/>
          <w:sz w:val="20"/>
        </w:rPr>
        <w:t>Effective Time</w:t>
      </w:r>
      <w:r>
        <w:rPr>
          <w:rFonts w:ascii="Times New Roman" w:hAnsi="Times New Roman"/>
          <w:sz w:val="20"/>
        </w:rPr>
        <w:t xml:space="preserve">” of the Registration Statement relating to the Securities means the time of the first contract of sale for the Securities. </w:t>
      </w:r>
    </w:p>
    <w:p>
      <w:pPr>
        <w:pStyle w:val="TextBody"/>
        <w:bidi w:val="0"/>
        <w:spacing w:before="120" w:after="0"/>
        <w:jc w:val="left"/>
        <w:rPr/>
      </w:pPr>
      <w:r>
        <w:rPr/>
        <w:t>“</w:t>
      </w:r>
      <w:r>
        <w:rPr>
          <w:rFonts w:ascii="Times New Roman" w:hAnsi="Times New Roman"/>
          <w:b/>
          <w:sz w:val="20"/>
        </w:rPr>
        <w:t>Exchange Act</w:t>
      </w:r>
      <w:r>
        <w:rPr>
          <w:rFonts w:ascii="Times New Roman" w:hAnsi="Times New Roman"/>
          <w:sz w:val="20"/>
        </w:rPr>
        <w:t xml:space="preserve">” means the Securities Exchange Act of 1934, as amended. </w:t>
      </w:r>
    </w:p>
    <w:p>
      <w:pPr>
        <w:pStyle w:val="TextBody"/>
        <w:bidi w:val="0"/>
        <w:spacing w:before="120" w:after="0"/>
        <w:jc w:val="left"/>
        <w:rPr/>
      </w:pPr>
      <w:r>
        <w:rPr/>
        <w:t>“</w:t>
      </w:r>
      <w:r>
        <w:rPr>
          <w:rFonts w:ascii="Times New Roman" w:hAnsi="Times New Roman"/>
          <w:b/>
          <w:sz w:val="20"/>
        </w:rPr>
        <w:t>Exchange Rules</w:t>
      </w:r>
      <w:r>
        <w:rPr>
          <w:rFonts w:ascii="Times New Roman" w:hAnsi="Times New Roman"/>
          <w:sz w:val="20"/>
        </w:rPr>
        <w:t xml:space="preserve">” means the rules of the Nasdaq Stock Market. </w:t>
      </w:r>
    </w:p>
    <w:p>
      <w:pPr>
        <w:pStyle w:val="TextBody"/>
        <w:bidi w:val="0"/>
        <w:spacing w:before="120" w:after="0"/>
        <w:jc w:val="left"/>
        <w:rPr/>
      </w:pPr>
      <w:r>
        <w:rPr/>
        <w:t>“</w:t>
      </w:r>
      <w:r>
        <w:rPr>
          <w:rFonts w:ascii="Times New Roman" w:hAnsi="Times New Roman"/>
          <w:b/>
          <w:sz w:val="20"/>
        </w:rPr>
        <w:t>Final Prospectus</w:t>
      </w:r>
      <w:r>
        <w:rPr>
          <w:rFonts w:ascii="Times New Roman" w:hAnsi="Times New Roman"/>
          <w:sz w:val="20"/>
        </w:rPr>
        <w:t xml:space="preserve">” means the Statutory Prospectus that discloses the public offering price, other 430B Information and other final terms of the Securities and otherwise satisfies Section 10(a) of the Act. </w:t>
      </w:r>
    </w:p>
    <w:p>
      <w:pPr>
        <w:pStyle w:val="TextBody"/>
        <w:bidi w:val="0"/>
        <w:spacing w:before="120" w:after="0"/>
        <w:jc w:val="left"/>
        <w:rPr/>
      </w:pPr>
      <w:r>
        <w:rPr/>
        <w:t>“</w:t>
      </w:r>
      <w:r>
        <w:rPr>
          <w:rFonts w:ascii="Times New Roman" w:hAnsi="Times New Roman"/>
          <w:b/>
          <w:sz w:val="20"/>
        </w:rPr>
        <w:t>General Use Issuer Free Writing Prospectus</w:t>
      </w:r>
      <w:r>
        <w:rPr>
          <w:rFonts w:ascii="Times New Roman" w:hAnsi="Times New Roman"/>
          <w:sz w:val="20"/>
        </w:rPr>
        <w:t xml:space="preserve">” means any Issuer Free Writing Prospectus that is intended for general distribution to prospective investors, as evidenced by its being so specified in Schedule B to this Agreement. </w:t>
      </w:r>
    </w:p>
    <w:p>
      <w:pPr>
        <w:pStyle w:val="TextBody"/>
        <w:bidi w:val="0"/>
        <w:spacing w:before="120" w:after="0"/>
        <w:jc w:val="left"/>
        <w:rPr/>
      </w:pPr>
      <w:r>
        <w:rPr/>
        <w:t>“</w:t>
      </w:r>
      <w:r>
        <w:rPr>
          <w:rFonts w:ascii="Times New Roman" w:hAnsi="Times New Roman"/>
          <w:b/>
          <w:sz w:val="20"/>
        </w:rPr>
        <w:t>Issuer Free Writing Prospectus</w:t>
      </w:r>
      <w:r>
        <w:rPr>
          <w:rFonts w:ascii="Times New Roman" w:hAnsi="Times New Roman"/>
          <w:sz w:val="20"/>
        </w:rPr>
        <w:t xml:space="preserve">” means any “issuer free writing prospectus,” as defined in Rule 433, relating to the Securities in the form filed or required to be filed with the Commission or, if not required to be filed, in the form retained in the Company’s records pursuant to Rule 433(g). </w:t>
      </w:r>
    </w:p>
    <w:p>
      <w:pPr>
        <w:pStyle w:val="TextBody"/>
        <w:bidi w:val="0"/>
        <w:spacing w:before="120" w:after="0"/>
        <w:jc w:val="left"/>
        <w:rPr/>
      </w:pPr>
      <w:r>
        <w:rPr/>
        <w:t>“</w:t>
      </w:r>
      <w:r>
        <w:rPr>
          <w:rFonts w:ascii="Times New Roman" w:hAnsi="Times New Roman"/>
          <w:b/>
          <w:sz w:val="20"/>
        </w:rPr>
        <w:t>Limited Use Issuer Free Writing Prospectus</w:t>
      </w:r>
      <w:r>
        <w:rPr>
          <w:rFonts w:ascii="Times New Roman" w:hAnsi="Times New Roman"/>
          <w:sz w:val="20"/>
        </w:rPr>
        <w:t xml:space="preserve">” means any Issuer Free Writing Prospectus that is not a General Use Issuer Free Writing Prospectus. </w:t>
      </w:r>
    </w:p>
    <w:p>
      <w:pPr>
        <w:pStyle w:val="TextBody"/>
        <w:bidi w:val="0"/>
        <w:spacing w:before="120" w:after="0"/>
        <w:jc w:val="left"/>
        <w:rPr/>
      </w:pPr>
      <w:r>
        <w:rPr/>
        <w:t>“</w:t>
      </w:r>
      <w:r>
        <w:rPr>
          <w:rFonts w:ascii="Times New Roman" w:hAnsi="Times New Roman"/>
          <w:b/>
          <w:sz w:val="20"/>
        </w:rPr>
        <w:t>Rules and Regulations</w:t>
      </w:r>
      <w:r>
        <w:rPr>
          <w:rFonts w:ascii="Times New Roman" w:hAnsi="Times New Roman"/>
          <w:sz w:val="20"/>
        </w:rPr>
        <w:t xml:space="preserve">” means the rules and regulations of the Commission. </w:t>
      </w:r>
    </w:p>
    <w:p>
      <w:pPr>
        <w:pStyle w:val="TextBody"/>
        <w:bidi w:val="0"/>
        <w:spacing w:before="120" w:after="0"/>
        <w:jc w:val="left"/>
        <w:rPr/>
      </w:pPr>
      <w:r>
        <w:rPr/>
        <w:t>“</w:t>
      </w:r>
      <w:r>
        <w:rPr>
          <w:rFonts w:ascii="Times New Roman" w:hAnsi="Times New Roman"/>
          <w:b/>
          <w:sz w:val="20"/>
        </w:rPr>
        <w:t>Securities Laws</w:t>
      </w:r>
      <w:r>
        <w:rPr>
          <w:rFonts w:ascii="Times New Roman" w:hAnsi="Times New Roman"/>
          <w:sz w:val="20"/>
        </w:rPr>
        <w:t>” means, collectively, the Sarbanes-Oxley Act of 2002 (“</w:t>
      </w:r>
      <w:r>
        <w:rPr>
          <w:rFonts w:ascii="Times New Roman" w:hAnsi="Times New Roman"/>
          <w:b/>
          <w:sz w:val="20"/>
        </w:rPr>
        <w:t>Sarbanes-Oxley</w:t>
      </w:r>
      <w:r>
        <w:rPr>
          <w:rFonts w:ascii="Times New Roman" w:hAnsi="Times New Roman"/>
          <w:sz w:val="20"/>
        </w:rPr>
        <w:t xml:space="preserve">”), the Act, the Exchange Act, the Rules and Regulations and the auditing principles, rules, standards and practices applicable to auditors of “issuers” (as defined in Sarbanes-Oxley) promulgated or approved by the Public Company Accounting Oversight Board. </w:t>
      </w:r>
    </w:p>
    <w:p>
      <w:pPr>
        <w:pStyle w:val="TextBody"/>
        <w:bidi w:val="0"/>
        <w:spacing w:before="120" w:after="0"/>
        <w:jc w:val="left"/>
        <w:rPr/>
      </w:pPr>
      <w:r>
        <w:rPr/>
        <w:t>“</w:t>
      </w:r>
      <w:r>
        <w:rPr>
          <w:rFonts w:ascii="Times New Roman" w:hAnsi="Times New Roman"/>
          <w:b/>
          <w:sz w:val="20"/>
        </w:rPr>
        <w:t>Statutory Prospectus</w:t>
      </w:r>
      <w:r>
        <w:rPr>
          <w:rFonts w:ascii="Times New Roman" w:hAnsi="Times New Roman"/>
          <w:sz w:val="20"/>
        </w:rPr>
        <w:t xml:space="preserve">” with reference to any particular time means the prospectus relating to the Securities that is included in the Registration Statement immediately prior to that time, including all 430B Information and all 430C Information with respect to the Registration Statement. For purposes of the foregoing definition, 430B Information shall be considered to be included in the Statutory Prospectus only as of the actual time that form of prospectus (including a prospectus supplement) is filed with the Commission pursuant to Rule 424(b) and not retroactively. </w:t>
      </w:r>
    </w:p>
    <w:p>
      <w:pPr>
        <w:pStyle w:val="TextBody"/>
        <w:bidi w:val="0"/>
        <w:spacing w:before="120" w:after="0"/>
        <w:jc w:val="left"/>
        <w:rPr/>
      </w:pPr>
      <w:r>
        <w:rPr/>
        <w:t>“</w:t>
      </w:r>
      <w:r>
        <w:rPr>
          <w:rFonts w:ascii="Times New Roman" w:hAnsi="Times New Roman"/>
          <w:b/>
          <w:sz w:val="20"/>
        </w:rPr>
        <w:t>Trust Indenture Act</w:t>
      </w:r>
      <w:r>
        <w:rPr>
          <w:rFonts w:ascii="Times New Roman" w:hAnsi="Times New Roman"/>
          <w:sz w:val="20"/>
        </w:rPr>
        <w:t xml:space="preserve">” means the Trust Indenture Act of 1939, as amended.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specified, a reference to a “rule” is to the indicated rule under the Act.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i/>
          <w:sz w:val="20"/>
        </w:rPr>
        <w:t>Compliance with Securities Act Requirements</w:t>
      </w:r>
      <w:r>
        <w:rPr>
          <w:rFonts w:ascii="Times New Roman" w:hAnsi="Times New Roman"/>
          <w:sz w:val="20"/>
        </w:rPr>
        <w:t xml:space="preserve">. (i) (A) At the time the Registration Statement initially became effective, (B) at the time of each amendment thereto for the purposes of complying with Section 10(a)(3) of the Act (whether by post-effective amendment, incorporated report or form of prospectus), (C) at the Effective Time relating to the Securities and (D) on the Closing Date, the Registration Statement conformed and will conform in all material respects to the requirements of the Act, the Trust Indenture Act and the Rules and Regulations and did not and will not include any untrue statement of a material fact or omit to state any material fact required to be stated therein or necessary to make the statements therein not misleading and (ii) (A) on its date, (B) at the time of filing the Final Prospectus pursuant to Rule 424(b) and (C) on the Closing Date, the Final Prospectus will conform in all material respects to the requirements of the Act, the Trust Indenture Act and the Rules and Regulations, and will not include any untrue statement of a material fact or omit to state any material fact required to be stated therein or necessary to make the statements therein, in the light of the circumstances under which they were made, not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preceding sentence does not apply to statements in or omissions from any such document based upon written information furnished to the Company by any Underwriter through the Representative specifically for use therein, it being understood and agreed that the only such information is that described as such in Section 8(b) hereof.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i/>
          <w:sz w:val="20"/>
        </w:rPr>
        <w:t>Automatic Shelf Registration Statement</w:t>
      </w:r>
      <w:r>
        <w:rPr>
          <w:rFonts w:ascii="Times New Roman" w:hAnsi="Times New Roman"/>
          <w:sz w:val="20"/>
        </w:rPr>
        <w:t>. (i) </w:t>
      </w:r>
      <w:r>
        <w:rPr>
          <w:rFonts w:ascii="Times New Roman" w:hAnsi="Times New Roman"/>
          <w:i/>
          <w:sz w:val="20"/>
        </w:rPr>
        <w:t>Well-Known Seasoned Issuer Status</w:t>
      </w:r>
      <w:r>
        <w:rPr>
          <w:rFonts w:ascii="Times New Roman" w:hAnsi="Times New Roman"/>
          <w:sz w:val="20"/>
        </w:rPr>
        <w:t xml:space="preserve">. (A) At the time of initial filing of the Registration Statement, (B) at the time of the most recent amendment thereto for the purposes of complying with Section 10(a)(3) of the Act (whether such amendment was by post-effective amendment, incorporated report filed pursuant to Section 13 or 15(d) of the Exchange Act or form of prospectus), and (C) at the time the Company or any person acting on its behalf (within the meaning, for this clause only, of Rule 163(c)) made any offer relating to the Securities in reliance on the exemption of Rule 163, the Company was a “well-known seasoned issuer” as defined in Rule 405, including not having been an “ineligible issuer” as defined in Rule 405.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Effectiveness of Automatic Shelf Registration Statement</w:t>
      </w:r>
      <w:r>
        <w:rPr>
          <w:rFonts w:ascii="Times New Roman" w:hAnsi="Times New Roman"/>
          <w:sz w:val="20"/>
        </w:rPr>
        <w:t xml:space="preserve">. The Registration Statement is an “automatic shelf registration statement,” as defined in Rule 405, that initially became effective within three years of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Eligibility to Use Automatic Shelf Registration Form</w:t>
      </w:r>
      <w:r>
        <w:rPr>
          <w:rFonts w:ascii="Times New Roman" w:hAnsi="Times New Roman"/>
          <w:sz w:val="20"/>
        </w:rPr>
        <w:t xml:space="preserve">. The Company has not received from the Commission any notice pursuant to Rule 401(g)(2) objecting to use of the automatic shelf registration statement form. If at any time when the Securities remain unsold by the Underwriters the Company receives from the Commission a notice pursuant to Rule 401(g)(2) or otherwise ceases to be eligible to use the automatic shelf registration statement form, the Company will (i) promptly notify the Representative, (ii) promptly file a new registration statement or post-effective amendment on the proper form relating to the Securities, in a form satisfactory to the Representative, (iii) use its best efforts to cause such registration statement or post-effective amendment to be declared effective as soon as practicable, and (iv) promptly notify the Representative of such effectiveness. The Company will take all other action necessary or appropriate to permit the public offering and sale of the Securities to continue as contemplated in the registration statement that was the subject of the Rule 401(g)(2) notice or for which the Company has otherwise become ineligible. References herein to the Registration Statement shall include such new registration statement or post-effective amendment,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i/>
          <w:sz w:val="20"/>
        </w:rPr>
        <w:t>Filing Fees</w:t>
      </w:r>
      <w:r>
        <w:rPr>
          <w:rFonts w:ascii="Times New Roman" w:hAnsi="Times New Roman"/>
          <w:sz w:val="20"/>
        </w:rPr>
        <w:t xml:space="preserve">. The Company has paid or shall pay the required Commission filing fees relating to the Securities within the time required by Rule 456(b)(1) without regard to the proviso therein and otherwise in accordance with Rules 456(b) and 457(r).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Ineligible Issuer Status</w:t>
      </w:r>
      <w:r>
        <w:rPr>
          <w:rFonts w:ascii="Times New Roman" w:hAnsi="Times New Roman"/>
          <w:sz w:val="20"/>
        </w:rPr>
        <w:t xml:space="preserve">. (i) At the earliest time after the filing of the Registration Statement that the Company or another offering participant made a bona fide offer (within the meaning of Rule 164(h)(2) of the Act) and (ii) at the date of this Agreement, the Company was not and is not an “ineligible issuer,” as defined in Rule 405.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General Disclosure Package</w:t>
      </w:r>
      <w:r>
        <w:rPr>
          <w:rFonts w:ascii="Times New Roman" w:hAnsi="Times New Roman"/>
          <w:sz w:val="20"/>
        </w:rPr>
        <w:t>. As of the Applicable Time, neither (i) the General Use Issuer Free Writing Prospectus(es) issued at or prior to the Applicable Time and the preliminary prospectus supplement, dated September 15, 2026, including the base prospectus, dated August 21, 2024 (which is the most recent Statutory Prospectus distributed to investors generally), and the other information, if any, stated in Schedule B to this Agreement to be included in the General Disclosure Package, all considered together (collectively, the “</w:t>
      </w:r>
      <w:r>
        <w:rPr>
          <w:rFonts w:ascii="Times New Roman" w:hAnsi="Times New Roman"/>
          <w:b/>
          <w:sz w:val="20"/>
        </w:rPr>
        <w:t>General Disclosure Package</w:t>
      </w:r>
      <w:r>
        <w:rPr>
          <w:rFonts w:ascii="Times New Roman" w:hAnsi="Times New Roman"/>
          <w:sz w:val="20"/>
        </w:rPr>
        <w:t xml:space="preserve">”), nor (ii) any individual Limited Use Issuer Free Writing Prospectus, when considered together with the General Disclosure Package, included any untrue statement of a material fact or omitted to state any material fact necessary in order to make the statements therein, in the light of the circumstances under which they were made, not misleading. The preceding sentence does not apply to statements in or omissions from the General Disclosure Package or any Issuer Free Writing Prospectus in reliance upon and in conformity with written information furnished to the Company by any Underwriter through the Representative specifically for use therein, it being understood and agreed that the only such information furnished by any Underwriter consists of the information described as such in Section 8(b)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Issuer Free Writing Prospectuses</w:t>
      </w:r>
      <w:r>
        <w:rPr>
          <w:rFonts w:ascii="Times New Roman" w:hAnsi="Times New Roman"/>
          <w:sz w:val="20"/>
        </w:rPr>
        <w:t xml:space="preserve">. Each Issuer Free Writing Prospectus, as of its issue date and at all subsequent times through the completion of the public offer and sale of the Securities or until any earlier date that the Company notified or notifies the Representative as described in the next sentence, did not, does not and will not include any information that conflicted, conflicts or will conflict with the information then contained in the Registration Statement. If at any time prior to, or as of, the Closing Date following issuance of an Issuer Free Writing Prospectus there occurred or occurs an event or development as a result of which such Issuer Free Writing Prospectus conflicted or would conflict with the information then contained in the Registration Statement or as a result of which such Issuer Free Writing Prospectus, if republished immediately following such event or development, would include an untrue statement of a material fact or omitted or would omit to state a material fact necessary in order to make the statements therein, in the light of the circumstances under which they were made, not misleading, (i) the Company has promptly notified or will promptly notify the Representative and (ii) the Company has promptly amended or will promptly amend or supplement such Issuer Free Writing Prospectus to eliminate or correct such conflict, untrue statement or omission.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Due Incorporation and Good Standing of the Company</w:t>
      </w:r>
      <w:r>
        <w:rPr>
          <w:rFonts w:ascii="Times New Roman" w:hAnsi="Times New Roman"/>
          <w:sz w:val="20"/>
        </w:rPr>
        <w:t xml:space="preserve">. The Company has been duly incorporated and is existing and in good standing under the laws of the Commonwealth of Massachusetts, with corporate power and authority to own its properties and conduct its business as described in the General Disclosure Package; and the Company is duly qualified to do business as a foreign corporation and in good standing in all other jurisdictions in which its ownership or lease of property or the conduct of its business requires such qualification, except where the failure to be so qualified would not, individually or in the aggregate, result in a Material Adverse Effect (as defined below).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Subsidiaries</w:t>
      </w:r>
      <w:r>
        <w:rPr>
          <w:rFonts w:ascii="Times New Roman" w:hAnsi="Times New Roman"/>
          <w:sz w:val="20"/>
        </w:rPr>
        <w:t xml:space="preserve">. Each subsidiary of the Company has been duly incorporated or organized, as the case may be, and is existing and in good standing, under the laws of the jurisdiction of its incorporation or organization, as the case may be, with corporate power and authority to own its properties and conduct its business as described in the General Disclosure Package; each subsidiary of the Company is duly qualified to do business as a foreign corporation or other applicable entity in good standing in all other jurisdictions in which its ownership or lease of property or the conduct of its business requires such qualification and where such concepts of “due qualification” and “good standing” exist; all of the issued and outstanding capital stock or other equity interests of each subsidiary of the Company has been duly authorized and validly issued and is fully paid and nonassessable (to the extent that such concepts of “due authorization”, “valid issuance” and being “fully paid and nonassessable” exist in the jurisdiction in which such subsidiary is incorporated or organized, as the case may be); and the capital stock or other equity interests of each such subsidiary owned by the Company, directly or through subsidiaries, is owned free from liens, encumbrances and defects, except, in each case in this clause (h), as would not, individually or in the aggregate,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Execution and Delivery of Indenture</w:t>
      </w:r>
      <w:r>
        <w:rPr>
          <w:rFonts w:ascii="Times New Roman" w:hAnsi="Times New Roman"/>
          <w:sz w:val="20"/>
        </w:rPr>
        <w:t>. The Base Indenture has been duly authorized, executed and delivered by the Company and has been duly qualified under the Trust Indenture Act; the Supplemental Indenture has been duly authorized by the Company and, when it is executed and delivered by the Company and the Trustee, the Indenture will (i) constitute a valid and legally binding obligation of the Company, enforceable in accordance with its terms, subject to bankruptcy, insolvency, fraudulent transfer, reorganization, moratorium and similar laws of general applicability relating to or affecting creditors’ rights and to general equity principles (the “</w:t>
      </w:r>
      <w:r>
        <w:rPr>
          <w:rFonts w:ascii="Times New Roman" w:hAnsi="Times New Roman"/>
          <w:b/>
          <w:sz w:val="20"/>
        </w:rPr>
        <w:t>Enforceability Exceptions</w:t>
      </w:r>
      <w:r>
        <w:rPr>
          <w:rFonts w:ascii="Times New Roman" w:hAnsi="Times New Roman"/>
          <w:sz w:val="20"/>
        </w:rPr>
        <w:t xml:space="preserve">”), and (ii) conform in all material respects with the requirements of the Trust Indenture Act; and the Securities have been duly authorized and, when the Securities are delivered and paid for pursuant to this Agreement on the Closing Date, the Supplemental Indenture will have been duly executed and delivered by the Company and such Securities will have been duly executed, authenticated, issued and delivered, will be consistent with the information in the General Disclosure Package, will conform to the description of such Securities contained in the Final Prospectus and the Indenture and will constitute valid and legally binding obligations of the Company, enforceable in accordance with their terms, subject to the Enforceability Exceptions.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Absence of Further Requirements</w:t>
      </w:r>
      <w:r>
        <w:rPr>
          <w:rFonts w:ascii="Times New Roman" w:hAnsi="Times New Roman"/>
          <w:sz w:val="20"/>
        </w:rPr>
        <w:t xml:space="preserve">. No consent, approval, authorization, or order of, or filing or registration with, any governmental agency or body or any court is required for the consummation of the transactions contemplated by this Agreement or the Indenture in connection with the offering, issuance and sale of the Securities by the Company, except such as have been obtained or made and such as may be required under state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Title to Property</w:t>
      </w:r>
      <w:r>
        <w:rPr>
          <w:rFonts w:ascii="Times New Roman" w:hAnsi="Times New Roman"/>
          <w:sz w:val="20"/>
        </w:rPr>
        <w:t xml:space="preserve">. Except as disclosed in the General Disclosure Package, the Company and its subsidiaries have good and marketable title to all real properties and good title to all other properties and assets owned by them, in each case free from liens, charges, encumbrances and defects that would materially affect the value thereof or materially interfere with the use made or to be made thereof by them and, except as disclosed in the General Disclosure Package, the Company and its subsidiaries hold any leased real or personal property under valid and enforceable leases with no terms or provisions that would materially interfere with the use made or to be made thereof by them, except, in each case in this clause (k), as would not, individually or in the aggregate,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Absence of Defaults and Conflicts Resulting from Transaction</w:t>
      </w:r>
      <w:r>
        <w:rPr>
          <w:rFonts w:ascii="Times New Roman" w:hAnsi="Times New Roman"/>
          <w:sz w:val="20"/>
        </w:rPr>
        <w:t>. The execution, delivery and performance of the Indenture and this Agreement, and the issuance and sale of the Securities and compliance with the terms and provisions thereof, will not result in a breach or violation of any of the terms and provisions of, or constitute a default or a Debt Repayment Triggering Event (as defined below) under, or result in the imposition of any lien, charge or encumbrance upon any property or assets of the Company or any of its subsidiaries pursuant to, (i) the charter or by-laws or other organizational documents of the Company or any of its subsidiaries, (ii) any statute, rule, regulation or order of any governmental agency or body or any court, domestic or foreign, having jurisdiction over the Company or any of its subsidiaries or any of their properties or (iii) any agreement or instrument to which the Company or any of its subsidiaries is a party or by which the Company or any of its subsidiaries is bound or to which any of the properties of the Company or any of its subsidiaries is subject, except, in the case of clause (i) as it applies to the Company’s subsidiaries, as would not, individually or in the aggregate, result in a Material Adverse Effect, and in the case of clauses (ii) and (iii), as would not, individually or in the aggregate, result in a Material Adverse Effect; a “</w:t>
      </w:r>
      <w:r>
        <w:rPr>
          <w:rFonts w:ascii="Times New Roman" w:hAnsi="Times New Roman"/>
          <w:b/>
          <w:sz w:val="20"/>
        </w:rPr>
        <w:t>Debt Repayment Triggering Event</w:t>
      </w:r>
      <w:r>
        <w:rPr>
          <w:rFonts w:ascii="Times New Roman" w:hAnsi="Times New Roman"/>
          <w:sz w:val="20"/>
        </w:rPr>
        <w:t xml:space="preserve">” means any event or condition that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Absence of Existing Defaults and Conflicts</w:t>
      </w:r>
      <w:r>
        <w:rPr>
          <w:rFonts w:ascii="Times New Roman" w:hAnsi="Times New Roman"/>
          <w:sz w:val="20"/>
        </w:rPr>
        <w:t>. Neither the Company nor any of its subsidiaries is in violation of its respective charter or by-laws or other organizational documents, or in default (or with the giving of notice or lapse of time would be in default) under any existing obligation, agreement, covenant or condition contained in any indenture, loan agreement, mortgage, lease or other agreement or instrument to which any of them is a party or by which any of them is bound or to which any of the properties of any of them is subject, except such defaults that would not, individually or in the aggregate, result in a material adverse effect on the condition (financial or otherwise), results of operations, business or properties of the Company and its subsidiaries taken as a whole (“</w:t>
      </w:r>
      <w:r>
        <w:rPr>
          <w:rFonts w:ascii="Times New Roman" w:hAnsi="Times New Roman"/>
          <w:b/>
          <w:sz w:val="20"/>
        </w:rPr>
        <w:t>Material Adverse Effect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Authorization of Agreement</w:t>
      </w:r>
      <w:r>
        <w:rPr>
          <w:rFonts w:ascii="Times New Roman" w:hAnsi="Times New Roman"/>
          <w:sz w:val="20"/>
        </w:rPr>
        <w:t xml:space="preserve">. This Agreement has been duly authorized, executed and delivered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Possession of Licenses and Permits</w:t>
      </w:r>
      <w:r>
        <w:rPr>
          <w:rFonts w:ascii="Times New Roman" w:hAnsi="Times New Roman"/>
          <w:sz w:val="20"/>
        </w:rPr>
        <w:t>. The Company and its subsidiaries possess, and are in compliance with the terms of, all adequate certificates, authorizations, franchises, licenses and permits (“</w:t>
      </w:r>
      <w:r>
        <w:rPr>
          <w:rFonts w:ascii="Times New Roman" w:hAnsi="Times New Roman"/>
          <w:b/>
          <w:sz w:val="20"/>
        </w:rPr>
        <w:t>Licenses</w:t>
      </w:r>
      <w:r>
        <w:rPr>
          <w:rFonts w:ascii="Times New Roman" w:hAnsi="Times New Roman"/>
          <w:sz w:val="20"/>
        </w:rPr>
        <w:t xml:space="preserve">”) material to the conduct of the business now conducted or proposed in the General Disclosure Package to be conducted by them and have not received any notice of proceedings relating to the revocation or modification of any Licenses that, if determined adversely to the Company or any of its subsidiaries, would individually or in the aggregate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(p) </w:t>
      </w:r>
      <w:r>
        <w:rPr>
          <w:rFonts w:ascii="Times New Roman" w:hAnsi="Times New Roman"/>
          <w:i/>
          <w:sz w:val="20"/>
        </w:rPr>
        <w:t>Absence of Labor Dispute</w:t>
      </w:r>
      <w:r>
        <w:rPr>
          <w:rFonts w:ascii="Times New Roman" w:hAnsi="Times New Roman"/>
          <w:sz w:val="20"/>
        </w:rPr>
        <w:t xml:space="preserve">. No labor dispute with the employees of the Company or any of its subsidiaries exists or, to the knowledge of the Company, is imminent, in either case that would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 </w:t>
      </w:r>
      <w:r>
        <w:rPr>
          <w:rFonts w:ascii="Times New Roman" w:hAnsi="Times New Roman"/>
          <w:i/>
          <w:sz w:val="20"/>
        </w:rPr>
        <w:t>Possession of Intellectual Property</w:t>
      </w:r>
      <w:r>
        <w:rPr>
          <w:rFonts w:ascii="Times New Roman" w:hAnsi="Times New Roman"/>
          <w:sz w:val="20"/>
        </w:rPr>
        <w:t>. The Company and its subsidiaries own, possess or can acquire on reasonable terms sufficient trademarks, trade names, patent rights, copyrights, domain names, licenses, approvals, trade secrets, inventions, technology, know-how and other intellectual property and similar rights (collectively, “</w:t>
      </w:r>
      <w:r>
        <w:rPr>
          <w:rFonts w:ascii="Times New Roman" w:hAnsi="Times New Roman"/>
          <w:b/>
          <w:sz w:val="20"/>
        </w:rPr>
        <w:t>Intellectual Property Rights</w:t>
      </w:r>
      <w:r>
        <w:rPr>
          <w:rFonts w:ascii="Times New Roman" w:hAnsi="Times New Roman"/>
          <w:sz w:val="20"/>
        </w:rPr>
        <w:t xml:space="preserve">”) material to the conduct of the business now conducted or proposed in the General Disclosure Package to be conducted by them, and the expected expiration of any such Intellectual Property Rights would not, individually or in the aggregate, have a Material Adverse Effect. Except as disclosed in the General Disclosure Package (i) to the Company’s knowledge, neither the Company nor any of its subsidiaries is infringing the Intellectual Property Rights of any third parties; (ii) to the Company’s knowledge, no third party is infringing the Intellectual Property Rights of the Company or any of its subsidiaries; (iii) there is no pending or threatened action, suit, proceeding or claim by others challenging the Company’s or any subsidiary’s rights in or to, any of their Intellectual Property Rights, and the Company is unaware of any facts which would form a reasonable basis for any such claim; (iv) there is no pending or threatened action, suit, proceeding or claim by others challenging the validity, enforceability or scope of any such Intellectual Property Rights, and the Company is unaware of any facts which would form a reasonable basis for any such claim; and (v) none of the Intellectual Property Rights used by the Company or its subsidiaries in their businesses as currently conducted or proposed to be conducted in the General Disclosure Package has been obtained or is being used by the Company or its subsidiaries in violation of any contractual obligation binding on the Company or any of its subsidiaries, except in each case covered by clauses (i) – (v) such as would not, individually or in the aggregate,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(r) </w:t>
      </w:r>
      <w:r>
        <w:rPr>
          <w:rFonts w:ascii="Times New Roman" w:hAnsi="Times New Roman"/>
          <w:i/>
          <w:sz w:val="20"/>
        </w:rPr>
        <w:t>Environmental Laws</w:t>
      </w:r>
      <w:r>
        <w:rPr>
          <w:rFonts w:ascii="Times New Roman" w:hAnsi="Times New Roman"/>
          <w:sz w:val="20"/>
        </w:rPr>
        <w:t>. Except as disclosed in the General Disclosure Package, neither the Company nor any of its subsidiaries (i) is in violation of any statute, rule, regulation, decision or order of any governmental agency or body or any court, domestic or foreign, relating to the use, management, registration, disposal or release of hazardous or toxic substances or wastes or relating to the protection or restoration of the environment or human exposure to hazardous or toxic substances or wastes, or any permit or license thereunder (collectively, “</w:t>
      </w:r>
      <w:r>
        <w:rPr>
          <w:rFonts w:ascii="Times New Roman" w:hAnsi="Times New Roman"/>
          <w:b/>
          <w:sz w:val="20"/>
        </w:rPr>
        <w:t>environmental laws</w:t>
      </w:r>
      <w:r>
        <w:rPr>
          <w:rFonts w:ascii="Times New Roman" w:hAnsi="Times New Roman"/>
          <w:sz w:val="20"/>
        </w:rPr>
        <w:t xml:space="preserve">”); (ii) owns or operates any real property contaminated with any substance that is subject to any environmental laws; (iii) is liable for any off-site disposal or contamination pursuant to any environmental laws; or (iv) is subject to any claim relating to any environmental laws, which violation, contamination, liability or claim would individually or in the aggregate have a Material Adverse Effect; and the Company is not aware of any pending proceeding relating to environmental laws. </w:t>
      </w:r>
    </w:p>
    <w:p>
      <w:pPr>
        <w:pStyle w:val="TextBody"/>
        <w:bidi w:val="0"/>
        <w:spacing w:before="120" w:after="0"/>
        <w:jc w:val="left"/>
        <w:rPr>
          <w:rFonts w:ascii="Times New Roman" w:hAnsi="Times New Roman"/>
          <w:sz w:val="20"/>
        </w:rPr>
      </w:pPr>
      <w:r>
        <w:rPr>
          <w:rFonts w:ascii="Times New Roman" w:hAnsi="Times New Roman"/>
          <w:sz w:val="20"/>
        </w:rPr>
        <w:t xml:space="preserve">(s) </w:t>
      </w:r>
      <w:r>
        <w:rPr>
          <w:rFonts w:ascii="Times New Roman" w:hAnsi="Times New Roman"/>
          <w:i/>
          <w:sz w:val="20"/>
        </w:rPr>
        <w:t>Accurate Disclosure</w:t>
      </w:r>
      <w:r>
        <w:rPr>
          <w:rFonts w:ascii="Times New Roman" w:hAnsi="Times New Roman"/>
          <w:sz w:val="20"/>
        </w:rPr>
        <w:t xml:space="preserve">. The statements in the General Disclosure Package and the Final Prospectus under the headings “Description of the Notes”, “Description of Debt Securities” and “Material United States Federal Income Tax Consequences”, insofar as such statements summarize legal matters, agreements, documents or proceedings discussed therein, are accurate and fair summaries of such legal matters, agreements, documents or proceedings in all material respects and present the information required to be shown therein. </w:t>
      </w:r>
    </w:p>
    <w:p>
      <w:pPr>
        <w:pStyle w:val="TextBody"/>
        <w:bidi w:val="0"/>
        <w:spacing w:before="120" w:after="0"/>
        <w:jc w:val="left"/>
        <w:rPr>
          <w:rFonts w:ascii="Times New Roman" w:hAnsi="Times New Roman"/>
          <w:sz w:val="20"/>
        </w:rPr>
      </w:pPr>
      <w:r>
        <w:rPr>
          <w:rFonts w:ascii="Times New Roman" w:hAnsi="Times New Roman"/>
          <w:sz w:val="20"/>
        </w:rPr>
        <w:t xml:space="preserve">(t) </w:t>
      </w:r>
      <w:r>
        <w:rPr>
          <w:rFonts w:ascii="Times New Roman" w:hAnsi="Times New Roman"/>
          <w:i/>
          <w:sz w:val="20"/>
        </w:rPr>
        <w:t>Absence of Manipulation</w:t>
      </w:r>
      <w:r>
        <w:rPr>
          <w:rFonts w:ascii="Times New Roman" w:hAnsi="Times New Roman"/>
          <w:sz w:val="20"/>
        </w:rPr>
        <w:t xml:space="preserve">. The Company has not taken, directly or indirectly, any action that is designed to or that has constituted or that would reasonably be expected to cause or result in the stabilization or manipulation of the price of any security of the Company, in each case for the purpose of facilitating the sale or resale of the Securities. </w:t>
      </w:r>
    </w:p>
    <w:p>
      <w:pPr>
        <w:pStyle w:val="TextBody"/>
        <w:bidi w:val="0"/>
        <w:spacing w:before="120" w:after="0"/>
        <w:jc w:val="left"/>
        <w:rPr>
          <w:rFonts w:ascii="Times New Roman" w:hAnsi="Times New Roman"/>
          <w:sz w:val="20"/>
        </w:rPr>
      </w:pPr>
      <w:r>
        <w:rPr>
          <w:rFonts w:ascii="Times New Roman" w:hAnsi="Times New Roman"/>
          <w:sz w:val="20"/>
        </w:rPr>
        <w:t xml:space="preserve">(u) </w:t>
      </w:r>
      <w:r>
        <w:rPr>
          <w:rFonts w:ascii="Times New Roman" w:hAnsi="Times New Roman"/>
          <w:i/>
          <w:sz w:val="20"/>
        </w:rPr>
        <w:t>Internal Controls and Compliance with the Sarbanes-Oxley Act</w:t>
      </w:r>
      <w:r>
        <w:rPr>
          <w:rFonts w:ascii="Times New Roman" w:hAnsi="Times New Roman"/>
          <w:sz w:val="20"/>
        </w:rPr>
        <w:t>. Except as set forth in the General Disclosure Package, the Company, its subsidiaries and the Company’s Board of Directors (the “</w:t>
      </w:r>
      <w:r>
        <w:rPr>
          <w:rFonts w:ascii="Times New Roman" w:hAnsi="Times New Roman"/>
          <w:b/>
          <w:sz w:val="20"/>
        </w:rPr>
        <w:t>Board</w:t>
      </w:r>
      <w:r>
        <w:rPr>
          <w:rFonts w:ascii="Times New Roman" w:hAnsi="Times New Roman"/>
          <w:sz w:val="20"/>
        </w:rPr>
        <w:t>”) are in compliance with Sarbanes-Oxley and all applicable Exchange Rules. The Company maintains a system of internal controls, including, but not limited to, disclosure controls and procedures, internal controls over accounting matters and financial reporting, an internal audit function and legal and regulatory compliance controls (collectively, “</w:t>
      </w:r>
      <w:r>
        <w:rPr>
          <w:rFonts w:ascii="Times New Roman" w:hAnsi="Times New Roman"/>
          <w:b/>
          <w:sz w:val="20"/>
        </w:rPr>
        <w:t>Internal Controls</w:t>
      </w:r>
      <w:r>
        <w:rPr>
          <w:rFonts w:ascii="Times New Roman" w:hAnsi="Times New Roman"/>
          <w:sz w:val="20"/>
        </w:rPr>
        <w:t>”) that comply in all material respects with the Securities Laws and are sufficient to provide reasonable assurances that: (i) transactions are executed in accordance with management’s general or specific authorizations; (ii) transactions are recorded as necessary to permit preparation of financial statements in conformity with generally accepted accounting principles in the United States (“</w:t>
      </w:r>
      <w:r>
        <w:rPr>
          <w:rFonts w:ascii="Times New Roman" w:hAnsi="Times New Roman"/>
          <w:b/>
          <w:sz w:val="20"/>
        </w:rPr>
        <w:t>U.S.</w:t>
      </w:r>
      <w:r>
        <w:rPr>
          <w:rFonts w:ascii="Times New Roman" w:hAnsi="Times New Roman"/>
          <w:sz w:val="20"/>
        </w:rPr>
        <w:t xml:space="preserve"> </w:t>
      </w:r>
      <w:r>
        <w:rPr>
          <w:rFonts w:ascii="Times New Roman" w:hAnsi="Times New Roman"/>
          <w:b/>
          <w:sz w:val="20"/>
        </w:rPr>
        <w:t>GAAP</w:t>
      </w:r>
      <w:r>
        <w:rPr>
          <w:rFonts w:ascii="Times New Roman" w:hAnsi="Times New Roman"/>
          <w:sz w:val="20"/>
        </w:rPr>
        <w:t xml:space="preserve">”) applied on a consistent basis and to maintain accountability for assets;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and the General Disclosure Package fairly present the information called for in all material respects and have been prepared in accordance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with the Commission’s rules and guidelines applicable thereto. The Internal Controls are overseen by the Audit Committee (the “</w:t>
      </w:r>
      <w:r>
        <w:rPr>
          <w:rFonts w:ascii="Times New Roman" w:hAnsi="Times New Roman"/>
          <w:b/>
          <w:sz w:val="20"/>
        </w:rPr>
        <w:t>Audit Committee</w:t>
      </w:r>
      <w:r>
        <w:rPr>
          <w:rFonts w:ascii="Times New Roman" w:hAnsi="Times New Roman"/>
          <w:sz w:val="20"/>
        </w:rPr>
        <w:t xml:space="preserve">”) of the Board in accordance with Exchange Rules. Except as disclosed in the Registration Statement, the General Disclosure Package and the Final Prospectus, there are no material weaknesses in the Company’s internal controls over financial reporting. The Company’s auditors and the Audit Committee have been advised of: (i) all significant deficiencies and material weaknesses in the design or operation of the Company’s system of internal controls over financial reporting that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Litigation</w:t>
      </w:r>
      <w:r>
        <w:rPr>
          <w:rFonts w:ascii="Times New Roman" w:hAnsi="Times New Roman"/>
          <w:sz w:val="20"/>
        </w:rPr>
        <w:t xml:space="preserve">. Except as disclosed in the General Disclosure Package, there are no pending actions, suits or proceedings (including any inquiries or investigations by any court or governmental agency or body, domestic or foreign) against or affecting the Company, any of its subsidiaries or any of their respective properties that, if determined adversely to the Company or any of its subsidiaries, would individually or in the aggregate have a Material Adverse Effect, would materially and adversely affect the ability of the Company to perform its obligations under the Indenture or this Agreement, or which are otherwise material in the context of the sale of the Securities; and no such actions, suits or proceedings (including any inquiries or investigations by any court or governmental agency or body, domestic or foreign) are, to the Company’s knowledge, threatened or contemplated. </w:t>
      </w:r>
    </w:p>
    <w:p>
      <w:pPr>
        <w:pStyle w:val="TextBody"/>
        <w:bidi w:val="0"/>
        <w:spacing w:before="120" w:after="0"/>
        <w:jc w:val="left"/>
        <w:rPr>
          <w:rFonts w:ascii="Times New Roman" w:hAnsi="Times New Roman"/>
          <w:sz w:val="20"/>
        </w:rPr>
      </w:pPr>
      <w:r>
        <w:rPr>
          <w:rFonts w:ascii="Times New Roman" w:hAnsi="Times New Roman"/>
          <w:sz w:val="20"/>
        </w:rPr>
        <w:t xml:space="preserve">(w) </w:t>
      </w:r>
      <w:r>
        <w:rPr>
          <w:rFonts w:ascii="Times New Roman" w:hAnsi="Times New Roman"/>
          <w:i/>
          <w:sz w:val="20"/>
        </w:rPr>
        <w:t>Financial Statements</w:t>
      </w:r>
      <w:r>
        <w:rPr>
          <w:rFonts w:ascii="Times New Roman" w:hAnsi="Times New Roman"/>
          <w:sz w:val="20"/>
        </w:rPr>
        <w:t xml:space="preserve">. The financial statements of the Company and its subsidiaries included or incorporated by reference in the Registration Statement and the General Disclosure Package present fairly the financial position of the Company and its subsidiaries, as of the dates shown and their results of operations and cash flows for the periods shown, and such financial statements have been prepared in conformity with U.S. GAAP applied on a consistent basis. The schedules included or incorporated by reference in the Registration Statement present fairly the information required to be stated therein. The interactive data in eXtensible Business Reporting Language included or incorporated by reference in the Registration Statement and the General Disclosure Package fairly present the information called for in all material respects and have been prepared in accordance with the Commission’s rules and guidelines applicable thereto. </w:t>
      </w:r>
    </w:p>
    <w:p>
      <w:pPr>
        <w:pStyle w:val="TextBody"/>
        <w:bidi w:val="0"/>
        <w:spacing w:before="120" w:after="0"/>
        <w:jc w:val="left"/>
        <w:rPr>
          <w:rFonts w:ascii="Times New Roman" w:hAnsi="Times New Roman"/>
          <w:sz w:val="20"/>
        </w:rPr>
      </w:pPr>
      <w:r>
        <w:rPr>
          <w:rFonts w:ascii="Times New Roman" w:hAnsi="Times New Roman"/>
          <w:sz w:val="20"/>
        </w:rPr>
        <w:t xml:space="preserve">(x) </w:t>
      </w:r>
      <w:r>
        <w:rPr>
          <w:rFonts w:ascii="Times New Roman" w:hAnsi="Times New Roman"/>
          <w:i/>
          <w:sz w:val="20"/>
        </w:rPr>
        <w:t>No Material Adverse Change in Business</w:t>
      </w:r>
      <w:r>
        <w:rPr>
          <w:rFonts w:ascii="Times New Roman" w:hAnsi="Times New Roman"/>
          <w:sz w:val="20"/>
        </w:rPr>
        <w:t xml:space="preserve">. Since the end of the period covered by the latest audited financial statements included or incorporated by reference in the General Disclosure Package, (i) except as disclosed in the General Disclosure Package, there has been no change, nor any development or event involving a prospective change, in the condition (financial or otherwise), results of operations, business or properties of the Company and its subsidiaries, taken as a whole, that is material and adverse, (ii) except as disclosed in or contemplated by the General Disclosure Package, there has been no dividend or distribution of any kind declared, paid or made by the Company on any class of its capital stock and (iii) except as disclosed in or contemplated by the General Disclosure Package, there has been no material adverse change in the capital stock, long-term indebtedness or net assets of the Company and its subsidiaries,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(y) </w:t>
      </w:r>
      <w:r>
        <w:rPr>
          <w:rFonts w:ascii="Times New Roman" w:hAnsi="Times New Roman"/>
          <w:i/>
          <w:sz w:val="20"/>
        </w:rPr>
        <w:t>Investment Company Act</w:t>
      </w:r>
      <w:r>
        <w:rPr>
          <w:rFonts w:ascii="Times New Roman" w:hAnsi="Times New Roman"/>
          <w:sz w:val="20"/>
        </w:rPr>
        <w:t xml:space="preserve">. The Company is not, and, immediately after giving effect to the offering and sale of the Securities and the application of the proceeds thereof as described in the General Disclosure Package, will not be, an “investment company” as defined in the Investment Company Act of 1940, as amended. </w:t>
      </w:r>
    </w:p>
    <w:p>
      <w:pPr>
        <w:pStyle w:val="TextBody"/>
        <w:bidi w:val="0"/>
        <w:spacing w:before="120" w:after="0"/>
        <w:jc w:val="left"/>
        <w:rPr>
          <w:rFonts w:ascii="Times New Roman" w:hAnsi="Times New Roman"/>
          <w:sz w:val="20"/>
        </w:rPr>
      </w:pPr>
      <w:r>
        <w:rPr>
          <w:rFonts w:ascii="Times New Roman" w:hAnsi="Times New Roman"/>
          <w:sz w:val="20"/>
        </w:rPr>
        <w:t xml:space="preserve">(z) </w:t>
      </w:r>
      <w:r>
        <w:rPr>
          <w:rFonts w:ascii="Times New Roman" w:hAnsi="Times New Roman"/>
          <w:i/>
          <w:sz w:val="20"/>
        </w:rPr>
        <w:t>Ratings</w:t>
      </w:r>
      <w:r>
        <w:rPr>
          <w:rFonts w:ascii="Times New Roman" w:hAnsi="Times New Roman"/>
          <w:sz w:val="20"/>
        </w:rPr>
        <w:t xml:space="preserve">. No “nationally recognized statistical rating organization” as such term is defined under Section 3 of the Exchange Act (i) has imposed (or has informed the Company that it is considering imposing) any condition (financial or otherwise) on the Company’s retaining any rating assigned to the Company or any securities of the Company or (ii) has told the Company that it is considering any of the actions described in Section 7(c)(ii) hereof. </w:t>
      </w:r>
    </w:p>
    <w:p>
      <w:pPr>
        <w:pStyle w:val="TextBody"/>
        <w:bidi w:val="0"/>
        <w:spacing w:before="120" w:after="0"/>
        <w:jc w:val="left"/>
        <w:rPr>
          <w:rFonts w:ascii="Times New Roman" w:hAnsi="Times New Roman"/>
          <w:sz w:val="20"/>
        </w:rPr>
      </w:pPr>
      <w:r>
        <w:rPr>
          <w:rFonts w:ascii="Times New Roman" w:hAnsi="Times New Roman"/>
          <w:sz w:val="20"/>
        </w:rPr>
        <w:t xml:space="preserve">(aa) </w:t>
      </w:r>
      <w:r>
        <w:rPr>
          <w:rFonts w:ascii="Times New Roman" w:hAnsi="Times New Roman"/>
          <w:i/>
          <w:sz w:val="20"/>
        </w:rPr>
        <w:t>Foreign Corrupt Practices Act</w:t>
      </w:r>
      <w:r>
        <w:rPr>
          <w:rFonts w:ascii="Times New Roman" w:hAnsi="Times New Roman"/>
          <w:sz w:val="20"/>
        </w:rPr>
        <w:t xml:space="preserve">. None of the Company, or any of its subsidiaries, or, to the knowledge of the Company, any of their respective directors, officers, employees, agents, affiliates or representatives is aware of or has taken any action, directly or indirectly, that would result in (i) a violation by such persons of the Foreign Corrupt Practices Act of 1977, as amended, and the rules and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thereunder (the “</w:t>
      </w:r>
      <w:r>
        <w:rPr>
          <w:rFonts w:ascii="Times New Roman" w:hAnsi="Times New Roman"/>
          <w:b/>
          <w:sz w:val="20"/>
        </w:rPr>
        <w:t>FCPA</w:t>
      </w:r>
      <w:r>
        <w:rPr>
          <w:rFonts w:ascii="Times New Roman" w:hAnsi="Times New Roman"/>
          <w:sz w:val="20"/>
        </w:rPr>
        <w:t xml:space="preserve">”), any regulation implementing the OECD Convention on Combating Bribery of Foreign Public Officials in International Business Transactions, (ii) such persons having committed an offence under the Bribery Act 2010 of the United Kingdom or (iii) a violation by such persons of, or such persons having committed an offence under, any other applicable anti-bribery or anti-corruption laws,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The Company and its subsidiaries have instituted and maintain and enforce policies and procedures designed and which are reasonably expected to continue to promote and ensure compliance with all applicable anti-bribery and anti-corruption laws, including, without limitation, the FCPA. </w:t>
      </w:r>
    </w:p>
    <w:p>
      <w:pPr>
        <w:pStyle w:val="TextBody"/>
        <w:bidi w:val="0"/>
        <w:spacing w:before="120" w:after="0"/>
        <w:jc w:val="left"/>
        <w:rPr>
          <w:rFonts w:ascii="Times New Roman" w:hAnsi="Times New Roman"/>
          <w:sz w:val="20"/>
        </w:rPr>
      </w:pPr>
      <w:r>
        <w:rPr>
          <w:rFonts w:ascii="Times New Roman" w:hAnsi="Times New Roman"/>
          <w:sz w:val="20"/>
        </w:rPr>
        <w:t xml:space="preserve">(bb) </w:t>
      </w:r>
      <w:r>
        <w:rPr>
          <w:rFonts w:ascii="Times New Roman" w:hAnsi="Times New Roman"/>
          <w:i/>
          <w:sz w:val="20"/>
        </w:rPr>
        <w:t>Anti-Money Laundering Laws</w:t>
      </w:r>
      <w:r>
        <w:rPr>
          <w:rFonts w:ascii="Times New Roman" w:hAnsi="Times New Roman"/>
          <w:sz w:val="20"/>
        </w:rPr>
        <w:t>. The operations of the Company and its subsidiaries are and have been conducted at all times in compliance with applicable financial recordkeeping and reporting requirements, including those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or regulatory agency in all applicable jurisdictions (collectively, the “</w:t>
      </w:r>
      <w:r>
        <w:rPr>
          <w:rFonts w:ascii="Times New Roman" w:hAnsi="Times New Roman"/>
          <w:b/>
          <w:sz w:val="20"/>
        </w:rPr>
        <w:t>Anti-Money Laundering Laws</w:t>
      </w:r>
      <w:r>
        <w:rPr>
          <w:rFonts w:ascii="Times New Roman" w:hAnsi="Times New Roman"/>
          <w:sz w:val="20"/>
        </w:rPr>
        <w:t xml:space="preserve">”), and no action, suit or proceeding by or before any court, governmental authority or body, regulatory agency or arbitrator involving the Company or any of its subsidiaries with respect to the Anti-Money Laundering Laws is pending or, to the knowledge of the Company, threatened. </w:t>
      </w:r>
    </w:p>
    <w:p>
      <w:pPr>
        <w:pStyle w:val="TextBody"/>
        <w:bidi w:val="0"/>
        <w:spacing w:before="120" w:after="0"/>
        <w:jc w:val="left"/>
        <w:rPr>
          <w:rFonts w:ascii="Times New Roman" w:hAnsi="Times New Roman"/>
          <w:sz w:val="20"/>
        </w:rPr>
      </w:pPr>
      <w:r>
        <w:rPr>
          <w:rFonts w:ascii="Times New Roman" w:hAnsi="Times New Roman"/>
          <w:sz w:val="20"/>
        </w:rPr>
        <w:t xml:space="preserve">(cc) </w:t>
      </w:r>
      <w:r>
        <w:rPr>
          <w:rFonts w:ascii="Times New Roman" w:hAnsi="Times New Roman"/>
          <w:i/>
          <w:sz w:val="20"/>
        </w:rPr>
        <w:t>OFAC</w:t>
      </w:r>
      <w:r>
        <w:rPr>
          <w:rFonts w:ascii="Times New Roman" w:hAnsi="Times New Roman"/>
          <w:sz w:val="20"/>
        </w:rPr>
        <w:t>. None of the Company or any of its subsidiaries, or, to the knowledge of the Company, any of their respective directors, officers, employees, agents, affiliates or representatives, is an individual or entity (“</w:t>
      </w:r>
      <w:r>
        <w:rPr>
          <w:rFonts w:ascii="Times New Roman" w:hAnsi="Times New Roman"/>
          <w:b/>
          <w:sz w:val="20"/>
        </w:rPr>
        <w:t>Person</w:t>
      </w:r>
      <w:r>
        <w:rPr>
          <w:rFonts w:ascii="Times New Roman" w:hAnsi="Times New Roman"/>
          <w:sz w:val="20"/>
        </w:rPr>
        <w:t>”) currently the target of any sanctions administered or enforced by the United States Government (including, without limitation, the Office of Foreign Assets Control of the United States Department of the Treasury (“</w:t>
      </w:r>
      <w:r>
        <w:rPr>
          <w:rFonts w:ascii="Times New Roman" w:hAnsi="Times New Roman"/>
          <w:b/>
          <w:sz w:val="20"/>
        </w:rPr>
        <w:t>OFAC</w:t>
      </w:r>
      <w:r>
        <w:rPr>
          <w:rFonts w:ascii="Times New Roman" w:hAnsi="Times New Roman"/>
          <w:sz w:val="20"/>
        </w:rPr>
        <w:t>”) or the United States Department of State and including, without limitation, the designation as a “specially designated national” or “blocked person”), the United Nations Security Council, the European Union, His Majesty’s Treasury, or other relevant sanctions authority (collectively, “</w:t>
      </w:r>
      <w:r>
        <w:rPr>
          <w:rFonts w:ascii="Times New Roman" w:hAnsi="Times New Roman"/>
          <w:b/>
          <w:sz w:val="20"/>
        </w:rPr>
        <w:t>Sanctions</w:t>
      </w:r>
      <w:r>
        <w:rPr>
          <w:rFonts w:ascii="Times New Roman" w:hAnsi="Times New Roman"/>
          <w:sz w:val="20"/>
        </w:rPr>
        <w:t>”), nor is the Company or any of its subsidiaries located, organized or resident in a country or territory that is the target of Sanctions, including, without limitation, Cuba, Iran, North Korea, Syria (with respect to Syria, only until July 1, 2025), the so-called Donetsk People’s Republic, the so-called Luhansk People’s Republic and the Kherson, the Zaporizhzhia and Crimea regions of Ukraine (each, a “</w:t>
      </w:r>
      <w:r>
        <w:rPr>
          <w:rFonts w:ascii="Times New Roman" w:hAnsi="Times New Roman"/>
          <w:b/>
          <w:sz w:val="20"/>
        </w:rPr>
        <w:t>Sanctioned Country</w:t>
      </w:r>
      <w:r>
        <w:rPr>
          <w:rFonts w:ascii="Times New Roman" w:hAnsi="Times New Roman"/>
          <w:sz w:val="20"/>
        </w:rPr>
        <w:t xml:space="preserve">”); and the Company will not, to the best of its knowledge, use the proceeds of the offering of the Securities hereunder, or lend, contribute or otherwise make available such proceeds to any subsidiary, joint venture partner or other Person (i) to fund or facilitate any activities of or business with any Person that, at the time of such funding or facilitation, is the target of Sanctions or (ii) to fund or facilitate any activities of or business in any Sanctioned Country. Since April 24, 2019, the Company and its subsidiaries have not knowingly engaged in and are not now knowingly engaged in any dealings or transactions with any person that at the time of the dealing or transaction is or was the target of Sanctions or with any Sanctioned Country. </w:t>
      </w:r>
    </w:p>
    <w:p>
      <w:pPr>
        <w:pStyle w:val="TextBody"/>
        <w:bidi w:val="0"/>
        <w:spacing w:before="120" w:after="0"/>
        <w:jc w:val="left"/>
        <w:rPr>
          <w:rFonts w:ascii="Times New Roman" w:hAnsi="Times New Roman"/>
          <w:sz w:val="20"/>
        </w:rPr>
      </w:pPr>
      <w:r>
        <w:rPr>
          <w:rFonts w:ascii="Times New Roman" w:hAnsi="Times New Roman"/>
          <w:sz w:val="20"/>
        </w:rPr>
        <w:t xml:space="preserve">(dd) </w:t>
      </w:r>
      <w:r>
        <w:rPr>
          <w:rFonts w:ascii="Times New Roman" w:hAnsi="Times New Roman"/>
          <w:i/>
          <w:sz w:val="20"/>
        </w:rPr>
        <w:t xml:space="preserve">Cybersecurity; Data Protection. </w:t>
      </w:r>
      <w:r>
        <w:rPr>
          <w:rFonts w:ascii="Times New Roman" w:hAnsi="Times New Roman"/>
          <w:sz w:val="20"/>
        </w:rPr>
        <w:t>The Company and its subsidiaries have implemented and maintained commercially reasonable controls, policies, procedures and safeguards to maintain and protect their material confidential information and the integrity, continuous operation and security of all of their information technology assets and equipment, computers, systems, networks, hardware, software, websites, applications and databases (collectively, “</w:t>
      </w:r>
      <w:r>
        <w:rPr>
          <w:rFonts w:ascii="Times New Roman" w:hAnsi="Times New Roman"/>
          <w:b/>
          <w:sz w:val="20"/>
        </w:rPr>
        <w:t>IT Systems</w:t>
      </w:r>
      <w:r>
        <w:rPr>
          <w:rFonts w:ascii="Times New Roman" w:hAnsi="Times New Roman"/>
          <w:sz w:val="20"/>
        </w:rPr>
        <w:t>”) and data (including all personal, personally identifiable, sensitive, confidential or regulated data (“</w:t>
      </w:r>
      <w:r>
        <w:rPr>
          <w:rFonts w:ascii="Times New Roman" w:hAnsi="Times New Roman"/>
          <w:b/>
          <w:sz w:val="20"/>
        </w:rPr>
        <w:t>Personal Data</w:t>
      </w:r>
      <w:r>
        <w:rPr>
          <w:rFonts w:ascii="Times New Roman" w:hAnsi="Times New Roman"/>
          <w:sz w:val="20"/>
        </w:rPr>
        <w:t xml:space="preserve">”)) used in connection with their businesses. To the Company’s knowledge, there have been no breaches, violations, outages or unauthorized uses of or accesses to same, nor any incidents under internal review or investigations relating to the same, except for such breaches, violations, outages, uses, accesses, incidents or investigations as would not, individually or in the aggregate, result in a Material Adverse Effect.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Purchase, Sale and Delivery of Securities</w:t>
      </w:r>
      <w:r>
        <w:rPr>
          <w:rFonts w:ascii="Times New Roman" w:hAnsi="Times New Roman"/>
          <w:sz w:val="20"/>
        </w:rPr>
        <w:t xml:space="preserve">. On the basis of the representations, warranties and agreements and subject to the terms and conditions set forth herein, the Company agrees to sell to the several Underwriters, and each of the Underwriters agrees, severally and not jointly, to purchase from the Company (a) in the case of the 2029 Securities, at a purchase price of 99.509% of the principal amount thereof, (b) in the case of the 2031 Securities, at a purchase price of 99.266% of the principal amount thereof, (c) in the case of the 2033 Securities, at a purchase price of 99.332% of the principal amount thereof and (d) in the case of the 2036 Securities, at a purchase price of 99.000% of the principal amount thereof, the respective principal amounts of the applicable Securities set forth opposite the names of the Underwriters in Schedule A hereto, plus accrued interest, if any, from September 17, 2026 to the Closing Date (as hereafter defined). </w:t>
      </w:r>
    </w:p>
    <w:p>
      <w:pPr>
        <w:pStyle w:val="TextBody"/>
        <w:bidi w:val="0"/>
        <w:spacing w:before="240" w:after="0"/>
        <w:jc w:val="left"/>
        <w:rPr>
          <w:rFonts w:ascii="Times New Roman" w:hAnsi="Times New Roman"/>
          <w:sz w:val="20"/>
        </w:rPr>
      </w:pPr>
      <w:r>
        <w:rPr>
          <w:rFonts w:ascii="Times New Roman" w:hAnsi="Times New Roman"/>
          <w:sz w:val="20"/>
        </w:rPr>
        <w:t>The Company will deliver the Securities to or as instructed by the Representative for the accounts of the several Underwriters in a form reasonably acceptable to the Representative against payment of the purchase price by the Underwriters in Federal (same day) funds by wire transfer to an account at a bank acceptable to the Representative drawn to the order of Analog Devices, Inc. at the office of Cravath, Swaine &amp; Moore LLP, at 9:30 A.M., New York time, on September 17, 2026, or at such other time not later than seven full business days thereafter as the Representative and the Company determine, such time being herein referred to as the “</w:t>
      </w:r>
      <w:r>
        <w:rPr>
          <w:rFonts w:ascii="Times New Roman" w:hAnsi="Times New Roman"/>
          <w:b/>
          <w:sz w:val="20"/>
        </w:rPr>
        <w:t>Closing Date</w:t>
      </w:r>
      <w:r>
        <w:rPr>
          <w:rFonts w:ascii="Times New Roman" w:hAnsi="Times New Roman"/>
          <w:sz w:val="20"/>
        </w:rPr>
        <w:t xml:space="preserve">”. A copy of the Securities so to be delivered or evidence of their issuance will be made available for checking at the above office of Cravath, Swaine &amp; Moore LLP at least 24 hours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i/>
          <w:sz w:val="20"/>
        </w:rPr>
        <w:t>Offering by Underwriters</w:t>
      </w:r>
      <w:r>
        <w:rPr>
          <w:rFonts w:ascii="Times New Roman" w:hAnsi="Times New Roman"/>
          <w:sz w:val="20"/>
        </w:rPr>
        <w:t xml:space="preserve">. It is understood that the several Underwriters propose to offer the Securities for sale to the public as set forth in the Final Prospectus.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i/>
          <w:sz w:val="20"/>
        </w:rPr>
        <w:t>Certain Agreements of the Company</w:t>
      </w:r>
      <w:r>
        <w:rPr>
          <w:rFonts w:ascii="Times New Roman" w:hAnsi="Times New Roman"/>
          <w:sz w:val="20"/>
        </w:rPr>
        <w:t xml:space="preserve">. The Company agrees with the several Underwriters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Filing of Prospectuses. </w:t>
      </w:r>
      <w:r>
        <w:rPr>
          <w:rFonts w:ascii="Times New Roman" w:hAnsi="Times New Roman"/>
          <w:sz w:val="20"/>
        </w:rPr>
        <w:t xml:space="preserve">The Company has filed or will file each Statutory Prospectus (including the Final Prospectus) pursuant to and in accordance with Rule 424(b) not later than the second business day following the earlier of the date it is first used or the execution and delivery of this Agreement. The Company has complied and will comply with Rule 433.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Filing of Amendments; Response to Commission Requests</w:t>
      </w:r>
      <w:r>
        <w:rPr>
          <w:rFonts w:ascii="Times New Roman" w:hAnsi="Times New Roman"/>
          <w:sz w:val="20"/>
        </w:rPr>
        <w:t xml:space="preserve">. For so long as a prospectus relating to the Securities is (or but for the exemption in Rule 172 would be) required to be delivered under the Act by any Underwriter or dealer, the Company will promptly advise the Representative of any proposal to amend or supplement the Registration Statement or any Statutory Prospectus at any time and will offer the Representative a reasonable opportunity to comment on any such amendment or supplement; and the Company will also advise the Representative promptly of (i) the filing of any such amendment or supplement, (ii) any request by the Commission or its staff for any amendment to the Registration Statement, for any supplement to any Statutory Prospectus or for any additional information, (iii) the institution by the Commission of any stop order proceedings in respect of the Registration Statement or the threatening of any proceeding for that purpose and (iv) the receipt by the Company of any notification with respect to the suspension of the qualification of the Securities in any jurisdiction or the institution or threatening of any proceedings for such purpose. The Company will use its best efforts to prevent the issuance of any such stop order or the suspension of any such qualification and, if issued, to obtain as soon as possible the withdrawal thereof.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Continued Compliance with Securities Laws</w:t>
      </w:r>
      <w:r>
        <w:rPr>
          <w:rFonts w:ascii="Times New Roman" w:hAnsi="Times New Roman"/>
          <w:sz w:val="20"/>
        </w:rPr>
        <w:t xml:space="preserve">. If, at any time when a prospectus relating to the Securities is (or but for the exemption in Rule 172 would be) required to be delivered under the Act by any Underwriter or dealer, any event occurs as a result of which the Final Prospectus as then amended or supplemented would include an untrue statement of a material fact or omit to state any material fact necessary to make the statements therein, in the light of the circumstances under which they were made, not misleading, or if it is necessary at any time to amend the Registration Statement or supplement the Final Prospectus to comply with the Act, the Company will promptly notify the Representative of such event and will promptly prepare and file with the Commission and furnish, at its own expense, to the Underwriters and the dealers and any other dealers upon request of the Representative, an amendment or supplement which will correct such statement or omission or an amendment which will effect such compliance. Neither the Representative’s consent to, nor the Underwriters’ delivery of, any such amendment or supplement shall constitute a waiver of any of the conditions set forth in Section 7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Rule</w:t>
      </w:r>
      <w:r>
        <w:rPr>
          <w:rFonts w:ascii="Times New Roman" w:hAnsi="Times New Roman"/>
          <w:sz w:val="20"/>
        </w:rPr>
        <w:t> </w:t>
      </w:r>
      <w:r>
        <w:rPr>
          <w:rFonts w:ascii="Times New Roman" w:hAnsi="Times New Roman"/>
          <w:i/>
          <w:sz w:val="20"/>
        </w:rPr>
        <w:t xml:space="preserve">158. </w:t>
      </w:r>
      <w:r>
        <w:rPr>
          <w:rFonts w:ascii="Times New Roman" w:hAnsi="Times New Roman"/>
          <w:sz w:val="20"/>
        </w:rPr>
        <w:t xml:space="preserve">As soon as practicable, but not later than 16 months after the date of this Agreement, the Company will make generally available to its securityholders an earnings statement covering a period of at least 12 months beginning after the date of this Agreement and satisfying the provisions of Section 11(a) of the Act and Rule 158.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Furnishing of Prospectuses</w:t>
      </w:r>
      <w:r>
        <w:rPr>
          <w:rFonts w:ascii="Times New Roman" w:hAnsi="Times New Roman"/>
          <w:sz w:val="20"/>
        </w:rPr>
        <w:t xml:space="preserve">. The Company will furnish to the Representative copies of the Registration Statement, including all exhibits, any Statutory Prospectus, the Final Prospectus and all amendments and supplements to such documents, in each case as soon as available and in such quantities as the Representative reasonably requests. The Company will pay the expenses of printing and distributing to the Underwriters all such documents.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Blue Sky Qualifications</w:t>
      </w:r>
      <w:r>
        <w:rPr>
          <w:rFonts w:ascii="Times New Roman" w:hAnsi="Times New Roman"/>
          <w:sz w:val="20"/>
        </w:rPr>
        <w:t xml:space="preserve">. The Company will arrange for the qualification of the Securities for sale and the determination of their eligibility for investment under the laws of such jurisdictions as the Representative designates and will continue such qualifications in effect so long as required for the distribution; provided that the Company shall not be required to qualify to transact business or to take any action that would subject it to general service of process in any such jurisdiction where it is not currently qualified or where it would be subject to taxation as a foreign business.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Reporting Requirements</w:t>
      </w:r>
      <w:r>
        <w:rPr>
          <w:rFonts w:ascii="Times New Roman" w:hAnsi="Times New Roman"/>
          <w:sz w:val="20"/>
        </w:rPr>
        <w:t xml:space="preserve">. For so long as delivery of a prospectus by an Underwriter or dealer may be (or but for the exception in Rule 172 would be) required under the Act, the Company will furnish to the Representative and, upon request, to each of the other Underwriters, as soon as practicable after the end of each fiscal year, a copy of its annual report to stockholders for such year as is required to be filed by the Company with the Commission; and the Company will furnish to the Representative (i) as soon as available, a copy of each report and any definitive proxy statement of the Company filed with the Commission under the Exchange Act or mailed to stockholders, and (ii) from time to time, such other information concerning the Company as the Representative may reasonably request. However, so long as the Company is subject to the reporting requirements of either Section 13 or Section 15(d) of the Exchange Act and is timely filing reports with the Commission on its Electronic Data Gathering, Analysis and Retrieval system or any successor system, it is not required to furnish such reports or statements to the Underwriters.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Payment of Expenses</w:t>
      </w:r>
      <w:r>
        <w:rPr>
          <w:rFonts w:ascii="Times New Roman" w:hAnsi="Times New Roman"/>
          <w:sz w:val="20"/>
        </w:rPr>
        <w:t xml:space="preserve">. The Company will pay all expenses incident to the performance of its obligations under this Agreement, including but not limited to any filing fees and other expenses (including fees and disbursements of counsel to the Underwriters) incurred in connection with qualification of the Securities for sale under the laws of such jurisdictions as the Representative designates pursuant to Section 5(f) hereof and the preparation and printing of memoranda relating thereto, any fees charged by investment rating agencies for the rating of the Securities, any fees charged by a second party opinion provider for any second party opinion in respect of the Securities, costs and expenses relating to investor presentations or any “road show” in connection with the offering and sale of the Securities including, without limitation, any travel expenses of the Company’s officers and employees and any other expenses of the Company, fees and expenses in connection with the registration of the Securities under the Exchange Act, and expenses incurred in distributing preliminary prospectuses and the Final Prospectus (including any amendments and supplements thereto) to the Underwriters and for expenses incurred for preparing, printing and distributing any Issuer Free Writing Prospectuses to investors or prospective investors. It is understood, however, that, except as provided in this Section 5 and Sections 8 and 10 hereof, the Underwriters will pay the fees of their counsel.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Use of Proceeds</w:t>
      </w:r>
      <w:r>
        <w:rPr>
          <w:rFonts w:ascii="Times New Roman" w:hAnsi="Times New Roman"/>
          <w:sz w:val="20"/>
        </w:rPr>
        <w:t xml:space="preserve">. The Company will use the net proceeds received in connection with this offering in the manner described in the “Use of Proceeds” section of the General Disclosure Package and, except as disclosed in the General Disclosure Package, the Company does not intend to use any of the proceeds from the sale of the Securities hereunder to repay any outstanding debt owed to any affiliate of any Underwriter.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Absence of Manipulation</w:t>
      </w:r>
      <w:r>
        <w:rPr>
          <w:rFonts w:ascii="Times New Roman" w:hAnsi="Times New Roman"/>
          <w:sz w:val="20"/>
        </w:rPr>
        <w:t xml:space="preserve">. The Company will not take, directly or indirectly, any action designed to or that would constitute or that might reasonably be expected to cause or result in, stabilization or manipulation of the price of any securities of the Company to facilitate the sale or resale of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 xml:space="preserve">Restriction on Sale of Securities. </w:t>
      </w:r>
      <w:r>
        <w:rPr>
          <w:rFonts w:ascii="Times New Roman" w:hAnsi="Times New Roman"/>
          <w:sz w:val="20"/>
        </w:rPr>
        <w:t xml:space="preserve">The Company will not offer, sell, contract to sell, pledge or otherwise dispose of, directly or indirectly, or file with the Commission a registration statement under the Act relating to United States dollar-denominated debt securities issued or guaranteed by the Company and having a maturity of more than one year from the date of issue, or publicly disclose the intention to make any such offer, sale, pledge, disposition or filing, without the prior written consent of the Representative for a period beginning on the date hereof and ending on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i/>
          <w:sz w:val="20"/>
        </w:rPr>
        <w:t>Free Writing Prospectuses</w:t>
      </w:r>
      <w:r>
        <w:rPr>
          <w:rFonts w:ascii="Times New Roman" w:hAnsi="Times New Roman"/>
          <w:sz w:val="20"/>
        </w:rPr>
        <w:t>. (a) </w:t>
      </w:r>
      <w:r>
        <w:rPr>
          <w:rFonts w:ascii="Times New Roman" w:hAnsi="Times New Roman"/>
          <w:i/>
          <w:sz w:val="20"/>
        </w:rPr>
        <w:t>Issuer Free Writing Prospectuses</w:t>
      </w:r>
      <w:r>
        <w:rPr>
          <w:rFonts w:ascii="Times New Roman" w:hAnsi="Times New Roman"/>
          <w:sz w:val="20"/>
        </w:rPr>
        <w:t>. The Company represents and agrees that, unless it obtains the prior consent of the Representative, and each Underwriter represents and agrees that, unless it obtains the prior consent of the Company and the Representative, it has not made and will not make any offer relating to the Securities that would constitute an Issuer Free Writing Prospectus, or that would otherwise constitute a “free writing prospectus,” as defined in Rule 405, required to be filed with the Commission. Any such free writing prospectus consented to by the Company and the Representative is hereinafter referred to as a “</w:t>
      </w:r>
      <w:r>
        <w:rPr>
          <w:rFonts w:ascii="Times New Roman" w:hAnsi="Times New Roman"/>
          <w:b/>
          <w:sz w:val="20"/>
        </w:rPr>
        <w:t>Permitted Free Writing Prospectus</w:t>
      </w:r>
      <w:r>
        <w:rPr>
          <w:rFonts w:ascii="Times New Roman" w:hAnsi="Times New Roman"/>
          <w:sz w:val="20"/>
        </w:rPr>
        <w:t xml:space="preserve">.” The Company represents that it has treated and agrees that it will treat each Permitted Free Writing Prospectus as an “issuer free writing prospectus,” as defined in Rule 433, and has complied and will comply with the requirements of Rules 164 and 433 applicable to any Permitted Free Writing Prospectus, including timely Commission filing where required, legending and record keeping.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i/>
          <w:sz w:val="20"/>
        </w:rPr>
        <w:t>Term Sheets</w:t>
      </w:r>
      <w:r>
        <w:rPr>
          <w:rFonts w:ascii="Times New Roman" w:hAnsi="Times New Roman"/>
          <w:sz w:val="20"/>
        </w:rPr>
        <w:t xml:space="preserve">. The Company will prepare a final term sheet relating to the Securities, containing only information that describes the final terms of the Securities and otherwise in a form consented to by the Representative, and will file such final term sheet within the period required by Rule 433(d)(5)(ii) following the date such final terms have been established for the offering of the Securities. Any such final term sheet is an Issuer Free Writing Prospectus and a Permitted Free Writing Prospectus for purposes of this Agreement. The Company also consents to the use by any Underwriter of a free writing prospectus that contains only (i) (x) information describing the preliminary terms of the Securities or their offering or (y) information that describes the final terms of the Securities or their offering and that is included in the final term sheet of the Company contemplated in the first sentence of this subsection or (ii) other information that is not “issuer information,” as defined in Rule 433, it being understood that any such free writing prospectus referred to in clause (i) or (ii) above shall not be an Issuer Free Writing Prospectus for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i/>
          <w:sz w:val="20"/>
        </w:rPr>
        <w:t>Conditions of the Obligations of the Underwriters</w:t>
      </w:r>
      <w:r>
        <w:rPr>
          <w:rFonts w:ascii="Times New Roman" w:hAnsi="Times New Roman"/>
          <w:sz w:val="20"/>
        </w:rPr>
        <w:t xml:space="preserve">. The obligations of the several Underwriters to purchase and pay for the Securities on the Closing Date will be subject to the accuracy of the representations and warranties of the Company herein (as though made on the Closing Date), to the accuracy of the statements of Company officers made pursuant to the provisions hereof, to the performance by the Company of its obligations hereunder and to the following additional conditions precedent: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i/>
          <w:sz w:val="20"/>
        </w:rPr>
        <w:t>Accountant’s Comfort Letters</w:t>
      </w:r>
      <w:r>
        <w:rPr>
          <w:rFonts w:ascii="Times New Roman" w:hAnsi="Times New Roman"/>
          <w:sz w:val="20"/>
        </w:rPr>
        <w:t xml:space="preserve">. The Representative shall have received letters, dated, respectively, the date hereof and the Closing Date, of Ernst &amp; Young LLP, Boston, Massachusetts, as independent registered public accountants for the Company, confirming that they are a registered public accounting firm and independent public accountants within the meaning of the Securities Laws and substantially in the form of Exhibit A hereto (except that, in any letter dated the Closing Date, the specified date referred to in Exhibit A hereto shall be a date no more than three business days prior to the Closing Date).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i/>
          <w:sz w:val="20"/>
        </w:rPr>
        <w:t xml:space="preserve">Filing of Prospectus. </w:t>
      </w:r>
      <w:r>
        <w:rPr>
          <w:rFonts w:ascii="Times New Roman" w:hAnsi="Times New Roman"/>
          <w:sz w:val="20"/>
        </w:rPr>
        <w:t xml:space="preserve">The Final Prospectus shall have been filed with the Commission in accordance with the Rules and Regulations and Section 5(a) hereof. No stop order suspending the effectiveness of the Registration Statement or of any part thereof shall have been issued and no proceedings for that purpose shall have been instituted or, to the knowledge of the Company or any Underwriter, shall be contemplated by the Commission.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i/>
          <w:sz w:val="20"/>
        </w:rPr>
        <w:t>No Material Adverse Change</w:t>
      </w:r>
      <w:r>
        <w:rPr>
          <w:rFonts w:ascii="Times New Roman" w:hAnsi="Times New Roman"/>
          <w:sz w:val="20"/>
        </w:rPr>
        <w:t xml:space="preserve">. Subsequent to the execution and delivery of this Agreement, there shall not have occurred (i) any change, or any development or event involving a prospective change, in the condition (financial or otherwise), results of operations, business or properties of the Company and its subsidiaries, taken as a whole, which, in the judgment of the Representative, is material and adverse and makes it impractical or inadvisable to market the Securities; (ii) any downgrading in the rating of any debt securities of the Company by any “nationally recognized statistical rating organization” (as defined for purposes of Rule 3(a)(62) under the Exchange Act), or any public announcement that any such organization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has under surveillance or review its rating of any debt securities of the Company (other than an announcement with positive implications of a possible upgrading, and no implication of a possible downgrading, of such rating); (iii) any change in U.S. or international financial, political or economic conditions or currency exchange rates or exchange controls the effect of which is such as to make it, in the judgment of the Representative, impractical to market or to enforce contracts for the sale of the Securities, whether in the primary market or in respect of dealings in the secondary market; (iv) any suspension or material limitation of trading in securities generally on the Nasdaq Global Select Market, or any setting of minimum or maximum prices for trading on such exchange; (v) any suspension of trading of any securities of the Company on any exchange or in the over-the-counter market; (vi) any banking moratorium declared by any U.S. federal or New York authorities; (vii) any major disruption of settlements of securities, payment, or clearance services in the United States or any other country where such securities are listed; or (viii) any attack on, outbreak or escalation of hostilities or act of terrorism involving the United States, any declaration of war by Congress or any other national or international calamity or emergency if, in the judgment of the Representative, the effect of any such attack, outbreak, escalation, act, declaration, calamity or emergency is such as to make it impractical or inadvisable to offer, sell or deliver the Securities.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i/>
          <w:sz w:val="20"/>
        </w:rPr>
        <w:t>Opinion of Counsel for the Company</w:t>
      </w:r>
      <w:r>
        <w:rPr>
          <w:rFonts w:ascii="Times New Roman" w:hAnsi="Times New Roman"/>
          <w:sz w:val="20"/>
        </w:rPr>
        <w:t xml:space="preserve">. The Representative shall have received an opinion and negative assurance letter, each dated the Closing Date, of Sidley Austin LLP, counsel for the Company, in the form of Exhibit B hereto.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i/>
          <w:sz w:val="20"/>
        </w:rPr>
        <w:t>Opinion of Chief Legal Officer of the Company.</w:t>
      </w:r>
      <w:r>
        <w:rPr>
          <w:rFonts w:ascii="Times New Roman" w:hAnsi="Times New Roman"/>
          <w:sz w:val="20"/>
        </w:rPr>
        <w:t xml:space="preserve"> The Representative shall have received an opinion, dated the Closing Date, of Janene Asgeirsson, Chief Legal Officer of the Company, in the form of Exhibit C hereto.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i/>
          <w:sz w:val="20"/>
        </w:rPr>
        <w:t xml:space="preserve">Opinion of Counsel for Underwriters. </w:t>
      </w:r>
      <w:r>
        <w:rPr>
          <w:rFonts w:ascii="Times New Roman" w:hAnsi="Times New Roman"/>
          <w:sz w:val="20"/>
        </w:rPr>
        <w:t xml:space="preserve">The Representative shall have received from Cravath, Swaine &amp; Moore LLP, counsel for the Underwriters, such opinion or opinions, dated the Closing Date, with respect to such matters as the Representative may require, and the Company shall have furnished to such counsel such documents as they request for the purpose of enabling them to pass upon such matters. </w:t>
      </w:r>
    </w:p>
    <w:p>
      <w:pPr>
        <w:pStyle w:val="TextBody"/>
        <w:bidi w:val="0"/>
        <w:spacing w:before="120" w:after="0"/>
        <w:jc w:val="left"/>
        <w:rPr>
          <w:rFonts w:ascii="Times New Roman" w:hAnsi="Times New Roman"/>
          <w:sz w:val="20"/>
        </w:rPr>
      </w:pPr>
      <w:r>
        <w:rPr>
          <w:rFonts w:ascii="Times New Roman" w:hAnsi="Times New Roman"/>
          <w:sz w:val="20"/>
        </w:rPr>
        <w:t>(g) </w:t>
      </w:r>
      <w:r>
        <w:rPr>
          <w:rFonts w:ascii="Times New Roman" w:hAnsi="Times New Roman"/>
          <w:i/>
          <w:sz w:val="20"/>
        </w:rPr>
        <w:t>Officers’ Certificate</w:t>
      </w:r>
      <w:r>
        <w:rPr>
          <w:rFonts w:ascii="Times New Roman" w:hAnsi="Times New Roman"/>
          <w:sz w:val="20"/>
        </w:rPr>
        <w:t xml:space="preserve">. The Representative shall have received a certificate, dated the Closing Date, of an executive officer of the Company and a principal financial or accounting officer of the Company in which such officers shall state that: (i) the representations and warranties of the Company in this Agreement are true and correct; (ii) the Company has complied with all agreements and satisfied all conditions on its part to be performed or satisfied hereunder at or prior to the Closing Date; (iii) no stop order suspending the effectiveness of the Registration Statement has been issued and no proceedings for that purpose have been instituted or, to their knowledge, are contemplated by the Commission; and (iv), subsequent to the date of the most recent financial statements in the General Disclosure Package, there has been no material adverse change, nor any development or event involving a prospective material adverse change, in the condition (financial or otherwise), results of operations, business, properties or prospects of the Company and its subsidiaries taken as a whole except as set forth in the General Disclosure Package.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furnish the Representative with such conformed copies of such opinions, certificates, letters and documents as the Representative reasonably requests. The Representative may, in its sole discretion, waive on behalf of the Underwriters compliance with any conditions to the obligations of the Underwriters hereunder.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i/>
          <w:sz w:val="20"/>
        </w:rPr>
        <w:t>Indemnification and Contribution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Indemnification of Underwriters</w:t>
      </w:r>
      <w:r>
        <w:rPr>
          <w:rFonts w:ascii="Times New Roman" w:hAnsi="Times New Roman"/>
          <w:sz w:val="20"/>
        </w:rPr>
        <w:t>. The Company will indemnify and hold harmless each Underwriter, its partners, members, directors, officers, employees, agents, affiliates and each person, if any, who controls such Underwriter within the meaning of Section 15 of the Act or Section 20 of the Exchange Act (each, a “</w:t>
      </w:r>
      <w:r>
        <w:rPr>
          <w:rFonts w:ascii="Times New Roman" w:hAnsi="Times New Roman"/>
          <w:b/>
          <w:sz w:val="20"/>
        </w:rPr>
        <w:t>Company Indemnified Party</w:t>
      </w:r>
      <w:r>
        <w:rPr>
          <w:rFonts w:ascii="Times New Roman" w:hAnsi="Times New Roman"/>
          <w:sz w:val="20"/>
        </w:rPr>
        <w:t xml:space="preserve">”), against any and all losses, claims, damages or liabilities, joint or several, to which such Company Indemnified Party may become subject, under the Act, the Exchange Act, other Federal or state statutory law or regulation or otherwise, insofar as such losses, claims, damages or liabilities (or actions in respect thereof) arise out of or are based upon any untrue statement or alleged untrue statement of any material fact contained in any part of the Registration Statement, any Statutory Prospectus, the Final Prospectus or any Issuer Free Writing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arise out of or are based upon the omission or alleged omission of a material fact required to be stated therein or necessary to make the statements therein not misleading, and will reimburse each Company Indemnified Party for any legal or other expenses reasonably incurred by such Company Indemnified Party in connection with investigating or defending against any such loss, claim, damage, liability, action, litigation, investigation or proceeding whatsoever (whether or not such Company Indemnified Party is a party thereto), whether threatened or commenced, and in connection with the enforcement of this provision with respect to any of the above as such expenses are incurred; provided, however, that the Company will not be liable in any such case to the extent that any such loss, claim, damage or liability arises out of or is based upon an untrue statement or alleged untrue statement in or omission or alleged omission from any of such documents in reliance upon and in conformity with written information furnished to the Company by any Underwriter through the Representative specifically for use therein, it being understood and agreed that the only such information furnished by any Underwriter consists of the information described as such in subsection (b) below.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Indemnification of Company</w:t>
      </w:r>
      <w:r>
        <w:rPr>
          <w:rFonts w:ascii="Times New Roman" w:hAnsi="Times New Roman"/>
          <w:sz w:val="20"/>
        </w:rPr>
        <w:t>. Each Underwriter will severally and not jointly indemnify and hold harmless the Company, each of its directors and each of its officers who signs a Registration Statement and each person, if any, who controls the Company within the meaning of Section 15 of the Act or Section 20 of the Exchange Act (each, an “</w:t>
      </w:r>
      <w:r>
        <w:rPr>
          <w:rFonts w:ascii="Times New Roman" w:hAnsi="Times New Roman"/>
          <w:b/>
          <w:sz w:val="20"/>
        </w:rPr>
        <w:t>Underwriter Indemnified Party</w:t>
      </w:r>
      <w:r>
        <w:rPr>
          <w:rFonts w:ascii="Times New Roman" w:hAnsi="Times New Roman"/>
          <w:sz w:val="20"/>
        </w:rPr>
        <w:t>”; each Company Indemnified Party and Underwriter Indemnified Party being referred to as an “</w:t>
      </w:r>
      <w:r>
        <w:rPr>
          <w:rFonts w:ascii="Times New Roman" w:hAnsi="Times New Roman"/>
          <w:b/>
          <w:sz w:val="20"/>
        </w:rPr>
        <w:t>Indemnified Party</w:t>
      </w:r>
      <w:r>
        <w:rPr>
          <w:rFonts w:ascii="Times New Roman" w:hAnsi="Times New Roman"/>
          <w:sz w:val="20"/>
        </w:rPr>
        <w:t xml:space="preserve">”), against any losses, claims, damages or liabilities to which such Underwriter Indemnified Party may become subject, under the Act, the Exchange Act, other Federal or state statutory law or regulation or otherwise, insofar as such losses, claims, damages or liabilities (or actions in respect thereof) arise out of or are based upon any untrue statement or alleged untrue statement of any material fact contained in any part of the Registration Statement, any Statutory Prospectus, the Final Prospectus or any Issuer Free Writing Prospectus, or arise out of or are based upon the omission or the alleged omission of a material fact required to be stated therein or necessary to make the statements therein not misleading, in each case to the extent, but only to the extent, that such untrue statement or alleged untrue statement or omission or alleged omission was made in reliance upon and in conformity with written information furnished to the Company by such Underwriter through the Representative specifically for use therein, and will reimburse any legal or other expenses reasonably incurred by such Underwriter Indemnified Party in connection with investigating or defending against any such loss, claim, damage, liability, action, litigation, investigation or proceeding whatsoever (whether or not such Underwriter Indemnified Party is a party thereto), whether threatened or commenced, based upon any such untrue statement or omission, or any such alleged untrue statement or omission as such expenses are incurred, it being understood and agreed that the only such information furnished by any Underwriter consists of the following information in the Final Prospectus furnished on behalf of each Underwriter: the concession and reallowance figures appearing in the third paragraph under the caption “Underwriting”, the second sentence in the fifth paragraph under the caption “Underwriting”, and the information contained in the twelfth and thirteenth paragraphs under the caption “Underwriting”.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Actions against Parties; Notification</w:t>
      </w:r>
      <w:r>
        <w:rPr>
          <w:rFonts w:ascii="Times New Roman" w:hAnsi="Times New Roman"/>
          <w:sz w:val="20"/>
        </w:rPr>
        <w:t xml:space="preserve">. Promptly after receipt by an Indemnified Party under this Section 8 of notice of the commencement of any action, such Indemnified Party will, if a claim in respect thereof is to be made against the indemnifying party under subsection (a) or (b) above, notify the indemnifying party of the commencement thereof; but the failure to notify the indemnifying party shall not relieve such indemnifying party from any liability that it may have under subsection (a) or (b) above except to the extent that it has been materially prejudiced (through the forfeiture of substantive rights or defenses) by such failure; and provided further that the failure to notify the indemnifying party shall not relieve such indemnifying party from any liability that it may have to an Indemnified Party otherwise than under subsection (a) or (b) above. In case any such action is brought against any Indemnified Party and it notifies the indemnifying party of the commencement thereof, the indemnifying party will be entitled to participate therein and, to the extent that it may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will not be liable to such Indemnified Party under this Section 8 for any legal or other expenses subsequently incurred by such Indemnified Party in connection with the defense thereof other than reasonable costs of investigation. No indemnifying party shall, without the prior written consent of the Indemnified Party, effect any settlement of any pending or threatened action in respect of which any Indemnified Party is or could have been a party and indemnity could have been sought hereunder by such Indemnified Party unless such settlement (i) includes an unconditional release of such Indemnified Party from all liability on any claims that are the subject matter of such action and (ii) does not include a statement as to, or an admission of, fault, culpability or a failure to act by or on behalf of an Indemnified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Contribution</w:t>
      </w:r>
      <w:r>
        <w:rPr>
          <w:rFonts w:ascii="Times New Roman" w:hAnsi="Times New Roman"/>
          <w:sz w:val="20"/>
        </w:rPr>
        <w:t xml:space="preserve">. If the indemnification provided for in this Section 8 is unavailable or insufficient to hold harmless an Indemnified Party under subsection (a) or (b) above, then each indemnifying party shall contribute to the amount paid or payable by such Indemnified Party as a result of the losses, claims, damages or liabilities referred to in subsection (a) or (b) above (i) in such proportion as is appropriate to reflect the relative benefits received by the Company on the one hand and the Underwriters on the other from the offering of the Securities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in connection with the statements or omissions which resulted in such losses, claims, damages or liabilities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The relative fault shall be determined by reference to, among other things, whether the untrue or alleged untrue statement of a material fact or the omission or alleged omission to state a material fact relates to information supplied by the Company or the Underwriters and the parties’ relative intent, knowledge, access to information and opportunity to correct or prevent such untrue statement or omission. The amount paid by an Indemnified Party as a result of the losses, claims, damages or liabilities referred to in the first sentence of this subsection (d) shall be deemed to include any legal or other expenses reasonably incurred by such Indemnified Party in connection with investigating or defending any action or claim which is the subject of this subsection (d). Notwithstanding the provisions of this subsection (d), no Underwriter shall be required to contribute any amount in excess of the amount by which the total price at which the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 The Company and the Underwriters agree that it would not be just and equitable if contribution pursuant to this Section 8(d) were determined by pro rata allocation (even if the Underwriters were treated as one entity for such purpose) or by any other method of allocation which does not take account of the equitable considerations referred to in this Section 8(d).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i/>
          <w:sz w:val="20"/>
        </w:rPr>
        <w:t>Default of Underwriters</w:t>
      </w:r>
      <w:r>
        <w:rPr>
          <w:rFonts w:ascii="Times New Roman" w:hAnsi="Times New Roman"/>
          <w:sz w:val="20"/>
        </w:rPr>
        <w:t xml:space="preserve">. If any Underwriter or Underwriters default in their obligations to purchase Securities of a series hereunder on the Closing Date and the aggregate principal amount of Securities of that series that such defaulting Underwriter or Underwriters agreed but failed to purchase does not exceed 10% of the total principal amount of Securities of that series that the Underwriters are obligated to purchase on the Closing Date, the Representative may make arrangements satisfactory to the Company for the purchase of such Securities by other persons, including any of the Underwriters, but if no such arrangements are made by the Closing Date, the non-defaulting Underwriters of the relevant series of the Securities shall be obligated severally, in proportion to their respective commitments hereunder, to purchase the Securities of the relevant series that such defaulting Underwriters agreed but failed to purchase on the Closing Date. If any Underwriter or Underwriters so default and the aggregate principal amount of Securities of the relevant series with respect to which such default or defaults occur exceeds 10% of the total principal amount of Securities of that series that the Underwriters are obligated to purchase on the Closing Date and arrangements satisfactory to the Representative and the Company for the purchase of such Securities by other persons are not made within 36 hours after such default, this Agreement will terminate without liability with respect to such Securities on the part of any non-defaulting Underwriter or the Company, except as provided in Section 10 hereof. As used in this Agreement, the term “Underwriter” includes any person substituted for an Underwriter under this Section 9. Nothing herein will relieve a defaulting Underwriter from liability for its default.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i/>
          <w:sz w:val="20"/>
        </w:rPr>
        <w:t>Survival of Certain Representations and Obligations</w:t>
      </w:r>
      <w:r>
        <w:rPr>
          <w:rFonts w:ascii="Times New Roman" w:hAnsi="Times New Roman"/>
          <w:sz w:val="20"/>
        </w:rPr>
        <w:t xml:space="preserve">. The respective indemnities, agreements, representations, warranties and other statements of the Company or its officers and of the several Underwriters set forth in or made pursuant to this Agreement will remain in full force and effect, regardless of any investigation, or statement as to the results thereof, made by or on behalf of any Underwriter, the Company or any of their respective representatives, officers or directors or any controlling person, and will survive delivery of and payment for the Securities. If the purchase of the Securities by the Underwriters is not consummated for any reason other than solely because of the termination of this Agreement pursuant to Section 9 hereof or the occurrence of any event specified in clause (iii), (iv), (vi), (vii) or (viii) of Section 7(c) hereof, the Company will reimburse the Underwriters for all out-of-pocket expenses (including fees and disbursements of counsel) reasonably incurred by them in connection with the offering of the Securities, and the respective obligations of the Company and the Underwriters pursuant to Section 8 hereof shall remain in effect. In addition, if any Securities have been purchased hereunder, the representations and warranties in Section 2 hereof and all obligations under Section 5 hereof shall also remain in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 </w:t>
      </w:r>
      <w:r>
        <w:rPr>
          <w:rFonts w:ascii="Times New Roman" w:hAnsi="Times New Roman"/>
          <w:i/>
          <w:sz w:val="20"/>
        </w:rPr>
        <w:t>Notices</w:t>
      </w:r>
      <w:r>
        <w:rPr>
          <w:rFonts w:ascii="Times New Roman" w:hAnsi="Times New Roman"/>
          <w:sz w:val="20"/>
        </w:rPr>
        <w:t xml:space="preserve">. All communications hereunder will be in writing and, if sent to the Underwriters, will be mailed, delivered or sent by electronic mail and confirmed to the Representative c/o J.P. Morgan Securities LLC, 270 Park Avenue, New York, NY 10017, Attention: Investment Grade Syndicate Desk, Facsimile: 212-834-6081. Notices to the Company will be mailed, delivered or sent by electronic mail and confirmed to it at One Analog Way, Wilmington, Massachusetts 01887, Attention: Chief Legal Officer; provided, however, that any notice to an Underwriter pursuant to Section 8 hereof will be mailed, delivered or sent by electronic mail and confirmed to such Underwriter.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i/>
          <w:sz w:val="20"/>
        </w:rPr>
        <w:t>Successors</w:t>
      </w:r>
      <w:r>
        <w:rPr>
          <w:rFonts w:ascii="Times New Roman" w:hAnsi="Times New Roman"/>
          <w:sz w:val="20"/>
        </w:rPr>
        <w:t xml:space="preserve">. This Agreement will inure to the benefit of and be binding upon the parties hereto and their respective successors and the officers, directors and controlling persons referred to in Section 8 hereof, and no other person will have any right or obligation hereunder.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i/>
          <w:sz w:val="20"/>
        </w:rPr>
        <w:t>Representation of Underwriters</w:t>
      </w:r>
      <w:r>
        <w:rPr>
          <w:rFonts w:ascii="Times New Roman" w:hAnsi="Times New Roman"/>
          <w:sz w:val="20"/>
        </w:rPr>
        <w:t xml:space="preserve">. The Representative will act for the several Underwriters in connection with this financing, and any action under this Agreement taken by the Representative will be binding upon all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i/>
          <w:sz w:val="20"/>
        </w:rPr>
        <w:t>Counterparts</w:t>
      </w:r>
      <w:r>
        <w:rPr>
          <w:rFonts w:ascii="Times New Roman" w:hAnsi="Times New Roman"/>
          <w:sz w:val="20"/>
        </w:rPr>
        <w:t xml:space="preserve">. This Agreement may be executed in any number of counterparts, each of which shall be deemed to be an original, but all such counterparts shall together constitute one and the same Agreement.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i/>
          <w:sz w:val="20"/>
        </w:rPr>
        <w:t xml:space="preserve">Absence of Fiduciary Relationship. </w:t>
      </w:r>
      <w:r>
        <w:rPr>
          <w:rFonts w:ascii="Times New Roman" w:hAnsi="Times New Roman"/>
          <w:sz w:val="20"/>
        </w:rPr>
        <w:t xml:space="preserve">The Company acknowledges and agrees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No Other Relationship</w:t>
      </w:r>
      <w:r>
        <w:rPr>
          <w:rFonts w:ascii="Times New Roman" w:hAnsi="Times New Roman"/>
          <w:sz w:val="20"/>
        </w:rPr>
        <w:t xml:space="preserve">. The Representative has been retained solely to act as underwriter in connection with the sale of Securities and that no fiduciary, advisory or agency relationship between the Company and the Representative has been created in respect of any of the transactions contemplated by this Agreement or the Final Prospectus, irrespective of whether the Representative has advised or is advising the Company on other matters;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Arm’s-Length Negotiations</w:t>
      </w:r>
      <w:r>
        <w:rPr>
          <w:rFonts w:ascii="Times New Roman" w:hAnsi="Times New Roman"/>
          <w:sz w:val="20"/>
        </w:rPr>
        <w:t xml:space="preserve">. The price of the Securities set forth in this Agreement was established by the Company following discussions and arm’s-length negotiations with the Representative and the Company is capable of evaluating and understanding and understands and accepts the terms, risks and conditions of the transactions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Absence of Obligation to Disclose</w:t>
      </w:r>
      <w:r>
        <w:rPr>
          <w:rFonts w:ascii="Times New Roman" w:hAnsi="Times New Roman"/>
          <w:sz w:val="20"/>
        </w:rPr>
        <w:t xml:space="preserve">. The Company has been advised that the Representative and its affiliates are engaged in a broad range of transactions which may involve interests that differ from those of the Company and that the Representative has no obligation to disclose such interests and transactions to the Company by virtue of any fiduciary, advisory or agency relationship; and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Waiver</w:t>
      </w:r>
      <w:r>
        <w:rPr>
          <w:rFonts w:ascii="Times New Roman" w:hAnsi="Times New Roman"/>
          <w:sz w:val="20"/>
        </w:rPr>
        <w:t xml:space="preserve">. The Company waives, to the fullest extent permitted by law, any claims it may have against the Representative for breach of fiduciary duty or alleged breach of fiduciary duty and agrees that the Representative shall have no liability (whether direct or indirect) to the Company in respect of such a fiduciary duty claim or to any person asserting a fiduciary duty claim on behalf of or in right of the Company, including stockholders, employees or creditors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i/>
          <w:sz w:val="20"/>
        </w:rPr>
        <w:t>Patriot Act</w:t>
      </w:r>
      <w:r>
        <w:rPr>
          <w:rFonts w:ascii="Times New Roman" w:hAnsi="Times New Roman"/>
          <w:sz w:val="20"/>
        </w:rPr>
        <w:t xml:space="preserve">.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17. </w:t>
      </w:r>
      <w:r>
        <w:rPr>
          <w:rFonts w:ascii="Times New Roman" w:hAnsi="Times New Roman"/>
          <w:b/>
          <w:i/>
          <w:sz w:val="20"/>
        </w:rPr>
        <w:t>Applicable</w:t>
      </w:r>
      <w:r>
        <w:rPr>
          <w:rFonts w:ascii="Times New Roman" w:hAnsi="Times New Roman"/>
          <w:sz w:val="20"/>
        </w:rPr>
        <w:t> </w:t>
      </w:r>
      <w:r>
        <w:rPr>
          <w:rFonts w:ascii="Times New Roman" w:hAnsi="Times New Roman"/>
          <w:b/>
          <w:i/>
          <w:sz w:val="20"/>
        </w:rPr>
        <w:t>Law and Waiver of Jury Trial</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This Agreement shall be governed by, and construed in accordance with, the laws of the State of New York.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The Company hereby submits to the non-exclusive jurisdiction of the Federal and state courts in the Borough of Manhattan in The City of New York in any suit or proceeding arising out of or relating to this Agreement or the transactions contemplated hereby. The Company irrevocably and unconditionally waives any objection to the laying of venue of any suit or proceeding arising out of or relating to this Agreement or the transactions contemplated hereby in Federal and state courts in the Borough of Manhattan in The City of New York and irrevocably and unconditionally waives and agrees not to plead or claim in any such court that any such suit or proceeding in any such court has been brought in an inconvenient forum. </w:t>
      </w:r>
    </w:p>
    <w:p>
      <w:pPr>
        <w:pStyle w:val="TextBody"/>
        <w:bidi w:val="0"/>
        <w:spacing w:before="120" w:after="0"/>
        <w:jc w:val="left"/>
        <w:rPr>
          <w:rFonts w:ascii="Times New Roman" w:hAnsi="Times New Roman"/>
          <w:sz w:val="20"/>
        </w:rPr>
      </w:pPr>
      <w:r>
        <w:rPr>
          <w:rFonts w:ascii="Times New Roman" w:hAnsi="Times New Roman"/>
          <w:sz w:val="20"/>
        </w:rPr>
        <w:t xml:space="preserve">(c) The Company and the Underwriters hereby irrevocably waive, to the fullest extent permitted by applicable law, any and all right to trial by jury in any legal proceeding arising out of or relating to this Agreement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i/>
          <w:sz w:val="20"/>
        </w:rPr>
        <w:t>Recognition of the U.S. Special Resolution Regimes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the event that any Underwriter that is a Covered Entity (as defined below) becomes subject to a proceeding under a U.S. Special Resolution Regime (as defined below),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(b) In the event that any Underwriter that is a Covered Entity or a BHC Act Affiliate (as defined below) of such Underwriter becomes subject to a proceeding under a U.S. Special Resolution Regime, Default Rights (as defined below)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(c) As used in this Section 18: </w:t>
      </w:r>
    </w:p>
    <w:p>
      <w:pPr>
        <w:pStyle w:val="TextBody"/>
        <w:bidi w:val="0"/>
        <w:spacing w:before="120" w:after="0"/>
        <w:jc w:val="left"/>
        <w:rPr/>
      </w:pPr>
      <w:r>
        <w:rPr/>
        <w:t>“</w:t>
      </w:r>
      <w:r>
        <w:rPr>
          <w:rFonts w:ascii="Times New Roman" w:hAnsi="Times New Roman"/>
          <w:b/>
          <w:sz w:val="20"/>
        </w:rPr>
        <w:t>BHC Act Affiliate</w:t>
      </w:r>
      <w:r>
        <w:rPr>
          <w:rFonts w:ascii="Times New Roman" w:hAnsi="Times New Roman"/>
          <w:sz w:val="20"/>
        </w:rPr>
        <w:t xml:space="preserve">” has the meaning assigned to the term “affiliate” in, and shall be interpreted in accordance with, 12 U.S.C. § 1841(k). </w:t>
      </w:r>
    </w:p>
    <w:p>
      <w:pPr>
        <w:pStyle w:val="TextBody"/>
        <w:bidi w:val="0"/>
        <w:spacing w:before="120" w:after="0"/>
        <w:jc w:val="left"/>
        <w:rPr/>
      </w:pPr>
      <w:r>
        <w:rPr/>
        <w:t>“</w:t>
      </w:r>
      <w:r>
        <w:rPr>
          <w:rFonts w:ascii="Times New Roman" w:hAnsi="Times New Roman"/>
          <w:b/>
          <w:sz w:val="20"/>
        </w:rPr>
        <w:t>Covered Entity</w:t>
      </w:r>
      <w:r>
        <w:rPr>
          <w:rFonts w:ascii="Times New Roman" w:hAnsi="Times New Roman"/>
          <w:sz w:val="20"/>
        </w:rPr>
        <w:t xml:space="preserve">” means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(1) a “covered entity” as that term is defined in, and interpreted in accordance with, 12 C.F.R. § 252.82(b); </w:t>
      </w:r>
    </w:p>
    <w:p>
      <w:pPr>
        <w:pStyle w:val="TextBody"/>
        <w:bidi w:val="0"/>
        <w:spacing w:before="120" w:after="0"/>
        <w:jc w:val="left"/>
        <w:rPr>
          <w:rFonts w:ascii="Times New Roman" w:hAnsi="Times New Roman"/>
          <w:sz w:val="20"/>
        </w:rPr>
      </w:pPr>
      <w:r>
        <w:rPr>
          <w:rFonts w:ascii="Times New Roman" w:hAnsi="Times New Roman"/>
          <w:sz w:val="20"/>
        </w:rPr>
        <w:t xml:space="preserve">(2) a “covered bank” as that term is defined in, and interpreted in accordance with, 12 C.F.R. § 47.3(b); or </w:t>
      </w:r>
    </w:p>
    <w:p>
      <w:pPr>
        <w:pStyle w:val="TextBody"/>
        <w:bidi w:val="0"/>
        <w:spacing w:before="120" w:after="0"/>
        <w:jc w:val="left"/>
        <w:rPr>
          <w:rFonts w:ascii="Times New Roman" w:hAnsi="Times New Roman"/>
          <w:sz w:val="20"/>
        </w:rPr>
      </w:pPr>
      <w:r>
        <w:rPr>
          <w:rFonts w:ascii="Times New Roman" w:hAnsi="Times New Roman"/>
          <w:sz w:val="20"/>
        </w:rPr>
        <w:t xml:space="preserve">(3) a “covered FSI” as that term is defined in, and interpreted in accordance with, 12 C.F.R. § 382.2(b). </w:t>
      </w:r>
    </w:p>
    <w:p>
      <w:pPr>
        <w:pStyle w:val="TextBody"/>
        <w:bidi w:val="0"/>
        <w:spacing w:before="240" w:after="0"/>
        <w:jc w:val="left"/>
        <w:rPr/>
      </w:pPr>
      <w:r>
        <w:rPr/>
        <w:t>“</w:t>
      </w:r>
      <w:r>
        <w:rPr>
          <w:rFonts w:ascii="Times New Roman" w:hAnsi="Times New Roman"/>
          <w:b/>
          <w:sz w:val="20"/>
        </w:rPr>
        <w:t>Default Right</w:t>
      </w:r>
      <w:r>
        <w:rPr>
          <w:rFonts w:ascii="Times New Roman" w:hAnsi="Times New Roman"/>
          <w:sz w:val="20"/>
        </w:rPr>
        <w:t xml:space="preserve">” has the meaning assigned to that term in, and shall be interpreted in accordance with, 12 C.F.R. §§ 252.81, 47.2 or 382.1,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U.S. Special Resolution Regime</w:t>
      </w:r>
      <w:r>
        <w:rPr>
          <w:rFonts w:ascii="Times New Roman" w:hAnsi="Times New Roman"/>
          <w:sz w:val="20"/>
        </w:rPr>
        <w:t xml:space="preserve">” means each of (x) the U.S. Federal Deposit Insurance Act and the regulations promulgated thereunder and (y) Title II of the U.S. Dodd-Frank Wall Street Reform and Consumer Protection Act and the regulations promulgated thereunder.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Left Intentionally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is in accordance with the Representative’s understanding of our agreement, kindly sign and return to the Company one of the counterparts hereof, whereupon it will become a binding agreement among the Company and the several Underwriters in accordance with its terms. </w:t>
      </w:r>
    </w:p>
    <w:p>
      <w:pPr>
        <w:pStyle w:val="TextBody"/>
        <w:bidi w:val="0"/>
        <w:spacing w:before="240" w:after="0"/>
        <w:jc w:val="center"/>
        <w:rPr>
          <w:rFonts w:ascii="Times New Roman" w:hAnsi="Times New Roman"/>
          <w:sz w:val="20"/>
        </w:rPr>
      </w:pPr>
      <w:r>
        <w:rPr>
          <w:rFonts w:ascii="Times New Roman" w:hAnsi="Times New Roman"/>
          <w:sz w:val="20"/>
        </w:rPr>
        <w:t xml:space="preserve">Very truly yours,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ANALOG DEVICES, INC.</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Richard C. Puccio, Jr.</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Name: Richard C. Puccio, Jr.</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Title: Chief Financial Officer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ADI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874"/>
        <w:gridCol w:w="73"/>
        <w:gridCol w:w="3135"/>
      </w:tblGrid>
      <w:tr>
        <w:trPr/>
        <w:tc>
          <w:tcPr>
            <w:tcW w:w="874"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313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foregoing Underwriting Agreement is hereby confirmed and accepted as of the date first above written.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J.P. MORGAN SECURITIES LLC</w:t>
            </w:r>
          </w:p>
        </w:tc>
      </w:tr>
      <w:tr>
        <w:trPr>
          <w:trHeight w:val="240" w:hRule="atLeast"/>
        </w:trPr>
        <w:tc>
          <w:tcPr>
            <w:tcW w:w="874" w:type="dxa"/>
            <w:tcBorders/>
            <w:vAlign w:val="center"/>
          </w:tcPr>
          <w:p>
            <w:pPr>
              <w:pStyle w:val="TableContents"/>
              <w:bidi w:val="0"/>
              <w:spacing w:before="0" w:after="283"/>
              <w:jc w:val="left"/>
              <w:rPr>
                <w:sz w:val="4"/>
                <w:szCs w:val="4"/>
              </w:rPr>
            </w:pPr>
            <w:r>
              <w:rPr>
                <w:sz w:val="4"/>
                <w:szCs w:val="4"/>
              </w:rPr>
            </w:r>
          </w:p>
        </w:tc>
        <w:tc>
          <w:tcPr>
            <w:tcW w:w="3208" w:type="dxa"/>
            <w:gridSpan w:val="2"/>
            <w:tcBorders/>
            <w:vAlign w:val="center"/>
          </w:tcPr>
          <w:p>
            <w:pPr>
              <w:pStyle w:val="TableContents"/>
              <w:bidi w:val="0"/>
              <w:spacing w:before="0" w:after="283"/>
              <w:jc w:val="left"/>
              <w:rPr>
                <w:sz w:val="4"/>
                <w:szCs w:val="4"/>
              </w:rPr>
            </w:pPr>
            <w:r>
              <w:rPr>
                <w:sz w:val="4"/>
                <w:szCs w:val="4"/>
              </w:rPr>
            </w:r>
          </w:p>
        </w:tc>
      </w:tr>
      <w:tr>
        <w:trPr/>
        <w:tc>
          <w:tcPr>
            <w:tcW w:w="874" w:type="dxa"/>
            <w:tcBorders/>
          </w:tcPr>
          <w:p>
            <w:pPr>
              <w:pStyle w:val="TableContents"/>
              <w:bidi w:val="0"/>
              <w:spacing w:before="0" w:after="283"/>
              <w:jc w:val="left"/>
              <w:rPr/>
            </w:pPr>
            <w:r>
              <w:rPr/>
              <w:t>By:</w:t>
            </w:r>
          </w:p>
        </w:tc>
        <w:tc>
          <w:tcPr>
            <w:tcW w:w="73" w:type="dxa"/>
            <w:tcBorders/>
            <w:vAlign w:val="bottom"/>
          </w:tcPr>
          <w:p>
            <w:pPr>
              <w:pStyle w:val="TableContents"/>
              <w:bidi w:val="0"/>
              <w:spacing w:before="0" w:after="283"/>
              <w:jc w:val="left"/>
              <w:rPr/>
            </w:pPr>
            <w:r>
              <w:rPr/>
              <w:t> </w:t>
            </w:r>
          </w:p>
        </w:tc>
        <w:tc>
          <w:tcPr>
            <w:tcW w:w="313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Robert Bottamedi</w:t>
            </w:r>
          </w:p>
        </w:tc>
      </w:tr>
      <w:tr>
        <w:trPr/>
        <w:tc>
          <w:tcPr>
            <w:tcW w:w="874" w:type="dxa"/>
            <w:tcBorders/>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3135" w:type="dxa"/>
            <w:tcBorders/>
          </w:tcPr>
          <w:p>
            <w:pPr>
              <w:pStyle w:val="TableContents"/>
              <w:bidi w:val="0"/>
              <w:spacing w:before="0" w:after="283"/>
              <w:jc w:val="left"/>
              <w:rPr/>
            </w:pPr>
            <w:r>
              <w:rPr/>
              <w:t>Name: Robert Bottamedi</w:t>
            </w:r>
          </w:p>
        </w:tc>
      </w:tr>
      <w:tr>
        <w:trPr/>
        <w:tc>
          <w:tcPr>
            <w:tcW w:w="874" w:type="dxa"/>
            <w:tcBorders/>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3135" w:type="dxa"/>
            <w:tcBorders/>
          </w:tcPr>
          <w:p>
            <w:pPr>
              <w:pStyle w:val="TableContents"/>
              <w:bidi w:val="0"/>
              <w:spacing w:before="0" w:after="283"/>
              <w:jc w:val="left"/>
              <w:rPr/>
            </w:pPr>
            <w:r>
              <w:rPr/>
              <w:t>Title: Executive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Acting on behalf of itself and as the Representative of the several Underwriters.</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ADI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A </w:t>
      </w:r>
    </w:p>
    <w:p>
      <w:pPr>
        <w:pStyle w:val="TextBody"/>
        <w:bidi w:val="0"/>
        <w:spacing w:before="0" w:after="0"/>
        <w:jc w:val="center"/>
        <w:rPr>
          <w:rFonts w:ascii="Times New Roman" w:hAnsi="Times New Roman"/>
          <w:b/>
          <w:sz w:val="20"/>
        </w:rPr>
      </w:pPr>
      <w:r>
        <w:rPr>
          <w:rFonts w:ascii="Times New Roman" w:hAnsi="Times New Roman"/>
          <w:b/>
          <w:sz w:val="20"/>
        </w:rPr>
        <w:t xml:space="preserve">to Underwriting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32"/>
        <w:gridCol w:w="129"/>
        <w:gridCol w:w="140"/>
        <w:gridCol w:w="1226"/>
        <w:gridCol w:w="60"/>
        <w:gridCol w:w="129"/>
        <w:gridCol w:w="140"/>
        <w:gridCol w:w="1226"/>
        <w:gridCol w:w="60"/>
        <w:gridCol w:w="129"/>
        <w:gridCol w:w="140"/>
        <w:gridCol w:w="1400"/>
        <w:gridCol w:w="60"/>
        <w:gridCol w:w="129"/>
        <w:gridCol w:w="140"/>
        <w:gridCol w:w="1400"/>
        <w:gridCol w:w="65"/>
      </w:tblGrid>
      <w:tr>
        <w:trPr/>
        <w:tc>
          <w:tcPr>
            <w:tcW w:w="3632"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63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129" w:type="dxa"/>
            <w:tcBorders/>
            <w:vAlign w:val="bottom"/>
          </w:tcPr>
          <w:p>
            <w:pPr>
              <w:pStyle w:val="TableContents"/>
              <w:bidi w:val="0"/>
              <w:spacing w:before="0" w:after="283"/>
              <w:jc w:val="left"/>
              <w:rPr/>
            </w:pPr>
            <w:r>
              <w:rPr/>
              <w:t>  </w:t>
            </w:r>
          </w:p>
        </w:tc>
        <w:tc>
          <w:tcPr>
            <w:tcW w:w="1366" w:type="dxa"/>
            <w:gridSpan w:val="2"/>
            <w:tcBorders>
              <w:bottom w:val="single" w:sz="8" w:space="0" w:color="000000"/>
            </w:tcBorders>
            <w:tcMar>
              <w:bottom w:w="28" w:type="dxa"/>
            </w:tcMar>
            <w:vAlign w:val="bottom"/>
          </w:tcPr>
          <w:p>
            <w:pPr>
              <w:pStyle w:val="TableContents"/>
              <w:bidi w:val="0"/>
              <w:spacing w:before="0" w:after="283"/>
              <w:jc w:val="center"/>
              <w:rPr/>
            </w:pPr>
            <w:r>
              <w:rPr>
                <w:b/>
              </w:rPr>
              <w:t>Principal</w:t>
              <w:br/>
              <w:t>Amount of</w:t>
            </w:r>
            <w:r>
              <w:rPr/>
              <w:br/>
            </w:r>
            <w:r>
              <w:rPr>
                <w:b/>
              </w:rPr>
              <w:t>2029</w:t>
            </w:r>
            <w:r>
              <w:rPr/>
              <w:br/>
            </w:r>
            <w:r>
              <w:rPr>
                <w:b/>
              </w:rPr>
              <w:t>Securities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366" w:type="dxa"/>
            <w:gridSpan w:val="2"/>
            <w:tcBorders>
              <w:bottom w:val="single" w:sz="8" w:space="0" w:color="000000"/>
            </w:tcBorders>
            <w:tcMar>
              <w:bottom w:w="28" w:type="dxa"/>
            </w:tcMar>
            <w:vAlign w:val="bottom"/>
          </w:tcPr>
          <w:p>
            <w:pPr>
              <w:pStyle w:val="TableContents"/>
              <w:bidi w:val="0"/>
              <w:spacing w:before="0" w:after="283"/>
              <w:jc w:val="center"/>
              <w:rPr/>
            </w:pPr>
            <w:r>
              <w:rPr>
                <w:b/>
              </w:rPr>
              <w:t>Principal</w:t>
              <w:br/>
              <w:t>Amount of</w:t>
            </w:r>
            <w:r>
              <w:rPr/>
              <w:br/>
            </w:r>
            <w:r>
              <w:rPr>
                <w:b/>
              </w:rPr>
              <w:t>2031</w:t>
            </w:r>
            <w:r>
              <w:rPr/>
              <w:br/>
            </w:r>
            <w:r>
              <w:rPr>
                <w:b/>
              </w:rPr>
              <w:t>Securities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bottom"/>
          </w:tcPr>
          <w:p>
            <w:pPr>
              <w:pStyle w:val="TableContents"/>
              <w:bidi w:val="0"/>
              <w:spacing w:before="0" w:after="283"/>
              <w:jc w:val="center"/>
              <w:rPr/>
            </w:pPr>
            <w:r>
              <w:rPr>
                <w:b/>
              </w:rPr>
              <w:t>Principal</w:t>
            </w:r>
            <w:r>
              <w:rPr/>
              <w:br/>
            </w:r>
            <w:r>
              <w:rPr>
                <w:b/>
              </w:rPr>
              <w:t>Amount of</w:t>
            </w:r>
            <w:r>
              <w:rPr/>
              <w:br/>
            </w:r>
            <w:r>
              <w:rPr>
                <w:b/>
              </w:rPr>
              <w:t>2033</w:t>
            </w:r>
            <w:r>
              <w:rPr/>
              <w:br/>
            </w:r>
            <w:r>
              <w:rPr>
                <w:b/>
              </w:rPr>
              <w:t>Securities ($)</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bottom"/>
          </w:tcPr>
          <w:p>
            <w:pPr>
              <w:pStyle w:val="TableContents"/>
              <w:bidi w:val="0"/>
              <w:spacing w:before="0" w:after="283"/>
              <w:jc w:val="center"/>
              <w:rPr/>
            </w:pPr>
            <w:r>
              <w:rPr>
                <w:b/>
              </w:rPr>
              <w:t>Principal</w:t>
            </w:r>
            <w:r>
              <w:rPr/>
              <w:br/>
            </w:r>
            <w:r>
              <w:rPr>
                <w:b/>
              </w:rPr>
              <w:t>Amount of</w:t>
            </w:r>
            <w:r>
              <w:rPr/>
              <w:br/>
            </w:r>
            <w:r>
              <w:rPr>
                <w:b/>
              </w:rPr>
              <w:t>2036</w:t>
            </w:r>
            <w:r>
              <w:rPr/>
              <w:br/>
            </w:r>
            <w:r>
              <w:rPr>
                <w:b/>
              </w:rPr>
              <w:t>Securities ($)</w:t>
            </w:r>
          </w:p>
        </w:tc>
        <w:tc>
          <w:tcPr>
            <w:tcW w:w="65" w:type="dxa"/>
            <w:tcBorders/>
            <w:vAlign w:val="bottom"/>
          </w:tcPr>
          <w:p>
            <w:pPr>
              <w:pStyle w:val="TableContents"/>
              <w:bidi w:val="0"/>
              <w:spacing w:before="0" w:after="283"/>
              <w:jc w:val="left"/>
              <w:rPr/>
            </w:pPr>
            <w:r>
              <w:rPr/>
              <w:t> </w:t>
            </w:r>
          </w:p>
        </w:tc>
      </w:tr>
      <w:tr>
        <w:trPr/>
        <w:tc>
          <w:tcPr>
            <w:tcW w:w="36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47,500,000</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47,500,000</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95,000,000</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95,000,000</w:t>
            </w:r>
          </w:p>
        </w:tc>
        <w:tc>
          <w:tcPr>
            <w:tcW w:w="65" w:type="dxa"/>
            <w:tcBorders/>
            <w:shd w:fill="CCEEFF" w:val="clear"/>
            <w:vAlign w:val="bottom"/>
          </w:tcPr>
          <w:p>
            <w:pPr>
              <w:pStyle w:val="TableContents"/>
              <w:bidi w:val="0"/>
              <w:spacing w:before="0" w:after="283"/>
              <w:jc w:val="left"/>
              <w:rPr/>
            </w:pPr>
            <w:r>
              <w:rPr/>
              <w:t> </w:t>
            </w:r>
          </w:p>
        </w:tc>
      </w:tr>
      <w:tr>
        <w:trPr/>
        <w:tc>
          <w:tcPr>
            <w:tcW w:w="3632" w:type="dxa"/>
            <w:tcBorders/>
          </w:tcPr>
          <w:p>
            <w:pPr>
              <w:pStyle w:val="TableContents"/>
              <w:bidi w:val="0"/>
              <w:spacing w:before="0" w:after="0"/>
              <w:jc w:val="left"/>
              <w:rPr>
                <w:rFonts w:ascii="Times New Roman" w:hAnsi="Times New Roman"/>
                <w:sz w:val="20"/>
              </w:rPr>
            </w:pPr>
            <w:r>
              <w:rPr>
                <w:rFonts w:ascii="Times New Roman" w:hAnsi="Times New Roman"/>
                <w:sz w:val="20"/>
              </w:rPr>
              <w:t>Barclays Capital Inc.</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47,500,000</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47,500,000</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95,000,000</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95,000,000</w:t>
            </w:r>
          </w:p>
        </w:tc>
        <w:tc>
          <w:tcPr>
            <w:tcW w:w="65" w:type="dxa"/>
            <w:tcBorders/>
            <w:vAlign w:val="bottom"/>
          </w:tcPr>
          <w:p>
            <w:pPr>
              <w:pStyle w:val="TableContents"/>
              <w:bidi w:val="0"/>
              <w:spacing w:before="0" w:after="283"/>
              <w:jc w:val="left"/>
              <w:rPr/>
            </w:pPr>
            <w:r>
              <w:rPr/>
              <w:t> </w:t>
            </w:r>
          </w:p>
        </w:tc>
      </w:tr>
      <w:tr>
        <w:trPr/>
        <w:tc>
          <w:tcPr>
            <w:tcW w:w="36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BNP Paribas Securities Corp.</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47,500,000</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47,500,000</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95,000,000</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95,000,000</w:t>
            </w:r>
          </w:p>
        </w:tc>
        <w:tc>
          <w:tcPr>
            <w:tcW w:w="65" w:type="dxa"/>
            <w:tcBorders/>
            <w:shd w:fill="CCEEFF" w:val="clear"/>
            <w:vAlign w:val="bottom"/>
          </w:tcPr>
          <w:p>
            <w:pPr>
              <w:pStyle w:val="TableContents"/>
              <w:bidi w:val="0"/>
              <w:spacing w:before="0" w:after="283"/>
              <w:jc w:val="left"/>
              <w:rPr/>
            </w:pPr>
            <w:r>
              <w:rPr/>
              <w:t> </w:t>
            </w:r>
          </w:p>
        </w:tc>
      </w:tr>
      <w:tr>
        <w:trPr/>
        <w:tc>
          <w:tcPr>
            <w:tcW w:w="3632" w:type="dxa"/>
            <w:tcBorders/>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47,500,000</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47,500,000</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95,000,000</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95,000,000</w:t>
            </w:r>
          </w:p>
        </w:tc>
        <w:tc>
          <w:tcPr>
            <w:tcW w:w="65" w:type="dxa"/>
            <w:tcBorders/>
            <w:vAlign w:val="bottom"/>
          </w:tcPr>
          <w:p>
            <w:pPr>
              <w:pStyle w:val="TableContents"/>
              <w:bidi w:val="0"/>
              <w:spacing w:before="0" w:after="283"/>
              <w:jc w:val="left"/>
              <w:rPr/>
            </w:pPr>
            <w:r>
              <w:rPr/>
              <w:t> </w:t>
            </w:r>
          </w:p>
        </w:tc>
      </w:tr>
      <w:tr>
        <w:trPr/>
        <w:tc>
          <w:tcPr>
            <w:tcW w:w="36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47,500,000</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47,500,000</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95,000,000</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95,000,000</w:t>
            </w:r>
          </w:p>
        </w:tc>
        <w:tc>
          <w:tcPr>
            <w:tcW w:w="65" w:type="dxa"/>
            <w:tcBorders/>
            <w:shd w:fill="CCEEFF" w:val="clear"/>
            <w:vAlign w:val="bottom"/>
          </w:tcPr>
          <w:p>
            <w:pPr>
              <w:pStyle w:val="TableContents"/>
              <w:bidi w:val="0"/>
              <w:spacing w:before="0" w:after="283"/>
              <w:jc w:val="left"/>
              <w:rPr/>
            </w:pPr>
            <w:r>
              <w:rPr/>
              <w:t> </w:t>
            </w:r>
          </w:p>
        </w:tc>
      </w:tr>
      <w:tr>
        <w:trPr/>
        <w:tc>
          <w:tcPr>
            <w:tcW w:w="3632" w:type="dxa"/>
            <w:tcBorders/>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47,500,000</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47,500,000</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95,000,000</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95,000,000</w:t>
            </w:r>
          </w:p>
        </w:tc>
        <w:tc>
          <w:tcPr>
            <w:tcW w:w="65" w:type="dxa"/>
            <w:tcBorders/>
            <w:vAlign w:val="bottom"/>
          </w:tcPr>
          <w:p>
            <w:pPr>
              <w:pStyle w:val="TableContents"/>
              <w:bidi w:val="0"/>
              <w:spacing w:before="0" w:after="283"/>
              <w:jc w:val="left"/>
              <w:rPr/>
            </w:pPr>
            <w:r>
              <w:rPr/>
              <w:t> </w:t>
            </w:r>
          </w:p>
        </w:tc>
      </w:tr>
      <w:tr>
        <w:trPr/>
        <w:tc>
          <w:tcPr>
            <w:tcW w:w="36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BMO Capital Markets Corp.</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23,750,000</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23,750,000</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47,500,000</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47,500,000</w:t>
            </w:r>
          </w:p>
        </w:tc>
        <w:tc>
          <w:tcPr>
            <w:tcW w:w="65" w:type="dxa"/>
            <w:tcBorders/>
            <w:shd w:fill="CCEEFF" w:val="clear"/>
            <w:vAlign w:val="bottom"/>
          </w:tcPr>
          <w:p>
            <w:pPr>
              <w:pStyle w:val="TableContents"/>
              <w:bidi w:val="0"/>
              <w:spacing w:before="0" w:after="283"/>
              <w:jc w:val="left"/>
              <w:rPr/>
            </w:pPr>
            <w:r>
              <w:rPr/>
              <w:t> </w:t>
            </w:r>
          </w:p>
        </w:tc>
      </w:tr>
      <w:tr>
        <w:trPr/>
        <w:tc>
          <w:tcPr>
            <w:tcW w:w="3632" w:type="dxa"/>
            <w:tcBorders/>
          </w:tcPr>
          <w:p>
            <w:pPr>
              <w:pStyle w:val="TableContents"/>
              <w:bidi w:val="0"/>
              <w:spacing w:before="0" w:after="0"/>
              <w:jc w:val="left"/>
              <w:rPr>
                <w:rFonts w:ascii="Times New Roman" w:hAnsi="Times New Roman"/>
                <w:sz w:val="20"/>
              </w:rPr>
            </w:pPr>
            <w:r>
              <w:rPr>
                <w:rFonts w:ascii="Times New Roman" w:hAnsi="Times New Roman"/>
                <w:sz w:val="20"/>
              </w:rPr>
              <w:t>HSBC Securities (USA) Inc.</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23,750,000</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23,750,000</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47,500,000</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47,500,000</w:t>
            </w:r>
          </w:p>
        </w:tc>
        <w:tc>
          <w:tcPr>
            <w:tcW w:w="65" w:type="dxa"/>
            <w:tcBorders/>
            <w:vAlign w:val="bottom"/>
          </w:tcPr>
          <w:p>
            <w:pPr>
              <w:pStyle w:val="TableContents"/>
              <w:bidi w:val="0"/>
              <w:spacing w:before="0" w:after="283"/>
              <w:jc w:val="left"/>
              <w:rPr/>
            </w:pPr>
            <w:r>
              <w:rPr/>
              <w:t> </w:t>
            </w:r>
          </w:p>
        </w:tc>
      </w:tr>
      <w:tr>
        <w:trPr/>
        <w:tc>
          <w:tcPr>
            <w:tcW w:w="36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Mizuho Securities USA LLC</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23,750,000</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23,750,000</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47,500,000</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47,500,000</w:t>
            </w:r>
          </w:p>
        </w:tc>
        <w:tc>
          <w:tcPr>
            <w:tcW w:w="65" w:type="dxa"/>
            <w:tcBorders/>
            <w:shd w:fill="CCEEFF" w:val="clear"/>
            <w:vAlign w:val="bottom"/>
          </w:tcPr>
          <w:p>
            <w:pPr>
              <w:pStyle w:val="TableContents"/>
              <w:bidi w:val="0"/>
              <w:spacing w:before="0" w:after="283"/>
              <w:jc w:val="left"/>
              <w:rPr/>
            </w:pPr>
            <w:r>
              <w:rPr/>
              <w:t> </w:t>
            </w:r>
          </w:p>
        </w:tc>
      </w:tr>
      <w:tr>
        <w:trPr/>
        <w:tc>
          <w:tcPr>
            <w:tcW w:w="3632" w:type="dxa"/>
            <w:tcBorders/>
          </w:tcPr>
          <w:p>
            <w:pPr>
              <w:pStyle w:val="TableContents"/>
              <w:bidi w:val="0"/>
              <w:spacing w:before="0" w:after="0"/>
              <w:jc w:val="left"/>
              <w:rPr>
                <w:rFonts w:ascii="Times New Roman" w:hAnsi="Times New Roman"/>
                <w:sz w:val="20"/>
              </w:rPr>
            </w:pPr>
            <w:r>
              <w:rPr>
                <w:rFonts w:ascii="Times New Roman" w:hAnsi="Times New Roman"/>
                <w:sz w:val="20"/>
              </w:rPr>
              <w:t>MUFG Securities Americas Inc.</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23,750,000</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23,750,000</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47,500,000</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47,500,000</w:t>
            </w:r>
          </w:p>
        </w:tc>
        <w:tc>
          <w:tcPr>
            <w:tcW w:w="65" w:type="dxa"/>
            <w:tcBorders/>
            <w:vAlign w:val="bottom"/>
          </w:tcPr>
          <w:p>
            <w:pPr>
              <w:pStyle w:val="TableContents"/>
              <w:bidi w:val="0"/>
              <w:spacing w:before="0" w:after="283"/>
              <w:jc w:val="left"/>
              <w:rPr/>
            </w:pPr>
            <w:r>
              <w:rPr/>
              <w:t> </w:t>
            </w:r>
          </w:p>
        </w:tc>
      </w:tr>
      <w:tr>
        <w:trPr/>
        <w:tc>
          <w:tcPr>
            <w:tcW w:w="36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PNC Capital Markets LLC</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23,750,000</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23,750,000</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47,500,000</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47,500,000</w:t>
            </w:r>
          </w:p>
        </w:tc>
        <w:tc>
          <w:tcPr>
            <w:tcW w:w="65" w:type="dxa"/>
            <w:tcBorders/>
            <w:shd w:fill="CCEEFF" w:val="clear"/>
            <w:vAlign w:val="bottom"/>
          </w:tcPr>
          <w:p>
            <w:pPr>
              <w:pStyle w:val="TableContents"/>
              <w:bidi w:val="0"/>
              <w:spacing w:before="0" w:after="283"/>
              <w:jc w:val="left"/>
              <w:rPr/>
            </w:pPr>
            <w:r>
              <w:rPr/>
              <w:t> </w:t>
            </w:r>
          </w:p>
        </w:tc>
      </w:tr>
      <w:tr>
        <w:trPr/>
        <w:tc>
          <w:tcPr>
            <w:tcW w:w="3632" w:type="dxa"/>
            <w:tcBorders/>
          </w:tcPr>
          <w:p>
            <w:pPr>
              <w:pStyle w:val="TableContents"/>
              <w:bidi w:val="0"/>
              <w:spacing w:before="0" w:after="0"/>
              <w:jc w:val="left"/>
              <w:rPr>
                <w:rFonts w:ascii="Times New Roman" w:hAnsi="Times New Roman"/>
                <w:sz w:val="20"/>
              </w:rPr>
            </w:pPr>
            <w:r>
              <w:rPr>
                <w:rFonts w:ascii="Times New Roman" w:hAnsi="Times New Roman"/>
                <w:sz w:val="20"/>
              </w:rPr>
              <w:t>SMBC Nikko Securities America, Inc.</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23,750,000</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23,750,000</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47,500,000</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47,500,000</w:t>
            </w:r>
          </w:p>
        </w:tc>
        <w:tc>
          <w:tcPr>
            <w:tcW w:w="65" w:type="dxa"/>
            <w:tcBorders/>
            <w:vAlign w:val="bottom"/>
          </w:tcPr>
          <w:p>
            <w:pPr>
              <w:pStyle w:val="TableContents"/>
              <w:bidi w:val="0"/>
              <w:spacing w:before="0" w:after="283"/>
              <w:jc w:val="left"/>
              <w:rPr/>
            </w:pPr>
            <w:r>
              <w:rPr/>
              <w:t> </w:t>
            </w:r>
          </w:p>
        </w:tc>
      </w:tr>
      <w:tr>
        <w:trPr/>
        <w:tc>
          <w:tcPr>
            <w:tcW w:w="36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TD Securities (USA) LLC</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23,750,000</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23,750,000</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47,500,000</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47,500,000</w:t>
            </w:r>
          </w:p>
        </w:tc>
        <w:tc>
          <w:tcPr>
            <w:tcW w:w="65" w:type="dxa"/>
            <w:tcBorders/>
            <w:shd w:fill="CCEEFF" w:val="clear"/>
            <w:vAlign w:val="bottom"/>
          </w:tcPr>
          <w:p>
            <w:pPr>
              <w:pStyle w:val="TableContents"/>
              <w:bidi w:val="0"/>
              <w:spacing w:before="0" w:after="283"/>
              <w:jc w:val="left"/>
              <w:rPr/>
            </w:pPr>
            <w:r>
              <w:rPr/>
              <w:t> </w:t>
            </w:r>
          </w:p>
        </w:tc>
      </w:tr>
      <w:tr>
        <w:trPr/>
        <w:tc>
          <w:tcPr>
            <w:tcW w:w="3632" w:type="dxa"/>
            <w:tcBorders/>
          </w:tcPr>
          <w:p>
            <w:pPr>
              <w:pStyle w:val="TableContents"/>
              <w:bidi w:val="0"/>
              <w:spacing w:before="0" w:after="0"/>
              <w:jc w:val="left"/>
              <w:rPr>
                <w:rFonts w:ascii="Times New Roman" w:hAnsi="Times New Roman"/>
                <w:sz w:val="20"/>
              </w:rPr>
            </w:pPr>
            <w:r>
              <w:rPr>
                <w:rFonts w:ascii="Times New Roman" w:hAnsi="Times New Roman"/>
                <w:sz w:val="20"/>
              </w:rPr>
              <w:t>Wells Fargo Securities, LLC</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23,750,000</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23,750,000</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47,500,000</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47,500,000</w:t>
            </w:r>
          </w:p>
        </w:tc>
        <w:tc>
          <w:tcPr>
            <w:tcW w:w="65" w:type="dxa"/>
            <w:tcBorders/>
            <w:vAlign w:val="bottom"/>
          </w:tcPr>
          <w:p>
            <w:pPr>
              <w:pStyle w:val="TableContents"/>
              <w:bidi w:val="0"/>
              <w:spacing w:before="0" w:after="283"/>
              <w:jc w:val="left"/>
              <w:rPr/>
            </w:pPr>
            <w:r>
              <w:rPr/>
              <w:t> </w:t>
            </w:r>
          </w:p>
        </w:tc>
      </w:tr>
      <w:tr>
        <w:trPr/>
        <w:tc>
          <w:tcPr>
            <w:tcW w:w="36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Academy Securities, Inc.</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6,250,000</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6,250,000</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12,500,000</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12,500,000</w:t>
            </w:r>
          </w:p>
        </w:tc>
        <w:tc>
          <w:tcPr>
            <w:tcW w:w="65" w:type="dxa"/>
            <w:tcBorders/>
            <w:shd w:fill="CCEEFF" w:val="clear"/>
            <w:vAlign w:val="bottom"/>
          </w:tcPr>
          <w:p>
            <w:pPr>
              <w:pStyle w:val="TableContents"/>
              <w:bidi w:val="0"/>
              <w:spacing w:before="0" w:after="283"/>
              <w:jc w:val="left"/>
              <w:rPr/>
            </w:pPr>
            <w:r>
              <w:rPr/>
              <w:t> </w:t>
            </w:r>
          </w:p>
        </w:tc>
      </w:tr>
      <w:tr>
        <w:trPr/>
        <w:tc>
          <w:tcPr>
            <w:tcW w:w="3632" w:type="dxa"/>
            <w:tcBorders/>
          </w:tcPr>
          <w:p>
            <w:pPr>
              <w:pStyle w:val="TableContents"/>
              <w:bidi w:val="0"/>
              <w:spacing w:before="0" w:after="0"/>
              <w:jc w:val="left"/>
              <w:rPr>
                <w:rFonts w:ascii="Times New Roman" w:hAnsi="Times New Roman"/>
                <w:sz w:val="20"/>
              </w:rPr>
            </w:pPr>
            <w:r>
              <w:rPr>
                <w:rFonts w:ascii="Times New Roman" w:hAnsi="Times New Roman"/>
                <w:sz w:val="20"/>
              </w:rPr>
              <w:t>Roberts &amp; Ryan, Inc.</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6,250,000</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6,250,000</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12,500,000</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12,500,000</w:t>
            </w:r>
          </w:p>
        </w:tc>
        <w:tc>
          <w:tcPr>
            <w:tcW w:w="65" w:type="dxa"/>
            <w:tcBorders/>
            <w:vAlign w:val="bottom"/>
          </w:tcPr>
          <w:p>
            <w:pPr>
              <w:pStyle w:val="TableContents"/>
              <w:bidi w:val="0"/>
              <w:spacing w:before="0" w:after="283"/>
              <w:jc w:val="left"/>
              <w:rPr/>
            </w:pPr>
            <w:r>
              <w:rPr/>
              <w:t> </w:t>
            </w:r>
          </w:p>
        </w:tc>
      </w:tr>
      <w:tr>
        <w:trPr/>
        <w:tc>
          <w:tcPr>
            <w:tcW w:w="36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Blaylock Van, LLC</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2,500,000</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2,500,000</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5,000,000</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5,000,000</w:t>
            </w:r>
          </w:p>
        </w:tc>
        <w:tc>
          <w:tcPr>
            <w:tcW w:w="65" w:type="dxa"/>
            <w:tcBorders/>
            <w:shd w:fill="CCEEFF" w:val="clear"/>
            <w:vAlign w:val="bottom"/>
          </w:tcPr>
          <w:p>
            <w:pPr>
              <w:pStyle w:val="TableContents"/>
              <w:bidi w:val="0"/>
              <w:spacing w:before="0" w:after="283"/>
              <w:jc w:val="left"/>
              <w:rPr/>
            </w:pPr>
            <w:r>
              <w:rPr/>
              <w:t> </w:t>
            </w:r>
          </w:p>
        </w:tc>
      </w:tr>
      <w:tr>
        <w:trPr/>
        <w:tc>
          <w:tcPr>
            <w:tcW w:w="3632" w:type="dxa"/>
            <w:tcBorders/>
          </w:tcPr>
          <w:p>
            <w:pPr>
              <w:pStyle w:val="TableContents"/>
              <w:bidi w:val="0"/>
              <w:spacing w:before="0" w:after="0"/>
              <w:jc w:val="left"/>
              <w:rPr>
                <w:rFonts w:ascii="Times New Roman" w:hAnsi="Times New Roman"/>
                <w:sz w:val="20"/>
              </w:rPr>
            </w:pPr>
            <w:r>
              <w:rPr>
                <w:rFonts w:ascii="Times New Roman" w:hAnsi="Times New Roman"/>
                <w:sz w:val="20"/>
              </w:rPr>
              <w:t>Drexel Hamilton, LLC</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2,500,000</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2,500,000</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5,000,000</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5,000,000</w:t>
            </w:r>
          </w:p>
        </w:tc>
        <w:tc>
          <w:tcPr>
            <w:tcW w:w="65" w:type="dxa"/>
            <w:tcBorders/>
            <w:vAlign w:val="bottom"/>
          </w:tcPr>
          <w:p>
            <w:pPr>
              <w:pStyle w:val="TableContents"/>
              <w:bidi w:val="0"/>
              <w:spacing w:before="0" w:after="283"/>
              <w:jc w:val="left"/>
              <w:rPr/>
            </w:pPr>
            <w:r>
              <w:rPr/>
              <w:t> </w:t>
            </w:r>
          </w:p>
        </w:tc>
      </w:tr>
      <w:tr>
        <w:trPr/>
        <w:tc>
          <w:tcPr>
            <w:tcW w:w="36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Guzman &amp; Company</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2,500,000</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2,500,000</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5,000,000</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5,000,000</w:t>
            </w:r>
          </w:p>
        </w:tc>
        <w:tc>
          <w:tcPr>
            <w:tcW w:w="65" w:type="dxa"/>
            <w:tcBorders/>
            <w:shd w:fill="CCEEFF" w:val="clear"/>
            <w:vAlign w:val="bottom"/>
          </w:tcPr>
          <w:p>
            <w:pPr>
              <w:pStyle w:val="TableContents"/>
              <w:bidi w:val="0"/>
              <w:spacing w:before="0" w:after="283"/>
              <w:jc w:val="left"/>
              <w:rPr/>
            </w:pPr>
            <w:r>
              <w:rPr/>
              <w:t> </w:t>
            </w:r>
          </w:p>
        </w:tc>
      </w:tr>
      <w:tr>
        <w:trPr/>
        <w:tc>
          <w:tcPr>
            <w:tcW w:w="3632" w:type="dxa"/>
            <w:tcBorders/>
          </w:tcPr>
          <w:p>
            <w:pPr>
              <w:pStyle w:val="TableContents"/>
              <w:bidi w:val="0"/>
              <w:spacing w:before="0" w:after="0"/>
              <w:jc w:val="left"/>
              <w:rPr>
                <w:rFonts w:ascii="Times New Roman" w:hAnsi="Times New Roman"/>
                <w:sz w:val="20"/>
              </w:rPr>
            </w:pPr>
            <w:r>
              <w:rPr>
                <w:rFonts w:ascii="Times New Roman" w:hAnsi="Times New Roman"/>
                <w:sz w:val="20"/>
              </w:rPr>
              <w:t>R. Seelaus &amp; Co., LLC</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2,500,000</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2,500,000</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5,000,000</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5,000,000</w:t>
            </w:r>
          </w:p>
        </w:tc>
        <w:tc>
          <w:tcPr>
            <w:tcW w:w="65" w:type="dxa"/>
            <w:tcBorders/>
            <w:vAlign w:val="bottom"/>
          </w:tcPr>
          <w:p>
            <w:pPr>
              <w:pStyle w:val="TableContents"/>
              <w:bidi w:val="0"/>
              <w:spacing w:before="0" w:after="283"/>
              <w:jc w:val="left"/>
              <w:rPr/>
            </w:pPr>
            <w:r>
              <w:rPr/>
              <w:t> </w:t>
            </w:r>
          </w:p>
        </w:tc>
      </w:tr>
      <w:tr>
        <w:trPr/>
        <w:tc>
          <w:tcPr>
            <w:tcW w:w="36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Siebert Williams Shank &amp; Co., LLC</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2,500,000</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2,500,000</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5,000,000</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5,000,000</w:t>
            </w:r>
          </w:p>
        </w:tc>
        <w:tc>
          <w:tcPr>
            <w:tcW w:w="65" w:type="dxa"/>
            <w:tcBorders/>
            <w:shd w:fill="CCEEFF" w:val="clear"/>
            <w:vAlign w:val="bottom"/>
          </w:tcPr>
          <w:p>
            <w:pPr>
              <w:pStyle w:val="TableContents"/>
              <w:bidi w:val="0"/>
              <w:spacing w:before="0" w:after="283"/>
              <w:jc w:val="left"/>
              <w:rPr/>
            </w:pPr>
            <w:r>
              <w:rPr/>
              <w:t> </w:t>
            </w:r>
          </w:p>
        </w:tc>
      </w:tr>
      <w:tr>
        <w:trPr/>
        <w:tc>
          <w:tcPr>
            <w:tcW w:w="3632"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3632"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6" w:type="dxa"/>
            <w:tcBorders/>
            <w:vAlign w:val="bottom"/>
          </w:tcPr>
          <w:p>
            <w:pPr>
              <w:pStyle w:val="TableContents"/>
              <w:bidi w:val="0"/>
              <w:spacing w:before="0" w:after="283"/>
              <w:jc w:val="right"/>
              <w:rPr/>
            </w:pPr>
            <w:r>
              <w:rPr/>
              <w:t>500,000,000</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6" w:type="dxa"/>
            <w:tcBorders/>
            <w:vAlign w:val="bottom"/>
          </w:tcPr>
          <w:p>
            <w:pPr>
              <w:pStyle w:val="TableContents"/>
              <w:bidi w:val="0"/>
              <w:spacing w:before="0" w:after="283"/>
              <w:jc w:val="right"/>
              <w:rPr/>
            </w:pPr>
            <w:r>
              <w:rPr/>
              <w:t>500,000,000</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0" w:type="dxa"/>
            <w:tcBorders/>
            <w:vAlign w:val="bottom"/>
          </w:tcPr>
          <w:p>
            <w:pPr>
              <w:pStyle w:val="TableContents"/>
              <w:bidi w:val="0"/>
              <w:spacing w:before="0" w:after="283"/>
              <w:jc w:val="right"/>
              <w:rPr/>
            </w:pPr>
            <w:r>
              <w:rPr/>
              <w:t>1,000,000,000</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0" w:type="dxa"/>
            <w:tcBorders/>
            <w:vAlign w:val="bottom"/>
          </w:tcPr>
          <w:p>
            <w:pPr>
              <w:pStyle w:val="TableContents"/>
              <w:bidi w:val="0"/>
              <w:spacing w:before="0" w:after="283"/>
              <w:jc w:val="right"/>
              <w:rPr/>
            </w:pPr>
            <w:r>
              <w:rPr/>
              <w:t>1,000,000,000</w:t>
            </w:r>
          </w:p>
        </w:tc>
        <w:tc>
          <w:tcPr>
            <w:tcW w:w="65" w:type="dxa"/>
            <w:tcBorders/>
            <w:vAlign w:val="bottom"/>
          </w:tcPr>
          <w:p>
            <w:pPr>
              <w:pStyle w:val="TableContents"/>
              <w:bidi w:val="0"/>
              <w:spacing w:before="0" w:after="283"/>
              <w:jc w:val="left"/>
              <w:rPr/>
            </w:pPr>
            <w:r>
              <w:rPr/>
              <w:t> </w:t>
            </w:r>
          </w:p>
        </w:tc>
      </w:tr>
      <w:tr>
        <w:trPr/>
        <w:tc>
          <w:tcPr>
            <w:tcW w:w="3632"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B </w:t>
      </w:r>
    </w:p>
    <w:p>
      <w:pPr>
        <w:pStyle w:val="TextBody"/>
        <w:bidi w:val="0"/>
        <w:spacing w:before="0" w:after="0"/>
        <w:jc w:val="center"/>
        <w:rPr>
          <w:rFonts w:ascii="Times New Roman" w:hAnsi="Times New Roman"/>
          <w:b/>
          <w:sz w:val="20"/>
        </w:rPr>
      </w:pPr>
      <w:r>
        <w:rPr>
          <w:rFonts w:ascii="Times New Roman" w:hAnsi="Times New Roman"/>
          <w:b/>
          <w:sz w:val="20"/>
        </w:rPr>
        <w:t xml:space="preserve">to Underwriting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General Use Free Writing Prospectuses (included in the General Disclosure Package) </w:t>
      </w:r>
    </w:p>
    <w:p>
      <w:pPr>
        <w:pStyle w:val="TextBody"/>
        <w:bidi w:val="0"/>
        <w:spacing w:before="120" w:after="0"/>
        <w:jc w:val="left"/>
        <w:rPr/>
      </w:pPr>
      <w:r>
        <w:rPr/>
        <w:t>“</w:t>
      </w:r>
      <w:r>
        <w:rPr>
          <w:rFonts w:ascii="Times New Roman" w:hAnsi="Times New Roman"/>
          <w:sz w:val="20"/>
        </w:rPr>
        <w:t xml:space="preserve">General Use Issuer Free Writing Prospectus” includes each of the following documents: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1.</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Pricing term sheet dated September 15, 2026 filed on the date hereof with the Commission pursuant to Rule 433.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Other Information Included in the General Disclosure Package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information is also included in the General Disclosure Package: </w:t>
      </w:r>
    </w:p>
    <w:p>
      <w:pPr>
        <w:pStyle w:val="TextBody"/>
        <w:bidi w:val="0"/>
        <w:spacing w:before="120" w:after="0"/>
        <w:jc w:val="left"/>
        <w:rPr>
          <w:rFonts w:ascii="Times New Roman" w:hAnsi="Times New Roman"/>
          <w:sz w:val="20"/>
        </w:rPr>
      </w:pPr>
      <w:r>
        <w:rPr>
          <w:rFonts w:ascii="Times New Roman" w:hAnsi="Times New Roman"/>
          <w:sz w:val="20"/>
        </w:rPr>
        <w:t xml:space="preserve">[None.]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0" w:after="0"/>
        <w:jc w:val="center"/>
        <w:rPr>
          <w:rFonts w:ascii="Times New Roman" w:hAnsi="Times New Roman"/>
          <w:sz w:val="20"/>
        </w:rPr>
      </w:pP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0" w:after="0"/>
        <w:jc w:val="center"/>
        <w:rPr>
          <w:rFonts w:ascii="Times New Roman" w:hAnsi="Times New Roman"/>
          <w:sz w:val="20"/>
        </w:rPr>
      </w:pP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C </w:t>
      </w:r>
    </w:p>
    <w:p>
      <w:pPr>
        <w:pStyle w:val="TextBody"/>
        <w:bidi w:val="0"/>
        <w:spacing w:before="0" w:after="0"/>
        <w:jc w:val="center"/>
        <w:rPr>
          <w:rFonts w:ascii="Times New Roman" w:hAnsi="Times New Roman"/>
          <w:sz w:val="20"/>
        </w:rPr>
      </w:pP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4" w:name="d175690dex42.htm"/>
      <w:bookmarkStart w:id="5" w:name="ksd175690dex42"/>
      <w:bookmarkEnd w:id="4"/>
      <w:bookmarkEnd w:id="5"/>
      <w:r>
        <w:rPr>
          <w:rFonts w:ascii="Times New Roman" w:hAnsi="Times New Roman"/>
          <w:b/>
          <w:sz w:val="20"/>
        </w:rPr>
        <w:t xml:space="preserve">Exhibit 4.2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ANALOG DEVICES, INC. </w:t>
      </w:r>
    </w:p>
    <w:p>
      <w:pPr>
        <w:pStyle w:val="TextBody"/>
        <w:bidi w:val="0"/>
        <w:spacing w:before="240" w:after="0"/>
        <w:jc w:val="center"/>
        <w:rPr>
          <w:rFonts w:ascii="Times New Roman" w:hAnsi="Times New Roman"/>
          <w:b/>
          <w:sz w:val="20"/>
        </w:rPr>
      </w:pPr>
      <w:r>
        <w:rPr>
          <w:rFonts w:ascii="Times New Roman" w:hAnsi="Times New Roman"/>
          <w:b/>
          <w:sz w:val="20"/>
        </w:rPr>
        <w:t xml:space="preserve">$500,000,000 5.100% SENIOR NOTES DUE SEPTEMBER 15, 2029 </w:t>
      </w:r>
    </w:p>
    <w:p>
      <w:pPr>
        <w:pStyle w:val="TextBody"/>
        <w:bidi w:val="0"/>
        <w:spacing w:before="240" w:after="0"/>
        <w:jc w:val="center"/>
        <w:rPr>
          <w:rFonts w:ascii="Times New Roman" w:hAnsi="Times New Roman"/>
          <w:b/>
          <w:sz w:val="20"/>
        </w:rPr>
      </w:pPr>
      <w:r>
        <w:rPr>
          <w:rFonts w:ascii="Times New Roman" w:hAnsi="Times New Roman"/>
          <w:b/>
          <w:sz w:val="20"/>
        </w:rPr>
        <w:t xml:space="preserve">$500,000,000 5.350% SENIOR NOTES DUE OCTOBER 1, 2031 </w:t>
      </w:r>
    </w:p>
    <w:p>
      <w:pPr>
        <w:pStyle w:val="TextBody"/>
        <w:bidi w:val="0"/>
        <w:spacing w:before="240" w:after="0"/>
        <w:jc w:val="center"/>
        <w:rPr>
          <w:rFonts w:ascii="Times New Roman" w:hAnsi="Times New Roman"/>
          <w:b/>
          <w:sz w:val="20"/>
        </w:rPr>
      </w:pPr>
      <w:r>
        <w:rPr>
          <w:rFonts w:ascii="Times New Roman" w:hAnsi="Times New Roman"/>
          <w:b/>
          <w:sz w:val="20"/>
        </w:rPr>
        <w:t xml:space="preserve">$1,000,000,000 5.600% SENIOR NOTES DUE OCTOBER 1, 2033 </w:t>
      </w:r>
    </w:p>
    <w:p>
      <w:pPr>
        <w:pStyle w:val="TextBody"/>
        <w:bidi w:val="0"/>
        <w:spacing w:before="240" w:after="0"/>
        <w:jc w:val="center"/>
        <w:rPr>
          <w:rFonts w:ascii="Times New Roman" w:hAnsi="Times New Roman"/>
          <w:b/>
          <w:sz w:val="20"/>
        </w:rPr>
      </w:pPr>
      <w:r>
        <w:rPr>
          <w:rFonts w:ascii="Times New Roman" w:hAnsi="Times New Roman"/>
          <w:b/>
          <w:sz w:val="20"/>
        </w:rPr>
        <w:t xml:space="preserve">$1,000,000,000 5.750% SENIOR NOTES DUE OCTOBER 1, 2036 </w:t>
      </w:r>
    </w:p>
    <w:p>
      <w:pPr>
        <w:pStyle w:val="TextBody"/>
        <w:bidi w:val="0"/>
        <w:spacing w:before="240" w:after="0"/>
        <w:jc w:val="center"/>
        <w:rPr>
          <w:rFonts w:ascii="Times New Roman" w:hAnsi="Times New Roman"/>
          <w:b/>
          <w:sz w:val="20"/>
        </w:rPr>
      </w:pPr>
      <w:r>
        <w:rPr>
          <w:rFonts w:ascii="Times New Roman" w:hAnsi="Times New Roman"/>
          <w:b/>
          <w:sz w:val="20"/>
        </w:rPr>
        <w:t xml:space="preserve">SUPPLEMENTAL INDENTURE </w:t>
      </w:r>
    </w:p>
    <w:p>
      <w:pPr>
        <w:pStyle w:val="TextBody"/>
        <w:bidi w:val="0"/>
        <w:spacing w:before="0" w:after="0"/>
        <w:jc w:val="center"/>
        <w:rPr>
          <w:rFonts w:ascii="Times New Roman" w:hAnsi="Times New Roman"/>
          <w:b/>
          <w:sz w:val="20"/>
        </w:rPr>
      </w:pPr>
      <w:r>
        <w:rPr>
          <w:rFonts w:ascii="Times New Roman" w:hAnsi="Times New Roman"/>
          <w:b/>
          <w:sz w:val="20"/>
        </w:rPr>
        <w:t xml:space="preserve">Dated as of September 17, 2026 </w:t>
      </w:r>
    </w:p>
    <w:p>
      <w:pPr>
        <w:pStyle w:val="TextBody"/>
        <w:bidi w:val="0"/>
        <w:spacing w:before="240" w:after="0"/>
        <w:jc w:val="center"/>
        <w:rPr>
          <w:rFonts w:ascii="Times New Roman" w:hAnsi="Times New Roman"/>
          <w:b/>
          <w:sz w:val="20"/>
        </w:rPr>
      </w:pPr>
      <w:r>
        <w:rPr>
          <w:rFonts w:ascii="Times New Roman" w:hAnsi="Times New Roman"/>
          <w:b/>
          <w:sz w:val="20"/>
        </w:rPr>
        <w:t xml:space="preserve">To </w:t>
      </w:r>
    </w:p>
    <w:p>
      <w:pPr>
        <w:pStyle w:val="TextBody"/>
        <w:bidi w:val="0"/>
        <w:spacing w:before="240" w:after="0"/>
        <w:jc w:val="center"/>
        <w:rPr>
          <w:rFonts w:ascii="Times New Roman" w:hAnsi="Times New Roman"/>
          <w:b/>
          <w:sz w:val="20"/>
        </w:rPr>
      </w:pPr>
      <w:r>
        <w:rPr>
          <w:rFonts w:ascii="Times New Roman" w:hAnsi="Times New Roman"/>
          <w:b/>
          <w:sz w:val="20"/>
        </w:rPr>
        <w:t xml:space="preserve">INDENTURE </w:t>
      </w:r>
    </w:p>
    <w:p>
      <w:pPr>
        <w:pStyle w:val="TextBody"/>
        <w:bidi w:val="0"/>
        <w:spacing w:before="0" w:after="0"/>
        <w:jc w:val="center"/>
        <w:rPr>
          <w:rFonts w:ascii="Times New Roman" w:hAnsi="Times New Roman"/>
          <w:b/>
          <w:sz w:val="20"/>
        </w:rPr>
      </w:pPr>
      <w:r>
        <w:rPr>
          <w:rFonts w:ascii="Times New Roman" w:hAnsi="Times New Roman"/>
          <w:b/>
          <w:sz w:val="20"/>
        </w:rPr>
        <w:t xml:space="preserve">Dated as of June 3, 2013 </w:t>
      </w:r>
    </w:p>
    <w:p>
      <w:pPr>
        <w:pStyle w:val="TextBody"/>
        <w:bidi w:val="0"/>
        <w:spacing w:before="240" w:after="0"/>
        <w:jc w:val="center"/>
        <w:rPr>
          <w:rFonts w:ascii="Times New Roman" w:hAnsi="Times New Roman"/>
          <w:b/>
          <w:sz w:val="20"/>
        </w:rPr>
      </w:pPr>
      <w:r>
        <w:rPr>
          <w:rFonts w:ascii="Times New Roman" w:hAnsi="Times New Roman"/>
          <w:b/>
          <w:sz w:val="20"/>
        </w:rPr>
        <w:t xml:space="preserve">THE BANK OF NEW YORK </w:t>
      </w:r>
    </w:p>
    <w:p>
      <w:pPr>
        <w:pStyle w:val="TextBody"/>
        <w:bidi w:val="0"/>
        <w:spacing w:before="0" w:after="0"/>
        <w:jc w:val="center"/>
        <w:rPr>
          <w:rFonts w:ascii="Times New Roman" w:hAnsi="Times New Roman"/>
          <w:b/>
          <w:sz w:val="20"/>
        </w:rPr>
      </w:pPr>
      <w:r>
        <w:rPr>
          <w:rFonts w:ascii="Times New Roman" w:hAnsi="Times New Roman"/>
          <w:b/>
          <w:sz w:val="20"/>
        </w:rPr>
        <w:t xml:space="preserve">MELLON TRUST COMPANY, N.A. </w:t>
      </w:r>
    </w:p>
    <w:p>
      <w:pPr>
        <w:pStyle w:val="TextBody"/>
        <w:bidi w:val="0"/>
        <w:spacing w:before="0" w:after="0"/>
        <w:jc w:val="center"/>
        <w:rPr>
          <w:rFonts w:ascii="Times New Roman" w:hAnsi="Times New Roman"/>
          <w:b/>
          <w:sz w:val="20"/>
        </w:rPr>
      </w:pPr>
      <w:r>
        <w:rPr>
          <w:rFonts w:ascii="Times New Roman" w:hAnsi="Times New Roman"/>
          <w:b/>
          <w:sz w:val="20"/>
        </w:rPr>
        <w:t xml:space="preserve">Trustee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10"/>
        <w:gridCol w:w="129"/>
        <w:gridCol w:w="7929"/>
        <w:gridCol w:w="178"/>
        <w:gridCol w:w="90"/>
        <w:gridCol w:w="405"/>
        <w:gridCol w:w="64"/>
      </w:tblGrid>
      <w:tr>
        <w:trPr/>
        <w:tc>
          <w:tcPr>
            <w:tcW w:w="1410"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929"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410" w:type="dxa"/>
            <w:tcBorders/>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7929" w:type="dxa"/>
            <w:tcBorders/>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495" w:type="dxa"/>
            <w:gridSpan w:val="2"/>
            <w:tcBorders/>
            <w:vAlign w:val="bottom"/>
          </w:tcPr>
          <w:p>
            <w:pPr>
              <w:pStyle w:val="TableContents"/>
              <w:bidi w:val="0"/>
              <w:spacing w:before="0" w:after="283"/>
              <w:jc w:val="right"/>
              <w:rPr>
                <w:u w:val="single"/>
              </w:rPr>
            </w:pPr>
            <w:r>
              <w:rPr>
                <w:u w:val="single"/>
              </w:rPr>
              <w:t>Page</w:t>
            </w:r>
          </w:p>
        </w:tc>
        <w:tc>
          <w:tcPr>
            <w:tcW w:w="64" w:type="dxa"/>
            <w:tcBorders/>
            <w:vAlign w:val="bottom"/>
          </w:tcPr>
          <w:p>
            <w:pPr>
              <w:pStyle w:val="TableContents"/>
              <w:bidi w:val="0"/>
              <w:spacing w:before="0" w:after="283"/>
              <w:jc w:val="left"/>
              <w:rPr/>
            </w:pPr>
            <w:r>
              <w:rPr/>
              <w:t> </w:t>
            </w:r>
          </w:p>
        </w:tc>
      </w:tr>
      <w:tr>
        <w:trPr/>
        <w:tc>
          <w:tcPr>
            <w:tcW w:w="9468" w:type="dxa"/>
            <w:gridSpan w:val="3"/>
            <w:tcBorders/>
            <w:vAlign w:val="bottom"/>
          </w:tcPr>
          <w:p>
            <w:pPr>
              <w:pStyle w:val="TableContents"/>
              <w:bidi w:val="0"/>
              <w:spacing w:before="0" w:after="283"/>
              <w:jc w:val="center"/>
              <w:rPr/>
            </w:pPr>
            <w:r>
              <w:rPr/>
              <w:t>ARTICLE 1.</w:t>
            </w:r>
          </w:p>
        </w:tc>
        <w:tc>
          <w:tcPr>
            <w:tcW w:w="178" w:type="dxa"/>
            <w:tcBorders/>
            <w:vAlign w:val="bottom"/>
          </w:tcPr>
          <w:p>
            <w:pPr>
              <w:pStyle w:val="TableContents"/>
              <w:bidi w:val="0"/>
              <w:spacing w:before="0" w:after="283"/>
              <w:jc w:val="left"/>
              <w:rPr/>
            </w:pPr>
            <w:r>
              <w:rPr/>
              <w:t>  </w:t>
            </w:r>
          </w:p>
        </w:tc>
        <w:tc>
          <w:tcPr>
            <w:tcW w:w="495"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r>
      <w:tr>
        <w:trPr/>
        <w:tc>
          <w:tcPr>
            <w:tcW w:w="9468" w:type="dxa"/>
            <w:gridSpan w:val="3"/>
            <w:tcBorders/>
            <w:vAlign w:val="bottom"/>
          </w:tcPr>
          <w:p>
            <w:pPr>
              <w:pStyle w:val="TableContents"/>
              <w:bidi w:val="0"/>
              <w:spacing w:before="0" w:after="283"/>
              <w:jc w:val="center"/>
              <w:rPr/>
            </w:pPr>
            <w:r>
              <w:rPr/>
              <w:t>DEFINITIONS AND INCORPORATION BY REFERENCE</w:t>
            </w:r>
          </w:p>
        </w:tc>
        <w:tc>
          <w:tcPr>
            <w:tcW w:w="178" w:type="dxa"/>
            <w:tcBorders/>
            <w:vAlign w:val="bottom"/>
          </w:tcPr>
          <w:p>
            <w:pPr>
              <w:pStyle w:val="TableContents"/>
              <w:bidi w:val="0"/>
              <w:spacing w:before="0" w:after="283"/>
              <w:jc w:val="left"/>
              <w:rPr/>
            </w:pPr>
            <w:r>
              <w:rPr/>
              <w:t>  </w:t>
            </w:r>
          </w:p>
        </w:tc>
        <w:tc>
          <w:tcPr>
            <w:tcW w:w="495"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r>
      <w:tr>
        <w:trPr>
          <w:trHeight w:val="120" w:hRule="atLeast"/>
        </w:trPr>
        <w:tc>
          <w:tcPr>
            <w:tcW w:w="1410" w:type="dxa"/>
            <w:tcBorders/>
            <w:vAlign w:val="center"/>
          </w:tcPr>
          <w:p>
            <w:pPr>
              <w:pStyle w:val="TableContents"/>
              <w:bidi w:val="0"/>
              <w:spacing w:before="0" w:after="283"/>
              <w:jc w:val="left"/>
              <w:rPr>
                <w:sz w:val="4"/>
                <w:szCs w:val="4"/>
              </w:rPr>
            </w:pPr>
            <w:r>
              <w:rPr>
                <w:sz w:val="4"/>
                <w:szCs w:val="4"/>
              </w:rPr>
            </w:r>
          </w:p>
        </w:tc>
        <w:tc>
          <w:tcPr>
            <w:tcW w:w="8058" w:type="dxa"/>
            <w:gridSpan w:val="2"/>
            <w:tcBorders/>
            <w:vAlign w:val="center"/>
          </w:tcPr>
          <w:p>
            <w:pPr>
              <w:pStyle w:val="TableContents"/>
              <w:bidi w:val="0"/>
              <w:spacing w:before="0" w:after="283"/>
              <w:jc w:val="left"/>
              <w:rPr>
                <w:sz w:val="4"/>
                <w:szCs w:val="4"/>
              </w:rPr>
            </w:pPr>
            <w:r>
              <w:rPr>
                <w:sz w:val="4"/>
                <w:szCs w:val="4"/>
              </w:rPr>
            </w:r>
          </w:p>
        </w:tc>
        <w:tc>
          <w:tcPr>
            <w:tcW w:w="737" w:type="dxa"/>
            <w:gridSpan w:val="4"/>
            <w:tcBorders/>
            <w:vAlign w:val="center"/>
          </w:tcPr>
          <w:p>
            <w:pPr>
              <w:pStyle w:val="TableContents"/>
              <w:bidi w:val="0"/>
              <w:spacing w:before="0" w:after="283"/>
              <w:jc w:val="left"/>
              <w:rPr>
                <w:sz w:val="4"/>
                <w:szCs w:val="4"/>
              </w:rPr>
            </w:pPr>
            <w:r>
              <w:rPr>
                <w:sz w:val="4"/>
                <w:szCs w:val="4"/>
              </w:rPr>
            </w:r>
          </w:p>
        </w:tc>
      </w:tr>
      <w:tr>
        <w:trPr/>
        <w:tc>
          <w:tcPr>
            <w:tcW w:w="1410" w:type="dxa"/>
            <w:tcBorders/>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129" w:type="dxa"/>
            <w:tcBorders/>
            <w:vAlign w:val="bottom"/>
          </w:tcPr>
          <w:p>
            <w:pPr>
              <w:pStyle w:val="TableContents"/>
              <w:bidi w:val="0"/>
              <w:spacing w:before="0" w:after="283"/>
              <w:jc w:val="left"/>
              <w:rPr/>
            </w:pPr>
            <w:r>
              <w:rPr/>
              <w:t> </w:t>
            </w:r>
          </w:p>
        </w:tc>
        <w:tc>
          <w:tcPr>
            <w:tcW w:w="7929" w:type="dxa"/>
            <w:tcBorders/>
          </w:tcPr>
          <w:p>
            <w:pPr>
              <w:pStyle w:val="TableContents"/>
              <w:bidi w:val="0"/>
              <w:spacing w:before="0" w:after="0"/>
              <w:jc w:val="left"/>
              <w:rPr>
                <w:rFonts w:ascii="Times New Roman" w:hAnsi="Times New Roman"/>
                <w:sz w:val="20"/>
              </w:rPr>
            </w:pPr>
            <w:r>
              <w:rPr>
                <w:rFonts w:ascii="Times New Roman" w:hAnsi="Times New Roman"/>
                <w:sz w:val="20"/>
              </w:rPr>
              <w:t>Relationship with Base Indenture</w:t>
            </w:r>
          </w:p>
        </w:tc>
        <w:tc>
          <w:tcPr>
            <w:tcW w:w="17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4</w:t>
            </w:r>
          </w:p>
        </w:tc>
        <w:tc>
          <w:tcPr>
            <w:tcW w:w="64" w:type="dxa"/>
            <w:tcBorders/>
            <w:vAlign w:val="bottom"/>
          </w:tcPr>
          <w:p>
            <w:pPr>
              <w:pStyle w:val="TableContents"/>
              <w:bidi w:val="0"/>
              <w:spacing w:before="0" w:after="283"/>
              <w:jc w:val="left"/>
              <w:rPr/>
            </w:pPr>
            <w:r>
              <w:rPr/>
              <w:t> </w:t>
            </w:r>
          </w:p>
        </w:tc>
      </w:tr>
      <w:tr>
        <w:trPr/>
        <w:tc>
          <w:tcPr>
            <w:tcW w:w="1410" w:type="dxa"/>
            <w:tcBorders/>
          </w:tcPr>
          <w:p>
            <w:pPr>
              <w:pStyle w:val="TableContents"/>
              <w:bidi w:val="0"/>
              <w:spacing w:before="0" w:after="0"/>
              <w:jc w:val="left"/>
              <w:rPr>
                <w:rFonts w:ascii="Times New Roman" w:hAnsi="Times New Roman"/>
                <w:sz w:val="20"/>
              </w:rPr>
            </w:pPr>
            <w:r>
              <w:rPr>
                <w:rFonts w:ascii="Times New Roman" w:hAnsi="Times New Roman"/>
                <w:sz w:val="20"/>
              </w:rPr>
              <w:t>Section 1.2</w:t>
            </w:r>
          </w:p>
        </w:tc>
        <w:tc>
          <w:tcPr>
            <w:tcW w:w="129" w:type="dxa"/>
            <w:tcBorders/>
            <w:vAlign w:val="bottom"/>
          </w:tcPr>
          <w:p>
            <w:pPr>
              <w:pStyle w:val="TableContents"/>
              <w:bidi w:val="0"/>
              <w:spacing w:before="0" w:after="283"/>
              <w:jc w:val="left"/>
              <w:rPr/>
            </w:pPr>
            <w:r>
              <w:rPr/>
              <w:t> </w:t>
            </w:r>
          </w:p>
        </w:tc>
        <w:tc>
          <w:tcPr>
            <w:tcW w:w="7929" w:type="dxa"/>
            <w:tcBorders/>
          </w:tcPr>
          <w:p>
            <w:pPr>
              <w:pStyle w:val="TableContents"/>
              <w:bidi w:val="0"/>
              <w:spacing w:before="0" w:after="0"/>
              <w:jc w:val="left"/>
              <w:rPr>
                <w:rFonts w:ascii="Times New Roman" w:hAnsi="Times New Roman"/>
                <w:sz w:val="20"/>
              </w:rPr>
            </w:pPr>
            <w:r>
              <w:rPr>
                <w:rFonts w:ascii="Times New Roman" w:hAnsi="Times New Roman"/>
                <w:sz w:val="20"/>
              </w:rPr>
              <w:t>Definitions</w:t>
            </w:r>
          </w:p>
        </w:tc>
        <w:tc>
          <w:tcPr>
            <w:tcW w:w="17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5</w:t>
            </w:r>
          </w:p>
        </w:tc>
        <w:tc>
          <w:tcPr>
            <w:tcW w:w="64" w:type="dxa"/>
            <w:tcBorders/>
            <w:vAlign w:val="bottom"/>
          </w:tcPr>
          <w:p>
            <w:pPr>
              <w:pStyle w:val="TableContents"/>
              <w:bidi w:val="0"/>
              <w:spacing w:before="0" w:after="283"/>
              <w:jc w:val="left"/>
              <w:rPr/>
            </w:pPr>
            <w:r>
              <w:rPr/>
              <w:t> </w:t>
            </w:r>
          </w:p>
        </w:tc>
      </w:tr>
      <w:tr>
        <w:trPr/>
        <w:tc>
          <w:tcPr>
            <w:tcW w:w="1410" w:type="dxa"/>
            <w:tcBorders/>
          </w:tcPr>
          <w:p>
            <w:pPr>
              <w:pStyle w:val="TableContents"/>
              <w:bidi w:val="0"/>
              <w:spacing w:before="0" w:after="0"/>
              <w:jc w:val="left"/>
              <w:rPr>
                <w:rFonts w:ascii="Times New Roman" w:hAnsi="Times New Roman"/>
                <w:sz w:val="20"/>
              </w:rPr>
            </w:pPr>
            <w:r>
              <w:rPr>
                <w:rFonts w:ascii="Times New Roman" w:hAnsi="Times New Roman"/>
                <w:sz w:val="20"/>
              </w:rPr>
              <w:t>Section 1.3</w:t>
            </w:r>
          </w:p>
        </w:tc>
        <w:tc>
          <w:tcPr>
            <w:tcW w:w="129" w:type="dxa"/>
            <w:tcBorders/>
            <w:vAlign w:val="bottom"/>
          </w:tcPr>
          <w:p>
            <w:pPr>
              <w:pStyle w:val="TableContents"/>
              <w:bidi w:val="0"/>
              <w:spacing w:before="0" w:after="283"/>
              <w:jc w:val="left"/>
              <w:rPr/>
            </w:pPr>
            <w:r>
              <w:rPr/>
              <w:t> </w:t>
            </w:r>
          </w:p>
        </w:tc>
        <w:tc>
          <w:tcPr>
            <w:tcW w:w="7929" w:type="dxa"/>
            <w:tcBorders/>
          </w:tcPr>
          <w:p>
            <w:pPr>
              <w:pStyle w:val="TableContents"/>
              <w:bidi w:val="0"/>
              <w:spacing w:before="0" w:after="0"/>
              <w:jc w:val="left"/>
              <w:rPr>
                <w:rFonts w:ascii="Times New Roman" w:hAnsi="Times New Roman"/>
                <w:sz w:val="20"/>
              </w:rPr>
            </w:pPr>
            <w:r>
              <w:rPr>
                <w:rFonts w:ascii="Times New Roman" w:hAnsi="Times New Roman"/>
                <w:sz w:val="20"/>
              </w:rPr>
              <w:t>Other Definitions</w:t>
            </w:r>
          </w:p>
        </w:tc>
        <w:tc>
          <w:tcPr>
            <w:tcW w:w="17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rHeight w:val="120" w:hRule="atLeast"/>
        </w:trPr>
        <w:tc>
          <w:tcPr>
            <w:tcW w:w="9468" w:type="dxa"/>
            <w:gridSpan w:val="3"/>
            <w:tcBorders/>
            <w:vAlign w:val="center"/>
          </w:tcPr>
          <w:p>
            <w:pPr>
              <w:pStyle w:val="TableContents"/>
              <w:bidi w:val="0"/>
              <w:spacing w:before="0" w:after="283"/>
              <w:jc w:val="left"/>
              <w:rPr>
                <w:sz w:val="4"/>
                <w:szCs w:val="4"/>
              </w:rPr>
            </w:pPr>
            <w:r>
              <w:rPr>
                <w:sz w:val="4"/>
                <w:szCs w:val="4"/>
              </w:rPr>
            </w:r>
          </w:p>
        </w:tc>
        <w:tc>
          <w:tcPr>
            <w:tcW w:w="737" w:type="dxa"/>
            <w:gridSpan w:val="4"/>
            <w:tcBorders/>
            <w:vAlign w:val="center"/>
          </w:tcPr>
          <w:p>
            <w:pPr>
              <w:pStyle w:val="TableContents"/>
              <w:bidi w:val="0"/>
              <w:spacing w:before="0" w:after="283"/>
              <w:jc w:val="left"/>
              <w:rPr>
                <w:sz w:val="4"/>
                <w:szCs w:val="4"/>
              </w:rPr>
            </w:pPr>
            <w:r>
              <w:rPr>
                <w:sz w:val="4"/>
                <w:szCs w:val="4"/>
              </w:rPr>
            </w:r>
          </w:p>
        </w:tc>
      </w:tr>
      <w:tr>
        <w:trPr/>
        <w:tc>
          <w:tcPr>
            <w:tcW w:w="9468" w:type="dxa"/>
            <w:gridSpan w:val="3"/>
            <w:tcBorders/>
            <w:vAlign w:val="bottom"/>
          </w:tcPr>
          <w:p>
            <w:pPr>
              <w:pStyle w:val="TableContents"/>
              <w:bidi w:val="0"/>
              <w:spacing w:before="0" w:after="283"/>
              <w:jc w:val="center"/>
              <w:rPr/>
            </w:pPr>
            <w:r>
              <w:rPr/>
              <w:t>ARTICLE 2.</w:t>
            </w:r>
          </w:p>
        </w:tc>
        <w:tc>
          <w:tcPr>
            <w:tcW w:w="178" w:type="dxa"/>
            <w:tcBorders/>
            <w:vAlign w:val="bottom"/>
          </w:tcPr>
          <w:p>
            <w:pPr>
              <w:pStyle w:val="TableContents"/>
              <w:bidi w:val="0"/>
              <w:spacing w:before="0" w:after="283"/>
              <w:jc w:val="left"/>
              <w:rPr/>
            </w:pPr>
            <w:r>
              <w:rPr/>
              <w:t>  </w:t>
            </w:r>
          </w:p>
        </w:tc>
        <w:tc>
          <w:tcPr>
            <w:tcW w:w="495"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r>
      <w:tr>
        <w:trPr/>
        <w:tc>
          <w:tcPr>
            <w:tcW w:w="9468" w:type="dxa"/>
            <w:gridSpan w:val="3"/>
            <w:tcBorders/>
            <w:vAlign w:val="bottom"/>
          </w:tcPr>
          <w:p>
            <w:pPr>
              <w:pStyle w:val="TableContents"/>
              <w:bidi w:val="0"/>
              <w:spacing w:before="0" w:after="283"/>
              <w:jc w:val="center"/>
              <w:rPr/>
            </w:pPr>
            <w:r>
              <w:rPr/>
              <w:t>THE NOTES</w:t>
            </w:r>
          </w:p>
        </w:tc>
        <w:tc>
          <w:tcPr>
            <w:tcW w:w="178" w:type="dxa"/>
            <w:tcBorders/>
            <w:vAlign w:val="bottom"/>
          </w:tcPr>
          <w:p>
            <w:pPr>
              <w:pStyle w:val="TableContents"/>
              <w:bidi w:val="0"/>
              <w:spacing w:before="0" w:after="283"/>
              <w:jc w:val="left"/>
              <w:rPr/>
            </w:pPr>
            <w:r>
              <w:rPr/>
              <w:t>  </w:t>
            </w:r>
          </w:p>
        </w:tc>
        <w:tc>
          <w:tcPr>
            <w:tcW w:w="495"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r>
      <w:tr>
        <w:trPr/>
        <w:tc>
          <w:tcPr>
            <w:tcW w:w="1410" w:type="dxa"/>
            <w:tcBorders/>
          </w:tcPr>
          <w:p>
            <w:pPr>
              <w:pStyle w:val="TableContents"/>
              <w:bidi w:val="0"/>
              <w:spacing w:before="0" w:after="0"/>
              <w:jc w:val="left"/>
              <w:rPr>
                <w:rFonts w:ascii="Times New Roman" w:hAnsi="Times New Roman"/>
                <w:sz w:val="20"/>
              </w:rPr>
            </w:pPr>
            <w:r>
              <w:rPr>
                <w:rFonts w:ascii="Times New Roman" w:hAnsi="Times New Roman"/>
                <w:sz w:val="20"/>
              </w:rPr>
              <w:t>Section 2.1</w:t>
            </w:r>
          </w:p>
        </w:tc>
        <w:tc>
          <w:tcPr>
            <w:tcW w:w="129" w:type="dxa"/>
            <w:tcBorders/>
            <w:vAlign w:val="bottom"/>
          </w:tcPr>
          <w:p>
            <w:pPr>
              <w:pStyle w:val="TableContents"/>
              <w:bidi w:val="0"/>
              <w:spacing w:before="0" w:after="283"/>
              <w:jc w:val="left"/>
              <w:rPr/>
            </w:pPr>
            <w:r>
              <w:rPr/>
              <w:t> </w:t>
            </w:r>
          </w:p>
        </w:tc>
        <w:tc>
          <w:tcPr>
            <w:tcW w:w="7929" w:type="dxa"/>
            <w:tcBorders/>
          </w:tcPr>
          <w:p>
            <w:pPr>
              <w:pStyle w:val="TableContents"/>
              <w:bidi w:val="0"/>
              <w:spacing w:before="0" w:after="0"/>
              <w:jc w:val="left"/>
              <w:rPr>
                <w:rFonts w:ascii="Times New Roman" w:hAnsi="Times New Roman"/>
                <w:sz w:val="20"/>
              </w:rPr>
            </w:pPr>
            <w:r>
              <w:rPr>
                <w:rFonts w:ascii="Times New Roman" w:hAnsi="Times New Roman"/>
                <w:sz w:val="20"/>
              </w:rPr>
              <w:t>Form and Dating</w:t>
            </w:r>
          </w:p>
        </w:tc>
        <w:tc>
          <w:tcPr>
            <w:tcW w:w="17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c>
          <w:tcPr>
            <w:tcW w:w="1410" w:type="dxa"/>
            <w:tcBorders/>
          </w:tcPr>
          <w:p>
            <w:pPr>
              <w:pStyle w:val="TableContents"/>
              <w:bidi w:val="0"/>
              <w:spacing w:before="0" w:after="0"/>
              <w:jc w:val="left"/>
              <w:rPr>
                <w:rFonts w:ascii="Times New Roman" w:hAnsi="Times New Roman"/>
                <w:sz w:val="20"/>
              </w:rPr>
            </w:pPr>
            <w:r>
              <w:rPr>
                <w:rFonts w:ascii="Times New Roman" w:hAnsi="Times New Roman"/>
                <w:sz w:val="20"/>
              </w:rPr>
              <w:t>Section 2.2</w:t>
            </w:r>
          </w:p>
        </w:tc>
        <w:tc>
          <w:tcPr>
            <w:tcW w:w="129" w:type="dxa"/>
            <w:tcBorders/>
            <w:vAlign w:val="bottom"/>
          </w:tcPr>
          <w:p>
            <w:pPr>
              <w:pStyle w:val="TableContents"/>
              <w:bidi w:val="0"/>
              <w:spacing w:before="0" w:after="283"/>
              <w:jc w:val="left"/>
              <w:rPr/>
            </w:pPr>
            <w:r>
              <w:rPr/>
              <w:t> </w:t>
            </w:r>
          </w:p>
        </w:tc>
        <w:tc>
          <w:tcPr>
            <w:tcW w:w="7929" w:type="dxa"/>
            <w:tcBorders/>
          </w:tcPr>
          <w:p>
            <w:pPr>
              <w:pStyle w:val="TableContents"/>
              <w:bidi w:val="0"/>
              <w:spacing w:before="0" w:after="0"/>
              <w:jc w:val="left"/>
              <w:rPr>
                <w:rFonts w:ascii="Times New Roman" w:hAnsi="Times New Roman"/>
                <w:sz w:val="20"/>
              </w:rPr>
            </w:pPr>
            <w:r>
              <w:rPr>
                <w:rFonts w:ascii="Times New Roman" w:hAnsi="Times New Roman"/>
                <w:sz w:val="20"/>
              </w:rPr>
              <w:t>Transfer and Exchange</w:t>
            </w:r>
          </w:p>
        </w:tc>
        <w:tc>
          <w:tcPr>
            <w:tcW w:w="17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c>
          <w:tcPr>
            <w:tcW w:w="1410" w:type="dxa"/>
            <w:tcBorders/>
          </w:tcPr>
          <w:p>
            <w:pPr>
              <w:pStyle w:val="TableContents"/>
              <w:bidi w:val="0"/>
              <w:spacing w:before="0" w:after="0"/>
              <w:jc w:val="left"/>
              <w:rPr>
                <w:rFonts w:ascii="Times New Roman" w:hAnsi="Times New Roman"/>
                <w:sz w:val="20"/>
              </w:rPr>
            </w:pPr>
            <w:r>
              <w:rPr>
                <w:rFonts w:ascii="Times New Roman" w:hAnsi="Times New Roman"/>
                <w:sz w:val="20"/>
              </w:rPr>
              <w:t>Section 2.3</w:t>
            </w:r>
          </w:p>
        </w:tc>
        <w:tc>
          <w:tcPr>
            <w:tcW w:w="129" w:type="dxa"/>
            <w:tcBorders/>
            <w:vAlign w:val="bottom"/>
          </w:tcPr>
          <w:p>
            <w:pPr>
              <w:pStyle w:val="TableContents"/>
              <w:bidi w:val="0"/>
              <w:spacing w:before="0" w:after="283"/>
              <w:jc w:val="left"/>
              <w:rPr/>
            </w:pPr>
            <w:r>
              <w:rPr/>
              <w:t> </w:t>
            </w:r>
          </w:p>
        </w:tc>
        <w:tc>
          <w:tcPr>
            <w:tcW w:w="7929" w:type="dxa"/>
            <w:tcBorders/>
          </w:tcPr>
          <w:p>
            <w:pPr>
              <w:pStyle w:val="TableContents"/>
              <w:bidi w:val="0"/>
              <w:spacing w:before="0" w:after="0"/>
              <w:jc w:val="left"/>
              <w:rPr>
                <w:rFonts w:ascii="Times New Roman" w:hAnsi="Times New Roman"/>
                <w:sz w:val="20"/>
              </w:rPr>
            </w:pPr>
            <w:r>
              <w:rPr>
                <w:rFonts w:ascii="Times New Roman" w:hAnsi="Times New Roman"/>
                <w:sz w:val="20"/>
              </w:rPr>
              <w:t>Issuance of Additional Notes</w:t>
            </w:r>
          </w:p>
        </w:tc>
        <w:tc>
          <w:tcPr>
            <w:tcW w:w="17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18</w:t>
            </w:r>
          </w:p>
        </w:tc>
        <w:tc>
          <w:tcPr>
            <w:tcW w:w="64" w:type="dxa"/>
            <w:tcBorders/>
            <w:vAlign w:val="bottom"/>
          </w:tcPr>
          <w:p>
            <w:pPr>
              <w:pStyle w:val="TableContents"/>
              <w:bidi w:val="0"/>
              <w:spacing w:before="0" w:after="283"/>
              <w:jc w:val="left"/>
              <w:rPr/>
            </w:pPr>
            <w:r>
              <w:rPr/>
              <w:t> </w:t>
            </w:r>
          </w:p>
        </w:tc>
      </w:tr>
      <w:tr>
        <w:trPr>
          <w:trHeight w:val="120" w:hRule="atLeast"/>
        </w:trPr>
        <w:tc>
          <w:tcPr>
            <w:tcW w:w="9468" w:type="dxa"/>
            <w:gridSpan w:val="3"/>
            <w:tcBorders/>
            <w:vAlign w:val="center"/>
          </w:tcPr>
          <w:p>
            <w:pPr>
              <w:pStyle w:val="TableContents"/>
              <w:bidi w:val="0"/>
              <w:spacing w:before="0" w:after="283"/>
              <w:jc w:val="left"/>
              <w:rPr>
                <w:sz w:val="4"/>
                <w:szCs w:val="4"/>
              </w:rPr>
            </w:pPr>
            <w:r>
              <w:rPr>
                <w:sz w:val="4"/>
                <w:szCs w:val="4"/>
              </w:rPr>
            </w:r>
          </w:p>
        </w:tc>
        <w:tc>
          <w:tcPr>
            <w:tcW w:w="737" w:type="dxa"/>
            <w:gridSpan w:val="4"/>
            <w:tcBorders/>
            <w:vAlign w:val="center"/>
          </w:tcPr>
          <w:p>
            <w:pPr>
              <w:pStyle w:val="TableContents"/>
              <w:bidi w:val="0"/>
              <w:spacing w:before="0" w:after="283"/>
              <w:jc w:val="left"/>
              <w:rPr>
                <w:sz w:val="4"/>
                <w:szCs w:val="4"/>
              </w:rPr>
            </w:pPr>
            <w:r>
              <w:rPr>
                <w:sz w:val="4"/>
                <w:szCs w:val="4"/>
              </w:rPr>
            </w:r>
          </w:p>
        </w:tc>
      </w:tr>
      <w:tr>
        <w:trPr/>
        <w:tc>
          <w:tcPr>
            <w:tcW w:w="9468" w:type="dxa"/>
            <w:gridSpan w:val="3"/>
            <w:tcBorders/>
            <w:vAlign w:val="bottom"/>
          </w:tcPr>
          <w:p>
            <w:pPr>
              <w:pStyle w:val="TableContents"/>
              <w:bidi w:val="0"/>
              <w:spacing w:before="0" w:after="283"/>
              <w:jc w:val="center"/>
              <w:rPr/>
            </w:pPr>
            <w:r>
              <w:rPr/>
              <w:t>ARTICLE 3.</w:t>
            </w:r>
          </w:p>
        </w:tc>
        <w:tc>
          <w:tcPr>
            <w:tcW w:w="178" w:type="dxa"/>
            <w:tcBorders/>
            <w:vAlign w:val="bottom"/>
          </w:tcPr>
          <w:p>
            <w:pPr>
              <w:pStyle w:val="TableContents"/>
              <w:bidi w:val="0"/>
              <w:spacing w:before="0" w:after="283"/>
              <w:jc w:val="left"/>
              <w:rPr/>
            </w:pPr>
            <w:r>
              <w:rPr/>
              <w:t>  </w:t>
            </w:r>
          </w:p>
        </w:tc>
        <w:tc>
          <w:tcPr>
            <w:tcW w:w="495"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r>
      <w:tr>
        <w:trPr/>
        <w:tc>
          <w:tcPr>
            <w:tcW w:w="9468" w:type="dxa"/>
            <w:gridSpan w:val="3"/>
            <w:tcBorders/>
            <w:vAlign w:val="bottom"/>
          </w:tcPr>
          <w:p>
            <w:pPr>
              <w:pStyle w:val="TableContents"/>
              <w:bidi w:val="0"/>
              <w:spacing w:before="0" w:after="283"/>
              <w:jc w:val="center"/>
              <w:rPr/>
            </w:pPr>
            <w:r>
              <w:rPr/>
              <w:t>REDEMPTION AND PREPAYMENT</w:t>
            </w:r>
          </w:p>
        </w:tc>
        <w:tc>
          <w:tcPr>
            <w:tcW w:w="178" w:type="dxa"/>
            <w:tcBorders/>
            <w:vAlign w:val="bottom"/>
          </w:tcPr>
          <w:p>
            <w:pPr>
              <w:pStyle w:val="TableContents"/>
              <w:bidi w:val="0"/>
              <w:spacing w:before="0" w:after="283"/>
              <w:jc w:val="left"/>
              <w:rPr/>
            </w:pPr>
            <w:r>
              <w:rPr/>
              <w:t>  </w:t>
            </w:r>
          </w:p>
        </w:tc>
        <w:tc>
          <w:tcPr>
            <w:tcW w:w="495"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r>
      <w:tr>
        <w:trPr/>
        <w:tc>
          <w:tcPr>
            <w:tcW w:w="1410" w:type="dxa"/>
            <w:tcBorders/>
          </w:tcPr>
          <w:p>
            <w:pPr>
              <w:pStyle w:val="TableContents"/>
              <w:bidi w:val="0"/>
              <w:spacing w:before="0" w:after="0"/>
              <w:jc w:val="left"/>
              <w:rPr>
                <w:rFonts w:ascii="Times New Roman" w:hAnsi="Times New Roman"/>
                <w:sz w:val="20"/>
              </w:rPr>
            </w:pPr>
            <w:r>
              <w:rPr>
                <w:rFonts w:ascii="Times New Roman" w:hAnsi="Times New Roman"/>
                <w:sz w:val="20"/>
              </w:rPr>
              <w:t>Section 3.1</w:t>
            </w:r>
          </w:p>
        </w:tc>
        <w:tc>
          <w:tcPr>
            <w:tcW w:w="129" w:type="dxa"/>
            <w:tcBorders/>
            <w:vAlign w:val="bottom"/>
          </w:tcPr>
          <w:p>
            <w:pPr>
              <w:pStyle w:val="TableContents"/>
              <w:bidi w:val="0"/>
              <w:spacing w:before="0" w:after="283"/>
              <w:jc w:val="left"/>
              <w:rPr/>
            </w:pPr>
            <w:r>
              <w:rPr/>
              <w:t> </w:t>
            </w:r>
          </w:p>
        </w:tc>
        <w:tc>
          <w:tcPr>
            <w:tcW w:w="7929" w:type="dxa"/>
            <w:tcBorders/>
          </w:tcPr>
          <w:p>
            <w:pPr>
              <w:pStyle w:val="TableContents"/>
              <w:bidi w:val="0"/>
              <w:spacing w:before="0" w:after="0"/>
              <w:jc w:val="left"/>
              <w:rPr>
                <w:rFonts w:ascii="Times New Roman" w:hAnsi="Times New Roman"/>
                <w:sz w:val="20"/>
              </w:rPr>
            </w:pPr>
            <w:r>
              <w:rPr>
                <w:rFonts w:ascii="Times New Roman" w:hAnsi="Times New Roman"/>
                <w:sz w:val="20"/>
              </w:rPr>
              <w:t>Optional Redemption</w:t>
            </w:r>
          </w:p>
        </w:tc>
        <w:tc>
          <w:tcPr>
            <w:tcW w:w="17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c>
          <w:tcPr>
            <w:tcW w:w="1410" w:type="dxa"/>
            <w:tcBorders/>
          </w:tcPr>
          <w:p>
            <w:pPr>
              <w:pStyle w:val="TableContents"/>
              <w:bidi w:val="0"/>
              <w:spacing w:before="0" w:after="0"/>
              <w:jc w:val="left"/>
              <w:rPr>
                <w:rFonts w:ascii="Times New Roman" w:hAnsi="Times New Roman"/>
                <w:sz w:val="20"/>
              </w:rPr>
            </w:pPr>
            <w:r>
              <w:rPr>
                <w:rFonts w:ascii="Times New Roman" w:hAnsi="Times New Roman"/>
                <w:sz w:val="20"/>
              </w:rPr>
              <w:t>Section 3.2</w:t>
            </w:r>
          </w:p>
        </w:tc>
        <w:tc>
          <w:tcPr>
            <w:tcW w:w="129" w:type="dxa"/>
            <w:tcBorders/>
            <w:vAlign w:val="bottom"/>
          </w:tcPr>
          <w:p>
            <w:pPr>
              <w:pStyle w:val="TableContents"/>
              <w:bidi w:val="0"/>
              <w:spacing w:before="0" w:after="283"/>
              <w:jc w:val="left"/>
              <w:rPr/>
            </w:pPr>
            <w:r>
              <w:rPr/>
              <w:t> </w:t>
            </w:r>
          </w:p>
        </w:tc>
        <w:tc>
          <w:tcPr>
            <w:tcW w:w="7929" w:type="dxa"/>
            <w:tcBorders/>
          </w:tcPr>
          <w:p>
            <w:pPr>
              <w:pStyle w:val="TableContents"/>
              <w:bidi w:val="0"/>
              <w:spacing w:before="0" w:after="0"/>
              <w:jc w:val="left"/>
              <w:rPr>
                <w:rFonts w:ascii="Times New Roman" w:hAnsi="Times New Roman"/>
                <w:sz w:val="20"/>
              </w:rPr>
            </w:pPr>
            <w:r>
              <w:rPr>
                <w:rFonts w:ascii="Times New Roman" w:hAnsi="Times New Roman"/>
                <w:sz w:val="20"/>
              </w:rPr>
              <w:t>Mandatory Redemption</w:t>
            </w:r>
          </w:p>
        </w:tc>
        <w:tc>
          <w:tcPr>
            <w:tcW w:w="17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rHeight w:val="120" w:hRule="atLeast"/>
        </w:trPr>
        <w:tc>
          <w:tcPr>
            <w:tcW w:w="9468" w:type="dxa"/>
            <w:gridSpan w:val="3"/>
            <w:tcBorders/>
            <w:vAlign w:val="center"/>
          </w:tcPr>
          <w:p>
            <w:pPr>
              <w:pStyle w:val="TableContents"/>
              <w:bidi w:val="0"/>
              <w:spacing w:before="0" w:after="283"/>
              <w:jc w:val="left"/>
              <w:rPr>
                <w:sz w:val="4"/>
                <w:szCs w:val="4"/>
              </w:rPr>
            </w:pPr>
            <w:r>
              <w:rPr>
                <w:sz w:val="4"/>
                <w:szCs w:val="4"/>
              </w:rPr>
            </w:r>
          </w:p>
        </w:tc>
        <w:tc>
          <w:tcPr>
            <w:tcW w:w="737" w:type="dxa"/>
            <w:gridSpan w:val="4"/>
            <w:tcBorders/>
            <w:vAlign w:val="center"/>
          </w:tcPr>
          <w:p>
            <w:pPr>
              <w:pStyle w:val="TableContents"/>
              <w:bidi w:val="0"/>
              <w:spacing w:before="0" w:after="283"/>
              <w:jc w:val="left"/>
              <w:rPr>
                <w:sz w:val="4"/>
                <w:szCs w:val="4"/>
              </w:rPr>
            </w:pPr>
            <w:r>
              <w:rPr>
                <w:sz w:val="4"/>
                <w:szCs w:val="4"/>
              </w:rPr>
            </w:r>
          </w:p>
        </w:tc>
      </w:tr>
      <w:tr>
        <w:trPr/>
        <w:tc>
          <w:tcPr>
            <w:tcW w:w="9468" w:type="dxa"/>
            <w:gridSpan w:val="3"/>
            <w:tcBorders/>
            <w:vAlign w:val="bottom"/>
          </w:tcPr>
          <w:p>
            <w:pPr>
              <w:pStyle w:val="TableContents"/>
              <w:bidi w:val="0"/>
              <w:spacing w:before="0" w:after="283"/>
              <w:jc w:val="center"/>
              <w:rPr/>
            </w:pPr>
            <w:r>
              <w:rPr/>
              <w:t>ARTICLE 4.</w:t>
            </w:r>
          </w:p>
        </w:tc>
        <w:tc>
          <w:tcPr>
            <w:tcW w:w="178" w:type="dxa"/>
            <w:tcBorders/>
            <w:vAlign w:val="bottom"/>
          </w:tcPr>
          <w:p>
            <w:pPr>
              <w:pStyle w:val="TableContents"/>
              <w:bidi w:val="0"/>
              <w:spacing w:before="0" w:after="283"/>
              <w:jc w:val="left"/>
              <w:rPr/>
            </w:pPr>
            <w:r>
              <w:rPr/>
              <w:t>  </w:t>
            </w:r>
          </w:p>
        </w:tc>
        <w:tc>
          <w:tcPr>
            <w:tcW w:w="495"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r>
      <w:tr>
        <w:trPr/>
        <w:tc>
          <w:tcPr>
            <w:tcW w:w="9468" w:type="dxa"/>
            <w:gridSpan w:val="3"/>
            <w:tcBorders/>
            <w:vAlign w:val="bottom"/>
          </w:tcPr>
          <w:p>
            <w:pPr>
              <w:pStyle w:val="TableContents"/>
              <w:bidi w:val="0"/>
              <w:spacing w:before="0" w:after="283"/>
              <w:jc w:val="center"/>
              <w:rPr/>
            </w:pPr>
            <w:r>
              <w:rPr/>
              <w:t>PARTICULAR COVENANTS</w:t>
            </w:r>
          </w:p>
        </w:tc>
        <w:tc>
          <w:tcPr>
            <w:tcW w:w="178" w:type="dxa"/>
            <w:tcBorders/>
            <w:vAlign w:val="bottom"/>
          </w:tcPr>
          <w:p>
            <w:pPr>
              <w:pStyle w:val="TableContents"/>
              <w:bidi w:val="0"/>
              <w:spacing w:before="0" w:after="283"/>
              <w:jc w:val="left"/>
              <w:rPr/>
            </w:pPr>
            <w:r>
              <w:rPr/>
              <w:t>  </w:t>
            </w:r>
          </w:p>
        </w:tc>
        <w:tc>
          <w:tcPr>
            <w:tcW w:w="495"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r>
      <w:tr>
        <w:trPr>
          <w:trHeight w:val="120" w:hRule="atLeast"/>
        </w:trPr>
        <w:tc>
          <w:tcPr>
            <w:tcW w:w="1410" w:type="dxa"/>
            <w:tcBorders/>
            <w:vAlign w:val="center"/>
          </w:tcPr>
          <w:p>
            <w:pPr>
              <w:pStyle w:val="TableContents"/>
              <w:bidi w:val="0"/>
              <w:spacing w:before="0" w:after="283"/>
              <w:jc w:val="left"/>
              <w:rPr>
                <w:sz w:val="4"/>
                <w:szCs w:val="4"/>
              </w:rPr>
            </w:pPr>
            <w:r>
              <w:rPr>
                <w:sz w:val="4"/>
                <w:szCs w:val="4"/>
              </w:rPr>
            </w:r>
          </w:p>
        </w:tc>
        <w:tc>
          <w:tcPr>
            <w:tcW w:w="8058" w:type="dxa"/>
            <w:gridSpan w:val="2"/>
            <w:tcBorders/>
            <w:vAlign w:val="center"/>
          </w:tcPr>
          <w:p>
            <w:pPr>
              <w:pStyle w:val="TableContents"/>
              <w:bidi w:val="0"/>
              <w:spacing w:before="0" w:after="283"/>
              <w:jc w:val="left"/>
              <w:rPr>
                <w:sz w:val="4"/>
                <w:szCs w:val="4"/>
              </w:rPr>
            </w:pPr>
            <w:r>
              <w:rPr>
                <w:sz w:val="4"/>
                <w:szCs w:val="4"/>
              </w:rPr>
            </w:r>
          </w:p>
        </w:tc>
        <w:tc>
          <w:tcPr>
            <w:tcW w:w="737" w:type="dxa"/>
            <w:gridSpan w:val="4"/>
            <w:tcBorders/>
            <w:vAlign w:val="center"/>
          </w:tcPr>
          <w:p>
            <w:pPr>
              <w:pStyle w:val="TableContents"/>
              <w:bidi w:val="0"/>
              <w:spacing w:before="0" w:after="283"/>
              <w:jc w:val="left"/>
              <w:rPr>
                <w:sz w:val="4"/>
                <w:szCs w:val="4"/>
              </w:rPr>
            </w:pPr>
            <w:r>
              <w:rPr>
                <w:sz w:val="4"/>
                <w:szCs w:val="4"/>
              </w:rPr>
            </w:r>
          </w:p>
        </w:tc>
      </w:tr>
      <w:tr>
        <w:trPr/>
        <w:tc>
          <w:tcPr>
            <w:tcW w:w="1410" w:type="dxa"/>
            <w:tcBorders/>
          </w:tcPr>
          <w:p>
            <w:pPr>
              <w:pStyle w:val="TableContents"/>
              <w:bidi w:val="0"/>
              <w:spacing w:before="0" w:after="0"/>
              <w:jc w:val="left"/>
              <w:rPr>
                <w:rFonts w:ascii="Times New Roman" w:hAnsi="Times New Roman"/>
                <w:sz w:val="20"/>
              </w:rPr>
            </w:pPr>
            <w:r>
              <w:rPr>
                <w:rFonts w:ascii="Times New Roman" w:hAnsi="Times New Roman"/>
                <w:sz w:val="20"/>
              </w:rPr>
              <w:t>Section 4.1</w:t>
            </w:r>
          </w:p>
        </w:tc>
        <w:tc>
          <w:tcPr>
            <w:tcW w:w="129" w:type="dxa"/>
            <w:tcBorders/>
            <w:vAlign w:val="bottom"/>
          </w:tcPr>
          <w:p>
            <w:pPr>
              <w:pStyle w:val="TableContents"/>
              <w:bidi w:val="0"/>
              <w:spacing w:before="0" w:after="283"/>
              <w:jc w:val="left"/>
              <w:rPr/>
            </w:pPr>
            <w:r>
              <w:rPr/>
              <w:t> </w:t>
            </w:r>
          </w:p>
        </w:tc>
        <w:tc>
          <w:tcPr>
            <w:tcW w:w="7929" w:type="dxa"/>
            <w:tcBorders/>
          </w:tcPr>
          <w:p>
            <w:pPr>
              <w:pStyle w:val="TableContents"/>
              <w:bidi w:val="0"/>
              <w:spacing w:before="0" w:after="0"/>
              <w:jc w:val="left"/>
              <w:rPr>
                <w:rFonts w:ascii="Times New Roman" w:hAnsi="Times New Roman"/>
                <w:sz w:val="20"/>
              </w:rPr>
            </w:pPr>
            <w:r>
              <w:rPr>
                <w:rFonts w:ascii="Times New Roman" w:hAnsi="Times New Roman"/>
                <w:sz w:val="20"/>
              </w:rPr>
              <w:t>Offer to Purchase Upon Change of Control Triggering Event</w:t>
            </w:r>
          </w:p>
        </w:tc>
        <w:tc>
          <w:tcPr>
            <w:tcW w:w="17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c>
          <w:tcPr>
            <w:tcW w:w="1410" w:type="dxa"/>
            <w:tcBorders/>
          </w:tcPr>
          <w:p>
            <w:pPr>
              <w:pStyle w:val="TableContents"/>
              <w:bidi w:val="0"/>
              <w:spacing w:before="0" w:after="0"/>
              <w:jc w:val="left"/>
              <w:rPr>
                <w:rFonts w:ascii="Times New Roman" w:hAnsi="Times New Roman"/>
                <w:sz w:val="20"/>
              </w:rPr>
            </w:pPr>
            <w:r>
              <w:rPr>
                <w:rFonts w:ascii="Times New Roman" w:hAnsi="Times New Roman"/>
                <w:sz w:val="20"/>
              </w:rPr>
              <w:t>Section 4.2</w:t>
            </w:r>
          </w:p>
        </w:tc>
        <w:tc>
          <w:tcPr>
            <w:tcW w:w="129" w:type="dxa"/>
            <w:tcBorders/>
            <w:vAlign w:val="bottom"/>
          </w:tcPr>
          <w:p>
            <w:pPr>
              <w:pStyle w:val="TableContents"/>
              <w:bidi w:val="0"/>
              <w:spacing w:before="0" w:after="283"/>
              <w:jc w:val="left"/>
              <w:rPr/>
            </w:pPr>
            <w:r>
              <w:rPr/>
              <w:t> </w:t>
            </w:r>
          </w:p>
        </w:tc>
        <w:tc>
          <w:tcPr>
            <w:tcW w:w="7929" w:type="dxa"/>
            <w:tcBorders/>
          </w:tcPr>
          <w:p>
            <w:pPr>
              <w:pStyle w:val="TableContents"/>
              <w:bidi w:val="0"/>
              <w:spacing w:before="0" w:after="0"/>
              <w:jc w:val="left"/>
              <w:rPr>
                <w:rFonts w:ascii="Times New Roman" w:hAnsi="Times New Roman"/>
                <w:sz w:val="20"/>
              </w:rPr>
            </w:pPr>
            <w:r>
              <w:rPr>
                <w:rFonts w:ascii="Times New Roman" w:hAnsi="Times New Roman"/>
                <w:sz w:val="20"/>
              </w:rPr>
              <w:t>Liens</w:t>
            </w:r>
          </w:p>
        </w:tc>
        <w:tc>
          <w:tcPr>
            <w:tcW w:w="17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r>
        <w:trPr/>
        <w:tc>
          <w:tcPr>
            <w:tcW w:w="1410" w:type="dxa"/>
            <w:tcBorders/>
          </w:tcPr>
          <w:p>
            <w:pPr>
              <w:pStyle w:val="TableContents"/>
              <w:bidi w:val="0"/>
              <w:spacing w:before="0" w:after="0"/>
              <w:jc w:val="left"/>
              <w:rPr>
                <w:rFonts w:ascii="Times New Roman" w:hAnsi="Times New Roman"/>
                <w:sz w:val="20"/>
              </w:rPr>
            </w:pPr>
            <w:r>
              <w:rPr>
                <w:rFonts w:ascii="Times New Roman" w:hAnsi="Times New Roman"/>
                <w:sz w:val="20"/>
              </w:rPr>
              <w:t>Section 4.3</w:t>
            </w:r>
          </w:p>
        </w:tc>
        <w:tc>
          <w:tcPr>
            <w:tcW w:w="129" w:type="dxa"/>
            <w:tcBorders/>
            <w:vAlign w:val="bottom"/>
          </w:tcPr>
          <w:p>
            <w:pPr>
              <w:pStyle w:val="TableContents"/>
              <w:bidi w:val="0"/>
              <w:spacing w:before="0" w:after="283"/>
              <w:jc w:val="left"/>
              <w:rPr/>
            </w:pPr>
            <w:r>
              <w:rPr/>
              <w:t> </w:t>
            </w:r>
          </w:p>
        </w:tc>
        <w:tc>
          <w:tcPr>
            <w:tcW w:w="7929" w:type="dxa"/>
            <w:tcBorders/>
          </w:tcPr>
          <w:p>
            <w:pPr>
              <w:pStyle w:val="TableContents"/>
              <w:bidi w:val="0"/>
              <w:spacing w:before="0" w:after="0"/>
              <w:jc w:val="left"/>
              <w:rPr>
                <w:rFonts w:ascii="Times New Roman" w:hAnsi="Times New Roman"/>
                <w:sz w:val="20"/>
              </w:rPr>
            </w:pPr>
            <w:r>
              <w:rPr>
                <w:rFonts w:ascii="Times New Roman" w:hAnsi="Times New Roman"/>
                <w:sz w:val="20"/>
              </w:rPr>
              <w:t>Sale and Lease Back Transactions</w:t>
            </w:r>
          </w:p>
        </w:tc>
        <w:tc>
          <w:tcPr>
            <w:tcW w:w="17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c>
          <w:tcPr>
            <w:tcW w:w="1410" w:type="dxa"/>
            <w:tcBorders/>
          </w:tcPr>
          <w:p>
            <w:pPr>
              <w:pStyle w:val="TableContents"/>
              <w:bidi w:val="0"/>
              <w:spacing w:before="0" w:after="0"/>
              <w:jc w:val="left"/>
              <w:rPr>
                <w:rFonts w:ascii="Times New Roman" w:hAnsi="Times New Roman"/>
                <w:sz w:val="20"/>
              </w:rPr>
            </w:pPr>
            <w:r>
              <w:rPr>
                <w:rFonts w:ascii="Times New Roman" w:hAnsi="Times New Roman"/>
                <w:sz w:val="20"/>
              </w:rPr>
              <w:t>Section 4.4</w:t>
            </w:r>
          </w:p>
        </w:tc>
        <w:tc>
          <w:tcPr>
            <w:tcW w:w="129" w:type="dxa"/>
            <w:tcBorders/>
            <w:vAlign w:val="bottom"/>
          </w:tcPr>
          <w:p>
            <w:pPr>
              <w:pStyle w:val="TableContents"/>
              <w:bidi w:val="0"/>
              <w:spacing w:before="0" w:after="283"/>
              <w:jc w:val="left"/>
              <w:rPr/>
            </w:pPr>
            <w:r>
              <w:rPr/>
              <w:t> </w:t>
            </w:r>
          </w:p>
        </w:tc>
        <w:tc>
          <w:tcPr>
            <w:tcW w:w="7929" w:type="dxa"/>
            <w:tcBorders/>
          </w:tcPr>
          <w:p>
            <w:pPr>
              <w:pStyle w:val="TableContents"/>
              <w:bidi w:val="0"/>
              <w:spacing w:before="0" w:after="0"/>
              <w:jc w:val="left"/>
              <w:rPr>
                <w:rFonts w:ascii="Times New Roman" w:hAnsi="Times New Roman"/>
                <w:sz w:val="20"/>
              </w:rPr>
            </w:pPr>
            <w:r>
              <w:rPr>
                <w:rFonts w:ascii="Times New Roman" w:hAnsi="Times New Roman"/>
                <w:sz w:val="20"/>
              </w:rPr>
              <w:t>Covenants</w:t>
            </w:r>
          </w:p>
        </w:tc>
        <w:tc>
          <w:tcPr>
            <w:tcW w:w="17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rHeight w:val="120" w:hRule="atLeast"/>
        </w:trPr>
        <w:tc>
          <w:tcPr>
            <w:tcW w:w="9468" w:type="dxa"/>
            <w:gridSpan w:val="3"/>
            <w:tcBorders/>
            <w:vAlign w:val="center"/>
          </w:tcPr>
          <w:p>
            <w:pPr>
              <w:pStyle w:val="TableContents"/>
              <w:bidi w:val="0"/>
              <w:spacing w:before="0" w:after="283"/>
              <w:jc w:val="left"/>
              <w:rPr>
                <w:sz w:val="4"/>
                <w:szCs w:val="4"/>
              </w:rPr>
            </w:pPr>
            <w:r>
              <w:rPr>
                <w:sz w:val="4"/>
                <w:szCs w:val="4"/>
              </w:rPr>
            </w:r>
          </w:p>
        </w:tc>
        <w:tc>
          <w:tcPr>
            <w:tcW w:w="737" w:type="dxa"/>
            <w:gridSpan w:val="4"/>
            <w:tcBorders/>
            <w:vAlign w:val="center"/>
          </w:tcPr>
          <w:p>
            <w:pPr>
              <w:pStyle w:val="TableContents"/>
              <w:bidi w:val="0"/>
              <w:spacing w:before="0" w:after="283"/>
              <w:jc w:val="left"/>
              <w:rPr>
                <w:sz w:val="4"/>
                <w:szCs w:val="4"/>
              </w:rPr>
            </w:pPr>
            <w:r>
              <w:rPr>
                <w:sz w:val="4"/>
                <w:szCs w:val="4"/>
              </w:rPr>
            </w:r>
          </w:p>
        </w:tc>
      </w:tr>
      <w:tr>
        <w:trPr/>
        <w:tc>
          <w:tcPr>
            <w:tcW w:w="9468" w:type="dxa"/>
            <w:gridSpan w:val="3"/>
            <w:tcBorders/>
            <w:vAlign w:val="bottom"/>
          </w:tcPr>
          <w:p>
            <w:pPr>
              <w:pStyle w:val="TableContents"/>
              <w:bidi w:val="0"/>
              <w:spacing w:before="0" w:after="283"/>
              <w:jc w:val="center"/>
              <w:rPr/>
            </w:pPr>
            <w:r>
              <w:rPr/>
              <w:t>ARTICLE 5.</w:t>
            </w:r>
          </w:p>
        </w:tc>
        <w:tc>
          <w:tcPr>
            <w:tcW w:w="178" w:type="dxa"/>
            <w:tcBorders/>
            <w:vAlign w:val="bottom"/>
          </w:tcPr>
          <w:p>
            <w:pPr>
              <w:pStyle w:val="TableContents"/>
              <w:bidi w:val="0"/>
              <w:spacing w:before="0" w:after="283"/>
              <w:jc w:val="left"/>
              <w:rPr/>
            </w:pPr>
            <w:r>
              <w:rPr/>
              <w:t>  </w:t>
            </w:r>
          </w:p>
        </w:tc>
        <w:tc>
          <w:tcPr>
            <w:tcW w:w="495"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r>
      <w:tr>
        <w:trPr/>
        <w:tc>
          <w:tcPr>
            <w:tcW w:w="9468" w:type="dxa"/>
            <w:gridSpan w:val="3"/>
            <w:tcBorders/>
            <w:vAlign w:val="bottom"/>
          </w:tcPr>
          <w:p>
            <w:pPr>
              <w:pStyle w:val="TableContents"/>
              <w:bidi w:val="0"/>
              <w:spacing w:before="0" w:after="283"/>
              <w:jc w:val="center"/>
              <w:rPr/>
            </w:pPr>
            <w:r>
              <w:rPr/>
              <w:t>DEFAULTS AND REMEDIES</w:t>
            </w:r>
          </w:p>
        </w:tc>
        <w:tc>
          <w:tcPr>
            <w:tcW w:w="178" w:type="dxa"/>
            <w:tcBorders/>
            <w:vAlign w:val="bottom"/>
          </w:tcPr>
          <w:p>
            <w:pPr>
              <w:pStyle w:val="TableContents"/>
              <w:bidi w:val="0"/>
              <w:spacing w:before="0" w:after="283"/>
              <w:jc w:val="left"/>
              <w:rPr/>
            </w:pPr>
            <w:r>
              <w:rPr/>
              <w:t>  </w:t>
            </w:r>
          </w:p>
        </w:tc>
        <w:tc>
          <w:tcPr>
            <w:tcW w:w="495"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r>
      <w:tr>
        <w:trPr>
          <w:trHeight w:val="120" w:hRule="atLeast"/>
        </w:trPr>
        <w:tc>
          <w:tcPr>
            <w:tcW w:w="1410" w:type="dxa"/>
            <w:tcBorders/>
            <w:vAlign w:val="center"/>
          </w:tcPr>
          <w:p>
            <w:pPr>
              <w:pStyle w:val="TableContents"/>
              <w:bidi w:val="0"/>
              <w:spacing w:before="0" w:after="283"/>
              <w:jc w:val="left"/>
              <w:rPr>
                <w:sz w:val="4"/>
                <w:szCs w:val="4"/>
              </w:rPr>
            </w:pPr>
            <w:r>
              <w:rPr>
                <w:sz w:val="4"/>
                <w:szCs w:val="4"/>
              </w:rPr>
            </w:r>
          </w:p>
        </w:tc>
        <w:tc>
          <w:tcPr>
            <w:tcW w:w="8058" w:type="dxa"/>
            <w:gridSpan w:val="2"/>
            <w:tcBorders/>
            <w:vAlign w:val="center"/>
          </w:tcPr>
          <w:p>
            <w:pPr>
              <w:pStyle w:val="TableContents"/>
              <w:bidi w:val="0"/>
              <w:spacing w:before="0" w:after="283"/>
              <w:jc w:val="left"/>
              <w:rPr>
                <w:sz w:val="4"/>
                <w:szCs w:val="4"/>
              </w:rPr>
            </w:pPr>
            <w:r>
              <w:rPr>
                <w:sz w:val="4"/>
                <w:szCs w:val="4"/>
              </w:rPr>
            </w:r>
          </w:p>
        </w:tc>
        <w:tc>
          <w:tcPr>
            <w:tcW w:w="737" w:type="dxa"/>
            <w:gridSpan w:val="4"/>
            <w:tcBorders/>
            <w:vAlign w:val="center"/>
          </w:tcPr>
          <w:p>
            <w:pPr>
              <w:pStyle w:val="TableContents"/>
              <w:bidi w:val="0"/>
              <w:spacing w:before="0" w:after="283"/>
              <w:jc w:val="left"/>
              <w:rPr>
                <w:sz w:val="4"/>
                <w:szCs w:val="4"/>
              </w:rPr>
            </w:pPr>
            <w:r>
              <w:rPr>
                <w:sz w:val="4"/>
                <w:szCs w:val="4"/>
              </w:rPr>
            </w:r>
          </w:p>
        </w:tc>
      </w:tr>
      <w:tr>
        <w:trPr/>
        <w:tc>
          <w:tcPr>
            <w:tcW w:w="1410" w:type="dxa"/>
            <w:tcBorders/>
          </w:tcPr>
          <w:p>
            <w:pPr>
              <w:pStyle w:val="TableContents"/>
              <w:bidi w:val="0"/>
              <w:spacing w:before="0" w:after="0"/>
              <w:jc w:val="left"/>
              <w:rPr>
                <w:rFonts w:ascii="Times New Roman" w:hAnsi="Times New Roman"/>
                <w:sz w:val="20"/>
              </w:rPr>
            </w:pPr>
            <w:r>
              <w:rPr>
                <w:rFonts w:ascii="Times New Roman" w:hAnsi="Times New Roman"/>
                <w:sz w:val="20"/>
              </w:rPr>
              <w:t>Section 5.1</w:t>
            </w:r>
          </w:p>
        </w:tc>
        <w:tc>
          <w:tcPr>
            <w:tcW w:w="129" w:type="dxa"/>
            <w:tcBorders/>
            <w:vAlign w:val="bottom"/>
          </w:tcPr>
          <w:p>
            <w:pPr>
              <w:pStyle w:val="TableContents"/>
              <w:bidi w:val="0"/>
              <w:spacing w:before="0" w:after="283"/>
              <w:jc w:val="left"/>
              <w:rPr/>
            </w:pPr>
            <w:r>
              <w:rPr/>
              <w:t> </w:t>
            </w:r>
          </w:p>
        </w:tc>
        <w:tc>
          <w:tcPr>
            <w:tcW w:w="7929" w:type="dxa"/>
            <w:tcBorders/>
          </w:tcPr>
          <w:p>
            <w:pPr>
              <w:pStyle w:val="TableContents"/>
              <w:bidi w:val="0"/>
              <w:spacing w:before="0" w:after="0"/>
              <w:jc w:val="left"/>
              <w:rPr>
                <w:rFonts w:ascii="Times New Roman" w:hAnsi="Times New Roman"/>
                <w:sz w:val="20"/>
              </w:rPr>
            </w:pPr>
            <w:r>
              <w:rPr>
                <w:rFonts w:ascii="Times New Roman" w:hAnsi="Times New Roman"/>
                <w:sz w:val="20"/>
              </w:rPr>
              <w:t>Events of Default</w:t>
            </w:r>
          </w:p>
        </w:tc>
        <w:tc>
          <w:tcPr>
            <w:tcW w:w="17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rHeight w:val="120" w:hRule="atLeast"/>
        </w:trPr>
        <w:tc>
          <w:tcPr>
            <w:tcW w:w="9468" w:type="dxa"/>
            <w:gridSpan w:val="3"/>
            <w:tcBorders/>
            <w:vAlign w:val="center"/>
          </w:tcPr>
          <w:p>
            <w:pPr>
              <w:pStyle w:val="TableContents"/>
              <w:bidi w:val="0"/>
              <w:spacing w:before="0" w:after="283"/>
              <w:jc w:val="left"/>
              <w:rPr>
                <w:sz w:val="4"/>
                <w:szCs w:val="4"/>
              </w:rPr>
            </w:pPr>
            <w:r>
              <w:rPr>
                <w:sz w:val="4"/>
                <w:szCs w:val="4"/>
              </w:rPr>
            </w:r>
          </w:p>
        </w:tc>
        <w:tc>
          <w:tcPr>
            <w:tcW w:w="737" w:type="dxa"/>
            <w:gridSpan w:val="4"/>
            <w:tcBorders/>
            <w:vAlign w:val="center"/>
          </w:tcPr>
          <w:p>
            <w:pPr>
              <w:pStyle w:val="TableContents"/>
              <w:bidi w:val="0"/>
              <w:spacing w:before="0" w:after="283"/>
              <w:jc w:val="left"/>
              <w:rPr>
                <w:sz w:val="4"/>
                <w:szCs w:val="4"/>
              </w:rPr>
            </w:pPr>
            <w:r>
              <w:rPr>
                <w:sz w:val="4"/>
                <w:szCs w:val="4"/>
              </w:rPr>
            </w:r>
          </w:p>
        </w:tc>
      </w:tr>
      <w:tr>
        <w:trPr/>
        <w:tc>
          <w:tcPr>
            <w:tcW w:w="9468" w:type="dxa"/>
            <w:gridSpan w:val="3"/>
            <w:tcBorders/>
            <w:vAlign w:val="bottom"/>
          </w:tcPr>
          <w:p>
            <w:pPr>
              <w:pStyle w:val="TableContents"/>
              <w:bidi w:val="0"/>
              <w:spacing w:before="0" w:after="283"/>
              <w:jc w:val="center"/>
              <w:rPr/>
            </w:pPr>
            <w:r>
              <w:rPr/>
              <w:t>ARTICLE 6.</w:t>
            </w:r>
          </w:p>
        </w:tc>
        <w:tc>
          <w:tcPr>
            <w:tcW w:w="178" w:type="dxa"/>
            <w:tcBorders/>
            <w:vAlign w:val="bottom"/>
          </w:tcPr>
          <w:p>
            <w:pPr>
              <w:pStyle w:val="TableContents"/>
              <w:bidi w:val="0"/>
              <w:spacing w:before="0" w:after="283"/>
              <w:jc w:val="left"/>
              <w:rPr/>
            </w:pPr>
            <w:r>
              <w:rPr/>
              <w:t>  </w:t>
            </w:r>
          </w:p>
        </w:tc>
        <w:tc>
          <w:tcPr>
            <w:tcW w:w="495"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r>
      <w:tr>
        <w:trPr/>
        <w:tc>
          <w:tcPr>
            <w:tcW w:w="9468" w:type="dxa"/>
            <w:gridSpan w:val="3"/>
            <w:tcBorders/>
            <w:vAlign w:val="bottom"/>
          </w:tcPr>
          <w:p>
            <w:pPr>
              <w:pStyle w:val="TableContents"/>
              <w:bidi w:val="0"/>
              <w:spacing w:before="0" w:after="283"/>
              <w:jc w:val="center"/>
              <w:rPr/>
            </w:pPr>
            <w:r>
              <w:rPr/>
              <w:t>SATISFACTION AND DISCHARGE; DEFEASANCE</w:t>
            </w:r>
          </w:p>
        </w:tc>
        <w:tc>
          <w:tcPr>
            <w:tcW w:w="178" w:type="dxa"/>
            <w:tcBorders/>
            <w:vAlign w:val="bottom"/>
          </w:tcPr>
          <w:p>
            <w:pPr>
              <w:pStyle w:val="TableContents"/>
              <w:bidi w:val="0"/>
              <w:spacing w:before="0" w:after="283"/>
              <w:jc w:val="left"/>
              <w:rPr/>
            </w:pPr>
            <w:r>
              <w:rPr/>
              <w:t>  </w:t>
            </w:r>
          </w:p>
        </w:tc>
        <w:tc>
          <w:tcPr>
            <w:tcW w:w="495"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r>
      <w:tr>
        <w:trPr>
          <w:trHeight w:val="120" w:hRule="atLeast"/>
        </w:trPr>
        <w:tc>
          <w:tcPr>
            <w:tcW w:w="1410" w:type="dxa"/>
            <w:tcBorders/>
            <w:vAlign w:val="center"/>
          </w:tcPr>
          <w:p>
            <w:pPr>
              <w:pStyle w:val="TableContents"/>
              <w:bidi w:val="0"/>
              <w:spacing w:before="0" w:after="283"/>
              <w:jc w:val="left"/>
              <w:rPr>
                <w:sz w:val="4"/>
                <w:szCs w:val="4"/>
              </w:rPr>
            </w:pPr>
            <w:r>
              <w:rPr>
                <w:sz w:val="4"/>
                <w:szCs w:val="4"/>
              </w:rPr>
            </w:r>
          </w:p>
        </w:tc>
        <w:tc>
          <w:tcPr>
            <w:tcW w:w="8058" w:type="dxa"/>
            <w:gridSpan w:val="2"/>
            <w:tcBorders/>
            <w:vAlign w:val="center"/>
          </w:tcPr>
          <w:p>
            <w:pPr>
              <w:pStyle w:val="TableContents"/>
              <w:bidi w:val="0"/>
              <w:spacing w:before="0" w:after="283"/>
              <w:jc w:val="left"/>
              <w:rPr>
                <w:sz w:val="4"/>
                <w:szCs w:val="4"/>
              </w:rPr>
            </w:pPr>
            <w:r>
              <w:rPr>
                <w:sz w:val="4"/>
                <w:szCs w:val="4"/>
              </w:rPr>
            </w:r>
          </w:p>
        </w:tc>
        <w:tc>
          <w:tcPr>
            <w:tcW w:w="737" w:type="dxa"/>
            <w:gridSpan w:val="4"/>
            <w:tcBorders/>
            <w:vAlign w:val="center"/>
          </w:tcPr>
          <w:p>
            <w:pPr>
              <w:pStyle w:val="TableContents"/>
              <w:bidi w:val="0"/>
              <w:spacing w:before="0" w:after="283"/>
              <w:jc w:val="left"/>
              <w:rPr>
                <w:sz w:val="4"/>
                <w:szCs w:val="4"/>
              </w:rPr>
            </w:pPr>
            <w:r>
              <w:rPr>
                <w:sz w:val="4"/>
                <w:szCs w:val="4"/>
              </w:rPr>
            </w:r>
          </w:p>
        </w:tc>
      </w:tr>
      <w:tr>
        <w:trPr/>
        <w:tc>
          <w:tcPr>
            <w:tcW w:w="1410" w:type="dxa"/>
            <w:tcBorders/>
          </w:tcPr>
          <w:p>
            <w:pPr>
              <w:pStyle w:val="TableContents"/>
              <w:bidi w:val="0"/>
              <w:spacing w:before="0" w:after="0"/>
              <w:jc w:val="left"/>
              <w:rPr>
                <w:rFonts w:ascii="Times New Roman" w:hAnsi="Times New Roman"/>
                <w:sz w:val="20"/>
              </w:rPr>
            </w:pPr>
            <w:r>
              <w:rPr>
                <w:rFonts w:ascii="Times New Roman" w:hAnsi="Times New Roman"/>
                <w:sz w:val="20"/>
              </w:rPr>
              <w:t>Section 6.1</w:t>
            </w:r>
          </w:p>
        </w:tc>
        <w:tc>
          <w:tcPr>
            <w:tcW w:w="129" w:type="dxa"/>
            <w:tcBorders/>
            <w:vAlign w:val="bottom"/>
          </w:tcPr>
          <w:p>
            <w:pPr>
              <w:pStyle w:val="TableContents"/>
              <w:bidi w:val="0"/>
              <w:spacing w:before="0" w:after="283"/>
              <w:jc w:val="left"/>
              <w:rPr/>
            </w:pPr>
            <w:r>
              <w:rPr/>
              <w:t> </w:t>
            </w:r>
          </w:p>
        </w:tc>
        <w:tc>
          <w:tcPr>
            <w:tcW w:w="7929" w:type="dxa"/>
            <w:tcBorders/>
          </w:tcPr>
          <w:p>
            <w:pPr>
              <w:pStyle w:val="TableContents"/>
              <w:bidi w:val="0"/>
              <w:spacing w:before="0" w:after="0"/>
              <w:jc w:val="left"/>
              <w:rPr>
                <w:rFonts w:ascii="Times New Roman" w:hAnsi="Times New Roman"/>
                <w:sz w:val="20"/>
              </w:rPr>
            </w:pPr>
            <w:r>
              <w:rPr>
                <w:rFonts w:ascii="Times New Roman" w:hAnsi="Times New Roman"/>
                <w:sz w:val="20"/>
              </w:rPr>
              <w:t>Satisfaction and Discharge of Indenture</w:t>
            </w:r>
          </w:p>
        </w:tc>
        <w:tc>
          <w:tcPr>
            <w:tcW w:w="17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c>
          <w:tcPr>
            <w:tcW w:w="1410" w:type="dxa"/>
            <w:tcBorders/>
          </w:tcPr>
          <w:p>
            <w:pPr>
              <w:pStyle w:val="TableContents"/>
              <w:bidi w:val="0"/>
              <w:spacing w:before="0" w:after="0"/>
              <w:jc w:val="left"/>
              <w:rPr>
                <w:rFonts w:ascii="Times New Roman" w:hAnsi="Times New Roman"/>
                <w:sz w:val="20"/>
              </w:rPr>
            </w:pPr>
            <w:r>
              <w:rPr>
                <w:rFonts w:ascii="Times New Roman" w:hAnsi="Times New Roman"/>
                <w:sz w:val="20"/>
              </w:rPr>
              <w:t>Section 6.2</w:t>
            </w:r>
          </w:p>
        </w:tc>
        <w:tc>
          <w:tcPr>
            <w:tcW w:w="129" w:type="dxa"/>
            <w:tcBorders/>
            <w:vAlign w:val="bottom"/>
          </w:tcPr>
          <w:p>
            <w:pPr>
              <w:pStyle w:val="TableContents"/>
              <w:bidi w:val="0"/>
              <w:spacing w:before="0" w:after="283"/>
              <w:jc w:val="left"/>
              <w:rPr/>
            </w:pPr>
            <w:r>
              <w:rPr/>
              <w:t> </w:t>
            </w:r>
          </w:p>
        </w:tc>
        <w:tc>
          <w:tcPr>
            <w:tcW w:w="7929" w:type="dxa"/>
            <w:tcBorders/>
          </w:tcPr>
          <w:p>
            <w:pPr>
              <w:pStyle w:val="TableContents"/>
              <w:bidi w:val="0"/>
              <w:spacing w:before="0" w:after="0"/>
              <w:jc w:val="left"/>
              <w:rPr>
                <w:rFonts w:ascii="Times New Roman" w:hAnsi="Times New Roman"/>
                <w:sz w:val="20"/>
              </w:rPr>
            </w:pPr>
            <w:r>
              <w:rPr>
                <w:rFonts w:ascii="Times New Roman" w:hAnsi="Times New Roman"/>
                <w:sz w:val="20"/>
              </w:rPr>
              <w:t>Legal Defeasance of Securities of Any Series</w:t>
            </w:r>
          </w:p>
        </w:tc>
        <w:tc>
          <w:tcPr>
            <w:tcW w:w="17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c>
          <w:tcPr>
            <w:tcW w:w="1410" w:type="dxa"/>
            <w:tcBorders/>
          </w:tcPr>
          <w:p>
            <w:pPr>
              <w:pStyle w:val="TableContents"/>
              <w:bidi w:val="0"/>
              <w:spacing w:before="0" w:after="0"/>
              <w:jc w:val="left"/>
              <w:rPr>
                <w:rFonts w:ascii="Times New Roman" w:hAnsi="Times New Roman"/>
                <w:sz w:val="20"/>
              </w:rPr>
            </w:pPr>
            <w:r>
              <w:rPr>
                <w:rFonts w:ascii="Times New Roman" w:hAnsi="Times New Roman"/>
                <w:sz w:val="20"/>
              </w:rPr>
              <w:t>Section 6.3</w:t>
            </w:r>
          </w:p>
        </w:tc>
        <w:tc>
          <w:tcPr>
            <w:tcW w:w="129" w:type="dxa"/>
            <w:tcBorders/>
            <w:vAlign w:val="bottom"/>
          </w:tcPr>
          <w:p>
            <w:pPr>
              <w:pStyle w:val="TableContents"/>
              <w:bidi w:val="0"/>
              <w:spacing w:before="0" w:after="283"/>
              <w:jc w:val="left"/>
              <w:rPr/>
            </w:pPr>
            <w:r>
              <w:rPr/>
              <w:t> </w:t>
            </w:r>
          </w:p>
        </w:tc>
        <w:tc>
          <w:tcPr>
            <w:tcW w:w="7929" w:type="dxa"/>
            <w:tcBorders/>
          </w:tcPr>
          <w:p>
            <w:pPr>
              <w:pStyle w:val="TableContents"/>
              <w:bidi w:val="0"/>
              <w:spacing w:before="0" w:after="0"/>
              <w:jc w:val="left"/>
              <w:rPr>
                <w:rFonts w:ascii="Times New Roman" w:hAnsi="Times New Roman"/>
                <w:sz w:val="20"/>
              </w:rPr>
            </w:pPr>
            <w:r>
              <w:rPr>
                <w:rFonts w:ascii="Times New Roman" w:hAnsi="Times New Roman"/>
                <w:sz w:val="20"/>
              </w:rPr>
              <w:t>Covenant Defeasance</w:t>
            </w:r>
          </w:p>
        </w:tc>
        <w:tc>
          <w:tcPr>
            <w:tcW w:w="178"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476"/>
        <w:gridCol w:w="124"/>
        <w:gridCol w:w="8049"/>
        <w:gridCol w:w="167"/>
        <w:gridCol w:w="60"/>
        <w:gridCol w:w="265"/>
        <w:gridCol w:w="64"/>
      </w:tblGrid>
      <w:tr>
        <w:trPr/>
        <w:tc>
          <w:tcPr>
            <w:tcW w:w="147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8049"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9649" w:type="dxa"/>
            <w:gridSpan w:val="3"/>
            <w:tcBorders/>
            <w:vAlign w:val="bottom"/>
          </w:tcPr>
          <w:p>
            <w:pPr>
              <w:pStyle w:val="TableContents"/>
              <w:bidi w:val="0"/>
              <w:spacing w:before="0" w:after="283"/>
              <w:jc w:val="center"/>
              <w:rPr/>
            </w:pPr>
            <w:r>
              <w:rPr/>
              <w:t>ARTICLE 7.</w:t>
            </w:r>
          </w:p>
        </w:tc>
        <w:tc>
          <w:tcPr>
            <w:tcW w:w="167" w:type="dxa"/>
            <w:tcBorders/>
            <w:vAlign w:val="bottom"/>
          </w:tcPr>
          <w:p>
            <w:pPr>
              <w:pStyle w:val="TableContents"/>
              <w:bidi w:val="0"/>
              <w:spacing w:before="0" w:after="283"/>
              <w:jc w:val="left"/>
              <w:rPr/>
            </w:pPr>
            <w:r>
              <w:rPr/>
              <w:t>  </w:t>
            </w:r>
          </w:p>
        </w:tc>
        <w:tc>
          <w:tcPr>
            <w:tcW w:w="325"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r>
      <w:tr>
        <w:trPr/>
        <w:tc>
          <w:tcPr>
            <w:tcW w:w="9649" w:type="dxa"/>
            <w:gridSpan w:val="3"/>
            <w:tcBorders/>
            <w:vAlign w:val="bottom"/>
          </w:tcPr>
          <w:p>
            <w:pPr>
              <w:pStyle w:val="TableContents"/>
              <w:bidi w:val="0"/>
              <w:spacing w:before="0" w:after="283"/>
              <w:jc w:val="center"/>
              <w:rPr/>
            </w:pPr>
            <w:r>
              <w:rPr/>
              <w:t>MISCELLANEOUS</w:t>
            </w:r>
          </w:p>
        </w:tc>
        <w:tc>
          <w:tcPr>
            <w:tcW w:w="167" w:type="dxa"/>
            <w:tcBorders/>
            <w:vAlign w:val="bottom"/>
          </w:tcPr>
          <w:p>
            <w:pPr>
              <w:pStyle w:val="TableContents"/>
              <w:bidi w:val="0"/>
              <w:spacing w:before="0" w:after="283"/>
              <w:jc w:val="left"/>
              <w:rPr/>
            </w:pPr>
            <w:r>
              <w:rPr/>
              <w:t>  </w:t>
            </w:r>
          </w:p>
        </w:tc>
        <w:tc>
          <w:tcPr>
            <w:tcW w:w="325"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r>
      <w:tr>
        <w:trPr>
          <w:trHeight w:val="120" w:hRule="atLeast"/>
        </w:trPr>
        <w:tc>
          <w:tcPr>
            <w:tcW w:w="1476" w:type="dxa"/>
            <w:tcBorders/>
            <w:vAlign w:val="center"/>
          </w:tcPr>
          <w:p>
            <w:pPr>
              <w:pStyle w:val="TableContents"/>
              <w:bidi w:val="0"/>
              <w:spacing w:before="0" w:after="283"/>
              <w:jc w:val="left"/>
              <w:rPr>
                <w:sz w:val="4"/>
                <w:szCs w:val="4"/>
              </w:rPr>
            </w:pPr>
            <w:r>
              <w:rPr>
                <w:sz w:val="4"/>
                <w:szCs w:val="4"/>
              </w:rPr>
            </w:r>
          </w:p>
        </w:tc>
        <w:tc>
          <w:tcPr>
            <w:tcW w:w="8173" w:type="dxa"/>
            <w:gridSpan w:val="2"/>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1476" w:type="dxa"/>
            <w:tcBorders/>
          </w:tcPr>
          <w:p>
            <w:pPr>
              <w:pStyle w:val="TableContents"/>
              <w:bidi w:val="0"/>
              <w:spacing w:before="0" w:after="0"/>
              <w:jc w:val="left"/>
              <w:rPr>
                <w:rFonts w:ascii="Times New Roman" w:hAnsi="Times New Roman"/>
                <w:sz w:val="20"/>
              </w:rPr>
            </w:pPr>
            <w:r>
              <w:rPr>
                <w:rFonts w:ascii="Times New Roman" w:hAnsi="Times New Roman"/>
                <w:sz w:val="20"/>
              </w:rPr>
              <w:t>Section 7.1</w:t>
            </w:r>
          </w:p>
        </w:tc>
        <w:tc>
          <w:tcPr>
            <w:tcW w:w="124" w:type="dxa"/>
            <w:tcBorders/>
            <w:vAlign w:val="bottom"/>
          </w:tcPr>
          <w:p>
            <w:pPr>
              <w:pStyle w:val="TableContents"/>
              <w:bidi w:val="0"/>
              <w:spacing w:before="0" w:after="283"/>
              <w:jc w:val="left"/>
              <w:rPr/>
            </w:pPr>
            <w:r>
              <w:rPr/>
              <w:t> </w:t>
            </w:r>
          </w:p>
        </w:tc>
        <w:tc>
          <w:tcPr>
            <w:tcW w:w="8049" w:type="dxa"/>
            <w:tcBorders/>
          </w:tcPr>
          <w:p>
            <w:pPr>
              <w:pStyle w:val="TableContents"/>
              <w:bidi w:val="0"/>
              <w:spacing w:before="0" w:after="0"/>
              <w:jc w:val="left"/>
              <w:rPr>
                <w:rFonts w:ascii="Times New Roman" w:hAnsi="Times New Roman"/>
                <w:sz w:val="20"/>
              </w:rPr>
            </w:pPr>
            <w:r>
              <w:rPr>
                <w:rFonts w:ascii="Times New Roman" w:hAnsi="Times New Roman"/>
                <w:sz w:val="20"/>
              </w:rPr>
              <w:t>Trust Indenture Act Controls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c>
          <w:tcPr>
            <w:tcW w:w="1476" w:type="dxa"/>
            <w:tcBorders/>
          </w:tcPr>
          <w:p>
            <w:pPr>
              <w:pStyle w:val="TableContents"/>
              <w:bidi w:val="0"/>
              <w:spacing w:before="0" w:after="0"/>
              <w:jc w:val="left"/>
              <w:rPr>
                <w:rFonts w:ascii="Times New Roman" w:hAnsi="Times New Roman"/>
                <w:sz w:val="20"/>
              </w:rPr>
            </w:pPr>
            <w:r>
              <w:rPr>
                <w:rFonts w:ascii="Times New Roman" w:hAnsi="Times New Roman"/>
                <w:sz w:val="20"/>
              </w:rPr>
              <w:t>Section 7.2</w:t>
            </w:r>
          </w:p>
        </w:tc>
        <w:tc>
          <w:tcPr>
            <w:tcW w:w="124" w:type="dxa"/>
            <w:tcBorders/>
            <w:vAlign w:val="bottom"/>
          </w:tcPr>
          <w:p>
            <w:pPr>
              <w:pStyle w:val="TableContents"/>
              <w:bidi w:val="0"/>
              <w:spacing w:before="0" w:after="283"/>
              <w:jc w:val="left"/>
              <w:rPr/>
            </w:pPr>
            <w:r>
              <w:rPr/>
              <w:t> </w:t>
            </w:r>
          </w:p>
        </w:tc>
        <w:tc>
          <w:tcPr>
            <w:tcW w:w="8049" w:type="dxa"/>
            <w:tcBorders/>
          </w:tcPr>
          <w:p>
            <w:pPr>
              <w:pStyle w:val="TableContents"/>
              <w:bidi w:val="0"/>
              <w:spacing w:before="0" w:after="0"/>
              <w:jc w:val="left"/>
              <w:rPr>
                <w:rFonts w:ascii="Times New Roman" w:hAnsi="Times New Roman"/>
                <w:sz w:val="20"/>
              </w:rPr>
            </w:pPr>
            <w:r>
              <w:rPr>
                <w:rFonts w:ascii="Times New Roman" w:hAnsi="Times New Roman"/>
                <w:sz w:val="20"/>
              </w:rPr>
              <w:t>Governing Law</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c>
          <w:tcPr>
            <w:tcW w:w="1476" w:type="dxa"/>
            <w:tcBorders/>
          </w:tcPr>
          <w:p>
            <w:pPr>
              <w:pStyle w:val="TableContents"/>
              <w:bidi w:val="0"/>
              <w:spacing w:before="0" w:after="0"/>
              <w:jc w:val="left"/>
              <w:rPr>
                <w:rFonts w:ascii="Times New Roman" w:hAnsi="Times New Roman"/>
                <w:sz w:val="20"/>
              </w:rPr>
            </w:pPr>
            <w:r>
              <w:rPr>
                <w:rFonts w:ascii="Times New Roman" w:hAnsi="Times New Roman"/>
                <w:sz w:val="20"/>
              </w:rPr>
              <w:t>Section 7.3</w:t>
            </w:r>
          </w:p>
        </w:tc>
        <w:tc>
          <w:tcPr>
            <w:tcW w:w="124" w:type="dxa"/>
            <w:tcBorders/>
            <w:vAlign w:val="bottom"/>
          </w:tcPr>
          <w:p>
            <w:pPr>
              <w:pStyle w:val="TableContents"/>
              <w:bidi w:val="0"/>
              <w:spacing w:before="0" w:after="283"/>
              <w:jc w:val="left"/>
              <w:rPr/>
            </w:pPr>
            <w:r>
              <w:rPr/>
              <w:t> </w:t>
            </w:r>
          </w:p>
        </w:tc>
        <w:tc>
          <w:tcPr>
            <w:tcW w:w="8049" w:type="dxa"/>
            <w:tcBorders/>
          </w:tcPr>
          <w:p>
            <w:pPr>
              <w:pStyle w:val="TableContents"/>
              <w:bidi w:val="0"/>
              <w:spacing w:before="0" w:after="0"/>
              <w:jc w:val="left"/>
              <w:rPr>
                <w:rFonts w:ascii="Times New Roman" w:hAnsi="Times New Roman"/>
                <w:sz w:val="20"/>
              </w:rPr>
            </w:pPr>
            <w:r>
              <w:rPr>
                <w:rFonts w:ascii="Times New Roman" w:hAnsi="Times New Roman"/>
                <w:sz w:val="20"/>
              </w:rPr>
              <w:t>Successors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c>
          <w:tcPr>
            <w:tcW w:w="1476" w:type="dxa"/>
            <w:tcBorders/>
          </w:tcPr>
          <w:p>
            <w:pPr>
              <w:pStyle w:val="TableContents"/>
              <w:bidi w:val="0"/>
              <w:spacing w:before="0" w:after="0"/>
              <w:jc w:val="left"/>
              <w:rPr>
                <w:rFonts w:ascii="Times New Roman" w:hAnsi="Times New Roman"/>
                <w:sz w:val="20"/>
              </w:rPr>
            </w:pPr>
            <w:r>
              <w:rPr>
                <w:rFonts w:ascii="Times New Roman" w:hAnsi="Times New Roman"/>
                <w:sz w:val="20"/>
              </w:rPr>
              <w:t>Section 7.4</w:t>
            </w:r>
          </w:p>
        </w:tc>
        <w:tc>
          <w:tcPr>
            <w:tcW w:w="124" w:type="dxa"/>
            <w:tcBorders/>
            <w:vAlign w:val="bottom"/>
          </w:tcPr>
          <w:p>
            <w:pPr>
              <w:pStyle w:val="TableContents"/>
              <w:bidi w:val="0"/>
              <w:spacing w:before="0" w:after="283"/>
              <w:jc w:val="left"/>
              <w:rPr/>
            </w:pPr>
            <w:r>
              <w:rPr/>
              <w:t> </w:t>
            </w:r>
          </w:p>
        </w:tc>
        <w:tc>
          <w:tcPr>
            <w:tcW w:w="8049" w:type="dxa"/>
            <w:tcBorders/>
          </w:tcPr>
          <w:p>
            <w:pPr>
              <w:pStyle w:val="TableContents"/>
              <w:bidi w:val="0"/>
              <w:spacing w:before="0" w:after="0"/>
              <w:jc w:val="left"/>
              <w:rPr>
                <w:rFonts w:ascii="Times New Roman" w:hAnsi="Times New Roman"/>
                <w:sz w:val="20"/>
              </w:rPr>
            </w:pPr>
            <w:r>
              <w:rPr>
                <w:rFonts w:ascii="Times New Roman" w:hAnsi="Times New Roman"/>
                <w:sz w:val="20"/>
              </w:rPr>
              <w:t>Severability</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c>
          <w:tcPr>
            <w:tcW w:w="1476" w:type="dxa"/>
            <w:tcBorders/>
          </w:tcPr>
          <w:p>
            <w:pPr>
              <w:pStyle w:val="TableContents"/>
              <w:bidi w:val="0"/>
              <w:spacing w:before="0" w:after="0"/>
              <w:jc w:val="left"/>
              <w:rPr>
                <w:rFonts w:ascii="Times New Roman" w:hAnsi="Times New Roman"/>
                <w:sz w:val="20"/>
              </w:rPr>
            </w:pPr>
            <w:r>
              <w:rPr>
                <w:rFonts w:ascii="Times New Roman" w:hAnsi="Times New Roman"/>
                <w:sz w:val="20"/>
              </w:rPr>
              <w:t>Section 7.5</w:t>
            </w:r>
          </w:p>
        </w:tc>
        <w:tc>
          <w:tcPr>
            <w:tcW w:w="124" w:type="dxa"/>
            <w:tcBorders/>
            <w:vAlign w:val="bottom"/>
          </w:tcPr>
          <w:p>
            <w:pPr>
              <w:pStyle w:val="TableContents"/>
              <w:bidi w:val="0"/>
              <w:spacing w:before="0" w:after="283"/>
              <w:jc w:val="left"/>
              <w:rPr/>
            </w:pPr>
            <w:r>
              <w:rPr/>
              <w:t> </w:t>
            </w:r>
          </w:p>
        </w:tc>
        <w:tc>
          <w:tcPr>
            <w:tcW w:w="8049" w:type="dxa"/>
            <w:tcBorders/>
          </w:tcPr>
          <w:p>
            <w:pPr>
              <w:pStyle w:val="TableContents"/>
              <w:bidi w:val="0"/>
              <w:spacing w:before="0" w:after="0"/>
              <w:jc w:val="left"/>
              <w:rPr>
                <w:rFonts w:ascii="Times New Roman" w:hAnsi="Times New Roman"/>
                <w:sz w:val="20"/>
              </w:rPr>
            </w:pPr>
            <w:r>
              <w:rPr>
                <w:rFonts w:ascii="Times New Roman" w:hAnsi="Times New Roman"/>
                <w:sz w:val="20"/>
              </w:rPr>
              <w:t>Counterpart Originals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c>
          <w:tcPr>
            <w:tcW w:w="1476" w:type="dxa"/>
            <w:tcBorders/>
          </w:tcPr>
          <w:p>
            <w:pPr>
              <w:pStyle w:val="TableContents"/>
              <w:bidi w:val="0"/>
              <w:spacing w:before="0" w:after="0"/>
              <w:jc w:val="left"/>
              <w:rPr>
                <w:rFonts w:ascii="Times New Roman" w:hAnsi="Times New Roman"/>
                <w:sz w:val="20"/>
              </w:rPr>
            </w:pPr>
            <w:r>
              <w:rPr>
                <w:rFonts w:ascii="Times New Roman" w:hAnsi="Times New Roman"/>
                <w:sz w:val="20"/>
              </w:rPr>
              <w:t>Section 7.6</w:t>
            </w:r>
          </w:p>
        </w:tc>
        <w:tc>
          <w:tcPr>
            <w:tcW w:w="124" w:type="dxa"/>
            <w:tcBorders/>
            <w:vAlign w:val="bottom"/>
          </w:tcPr>
          <w:p>
            <w:pPr>
              <w:pStyle w:val="TableContents"/>
              <w:bidi w:val="0"/>
              <w:spacing w:before="0" w:after="283"/>
              <w:jc w:val="left"/>
              <w:rPr/>
            </w:pPr>
            <w:r>
              <w:rPr/>
              <w:t> </w:t>
            </w:r>
          </w:p>
        </w:tc>
        <w:tc>
          <w:tcPr>
            <w:tcW w:w="8049" w:type="dxa"/>
            <w:tcBorders/>
          </w:tcPr>
          <w:p>
            <w:pPr>
              <w:pStyle w:val="TableContents"/>
              <w:bidi w:val="0"/>
              <w:spacing w:before="0" w:after="0"/>
              <w:jc w:val="left"/>
              <w:rPr>
                <w:rFonts w:ascii="Times New Roman" w:hAnsi="Times New Roman"/>
                <w:sz w:val="20"/>
              </w:rPr>
            </w:pPr>
            <w:r>
              <w:rPr>
                <w:rFonts w:ascii="Times New Roman" w:hAnsi="Times New Roman"/>
                <w:sz w:val="20"/>
              </w:rPr>
              <w:t>Table of Contents, Headings, Etc.</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c>
          <w:tcPr>
            <w:tcW w:w="1476" w:type="dxa"/>
            <w:tcBorders/>
          </w:tcPr>
          <w:p>
            <w:pPr>
              <w:pStyle w:val="TableContents"/>
              <w:bidi w:val="0"/>
              <w:spacing w:before="0" w:after="0"/>
              <w:jc w:val="left"/>
              <w:rPr>
                <w:rFonts w:ascii="Times New Roman" w:hAnsi="Times New Roman"/>
                <w:sz w:val="20"/>
              </w:rPr>
            </w:pPr>
            <w:r>
              <w:rPr>
                <w:rFonts w:ascii="Times New Roman" w:hAnsi="Times New Roman"/>
                <w:sz w:val="20"/>
              </w:rPr>
              <w:t>Section 7.7</w:t>
            </w:r>
          </w:p>
        </w:tc>
        <w:tc>
          <w:tcPr>
            <w:tcW w:w="124" w:type="dxa"/>
            <w:tcBorders/>
            <w:vAlign w:val="bottom"/>
          </w:tcPr>
          <w:p>
            <w:pPr>
              <w:pStyle w:val="TableContents"/>
              <w:bidi w:val="0"/>
              <w:spacing w:before="0" w:after="283"/>
              <w:jc w:val="left"/>
              <w:rPr/>
            </w:pPr>
            <w:r>
              <w:rPr/>
              <w:t> </w:t>
            </w:r>
          </w:p>
        </w:tc>
        <w:tc>
          <w:tcPr>
            <w:tcW w:w="8049" w:type="dxa"/>
            <w:tcBorders/>
          </w:tcPr>
          <w:p>
            <w:pPr>
              <w:pStyle w:val="TableContents"/>
              <w:bidi w:val="0"/>
              <w:spacing w:before="0" w:after="0"/>
              <w:jc w:val="left"/>
              <w:rPr>
                <w:rFonts w:ascii="Times New Roman" w:hAnsi="Times New Roman"/>
                <w:sz w:val="20"/>
              </w:rPr>
            </w:pPr>
            <w:r>
              <w:rPr>
                <w:rFonts w:ascii="Times New Roman" w:hAnsi="Times New Roman"/>
                <w:sz w:val="20"/>
              </w:rPr>
              <w:t>Jury Trial</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c>
          <w:tcPr>
            <w:tcW w:w="1476" w:type="dxa"/>
            <w:tcBorders/>
          </w:tcPr>
          <w:p>
            <w:pPr>
              <w:pStyle w:val="TableContents"/>
              <w:bidi w:val="0"/>
              <w:spacing w:before="0" w:after="0"/>
              <w:jc w:val="left"/>
              <w:rPr>
                <w:rFonts w:ascii="Times New Roman" w:hAnsi="Times New Roman"/>
                <w:sz w:val="20"/>
              </w:rPr>
            </w:pPr>
            <w:r>
              <w:rPr>
                <w:rFonts w:ascii="Times New Roman" w:hAnsi="Times New Roman"/>
                <w:sz w:val="20"/>
              </w:rPr>
              <w:t>Section 7.8</w:t>
            </w:r>
          </w:p>
        </w:tc>
        <w:tc>
          <w:tcPr>
            <w:tcW w:w="124" w:type="dxa"/>
            <w:tcBorders/>
            <w:vAlign w:val="bottom"/>
          </w:tcPr>
          <w:p>
            <w:pPr>
              <w:pStyle w:val="TableContents"/>
              <w:bidi w:val="0"/>
              <w:spacing w:before="0" w:after="283"/>
              <w:jc w:val="left"/>
              <w:rPr/>
            </w:pPr>
            <w:r>
              <w:rPr/>
              <w:t> </w:t>
            </w:r>
          </w:p>
        </w:tc>
        <w:tc>
          <w:tcPr>
            <w:tcW w:w="8049" w:type="dxa"/>
            <w:tcBorders/>
          </w:tcPr>
          <w:p>
            <w:pPr>
              <w:pStyle w:val="TableContents"/>
              <w:bidi w:val="0"/>
              <w:spacing w:before="0" w:after="0"/>
              <w:jc w:val="left"/>
              <w:rPr>
                <w:rFonts w:ascii="Times New Roman" w:hAnsi="Times New Roman"/>
                <w:sz w:val="20"/>
              </w:rPr>
            </w:pPr>
            <w:r>
              <w:rPr>
                <w:rFonts w:ascii="Times New Roman" w:hAnsi="Times New Roman"/>
                <w:sz w:val="20"/>
              </w:rPr>
              <w:t>Interpretation</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c>
          <w:tcPr>
            <w:tcW w:w="1476" w:type="dxa"/>
            <w:tcBorders/>
          </w:tcPr>
          <w:p>
            <w:pPr>
              <w:pStyle w:val="TableContents"/>
              <w:bidi w:val="0"/>
              <w:spacing w:before="0" w:after="0"/>
              <w:jc w:val="left"/>
              <w:rPr>
                <w:rFonts w:ascii="Times New Roman" w:hAnsi="Times New Roman"/>
                <w:sz w:val="20"/>
              </w:rPr>
            </w:pPr>
            <w:r>
              <w:rPr>
                <w:rFonts w:ascii="Times New Roman" w:hAnsi="Times New Roman"/>
                <w:sz w:val="20"/>
              </w:rPr>
              <w:t>Section 7.9</w:t>
            </w:r>
          </w:p>
        </w:tc>
        <w:tc>
          <w:tcPr>
            <w:tcW w:w="124" w:type="dxa"/>
            <w:tcBorders/>
            <w:vAlign w:val="bottom"/>
          </w:tcPr>
          <w:p>
            <w:pPr>
              <w:pStyle w:val="TableContents"/>
              <w:bidi w:val="0"/>
              <w:spacing w:before="0" w:after="283"/>
              <w:jc w:val="left"/>
              <w:rPr/>
            </w:pPr>
            <w:r>
              <w:rPr/>
              <w:t> </w:t>
            </w:r>
          </w:p>
        </w:tc>
        <w:tc>
          <w:tcPr>
            <w:tcW w:w="8049" w:type="dxa"/>
            <w:tcBorders/>
          </w:tcPr>
          <w:p>
            <w:pPr>
              <w:pStyle w:val="TableContents"/>
              <w:bidi w:val="0"/>
              <w:spacing w:before="0" w:after="0"/>
              <w:jc w:val="left"/>
              <w:rPr>
                <w:rFonts w:ascii="Times New Roman" w:hAnsi="Times New Roman"/>
                <w:sz w:val="20"/>
              </w:rPr>
            </w:pPr>
            <w:r>
              <w:rPr>
                <w:rFonts w:ascii="Times New Roman" w:hAnsi="Times New Roman"/>
                <w:sz w:val="20"/>
              </w:rPr>
              <w:t>Instruction by Electronic Means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c>
          <w:tcPr>
            <w:tcW w:w="1476"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124" w:type="dxa"/>
            <w:tcBorders/>
            <w:vAlign w:val="bottom"/>
          </w:tcPr>
          <w:p>
            <w:pPr>
              <w:pStyle w:val="TableContents"/>
              <w:bidi w:val="0"/>
              <w:spacing w:before="0" w:after="283"/>
              <w:jc w:val="left"/>
              <w:rPr/>
            </w:pPr>
            <w:r>
              <w:rPr/>
              <w:t> </w:t>
            </w:r>
          </w:p>
        </w:tc>
        <w:tc>
          <w:tcPr>
            <w:tcW w:w="8049" w:type="dxa"/>
            <w:tcBorders/>
          </w:tcPr>
          <w:p>
            <w:pPr>
              <w:pStyle w:val="TableContents"/>
              <w:bidi w:val="0"/>
              <w:spacing w:before="0" w:after="0"/>
              <w:jc w:val="left"/>
              <w:rPr>
                <w:rFonts w:ascii="Times New Roman" w:hAnsi="Times New Roman"/>
                <w:sz w:val="20"/>
              </w:rPr>
            </w:pPr>
            <w:r>
              <w:rPr>
                <w:rFonts w:ascii="Times New Roman" w:hAnsi="Times New Roman"/>
                <w:sz w:val="20"/>
              </w:rPr>
              <w:t>Miscellaneous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c>
          <w:tcPr>
            <w:tcW w:w="9649"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Exhibit A FORM OF 2029 NOTE</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9649"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Exhibit B FORM OF 2031 NOTE</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9649"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Exhibit C FORM OF 2033 NOTE</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9649"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Exhibit D FORM OF 2036 NOTE</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SUPPLEMENTAL INDENTURE dated as of September 17, 2026, by and between Analog Devices, Inc., a Massachusetts corporation (the “</w:t>
      </w:r>
      <w:r>
        <w:rPr>
          <w:rFonts w:ascii="Times New Roman" w:hAnsi="Times New Roman"/>
          <w:b/>
          <w:i/>
          <w:sz w:val="20"/>
        </w:rPr>
        <w:t>Company</w:t>
      </w:r>
      <w:r>
        <w:rPr>
          <w:rFonts w:ascii="Times New Roman" w:hAnsi="Times New Roman"/>
          <w:sz w:val="20"/>
        </w:rPr>
        <w:t>”), and The Bank of New York Mellon Trust Company, N.A., a national banking association, as trustee (the “</w:t>
      </w:r>
      <w:r>
        <w:rPr>
          <w:rFonts w:ascii="Times New Roman" w:hAnsi="Times New Roman"/>
          <w:b/>
          <w:i/>
          <w:sz w:val="20"/>
        </w:rPr>
        <w:t>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has heretofore executed and delivered to the Trustee an indenture, dated as of June 3, 2013 (the “</w:t>
      </w:r>
      <w:r>
        <w:rPr>
          <w:rFonts w:ascii="Times New Roman" w:hAnsi="Times New Roman"/>
          <w:b/>
          <w:i/>
          <w:sz w:val="20"/>
        </w:rPr>
        <w:t>Base Indenture</w:t>
      </w:r>
      <w:r>
        <w:rPr>
          <w:rFonts w:ascii="Times New Roman" w:hAnsi="Times New Roman"/>
          <w:sz w:val="20"/>
        </w:rPr>
        <w:t xml:space="preserve">”), providing for the issuance from time to time of one or more Series of the Company’s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9.1 of the Base Indenture provides that the Company and the Trustee, without the consent of any holders of the Company’s Securities, from time to time may amend or supplement certain terms and conditions in the Base Indenture, including to provide for the issuance of and establishment of terms of a Series of Securities as permitted by Sections 2.1 and 2.2 thereof. </w:t>
      </w:r>
    </w:p>
    <w:p>
      <w:pPr>
        <w:pStyle w:val="TextBody"/>
        <w:bidi w:val="0"/>
        <w:spacing w:before="240" w:after="0"/>
        <w:jc w:val="left"/>
        <w:rPr>
          <w:rFonts w:ascii="Times New Roman" w:hAnsi="Times New Roman"/>
          <w:sz w:val="20"/>
        </w:rPr>
      </w:pPr>
      <w:r>
        <w:rPr>
          <w:rFonts w:ascii="Times New Roman" w:hAnsi="Times New Roman"/>
          <w:sz w:val="20"/>
        </w:rPr>
        <w:t>The Company desires and has requested the Trustee pursuant to Section 9.1 of the Base Indenture to join with it in the execution and delivery of this Supplemental Indenture (together with the Base Indenture, the “</w:t>
      </w:r>
      <w:r>
        <w:rPr>
          <w:rFonts w:ascii="Times New Roman" w:hAnsi="Times New Roman"/>
          <w:b/>
          <w:i/>
          <w:sz w:val="20"/>
        </w:rPr>
        <w:t>Indenture</w:t>
      </w:r>
      <w:r>
        <w:rPr>
          <w:rFonts w:ascii="Times New Roman" w:hAnsi="Times New Roman"/>
          <w:sz w:val="20"/>
        </w:rPr>
        <w:t xml:space="preserve">”) in order to supplement the Base Indenture as, and to the extent, set forth herein to provide for the issuance of and establish the forms and terms and conditions of the Notes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The execution and delivery of this Supplemental Indenture has been duly authorized by votes of the Board of Directors or a duly authorized committee thereof. </w:t>
      </w:r>
    </w:p>
    <w:p>
      <w:pPr>
        <w:pStyle w:val="TextBody"/>
        <w:bidi w:val="0"/>
        <w:spacing w:before="240" w:after="0"/>
        <w:jc w:val="left"/>
        <w:rPr>
          <w:rFonts w:ascii="Times New Roman" w:hAnsi="Times New Roman"/>
          <w:sz w:val="20"/>
        </w:rPr>
      </w:pPr>
      <w:r>
        <w:rPr>
          <w:rFonts w:ascii="Times New Roman" w:hAnsi="Times New Roman"/>
          <w:sz w:val="20"/>
        </w:rPr>
        <w:t xml:space="preserve">All conditions and requirements necessary to make this Supplemental Indenture a valid, binding and legal instrument in accordance with its terms have been performed and fulfilled by the parties hereto and the execution and delivery thereof have been in all respects duly authorized by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the Trustee agree as follows for the benefit of each other and for the equal and ratable benefit of the Holders (as defined herein) of the 5.100% Senior Notes due September 15, 2029, the 5.350% Senior Notes due October 1, 2031, the 5.600% Senior Notes due October 1, 2033 and the 5.750% Senior Notes due October 1, 2036: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AND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i/>
          <w:sz w:val="20"/>
        </w:rPr>
        <w:t>Relationship with Base 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terms and provisions contained in the Base Indenture will constitute, and are hereby expressly made, a part of this Supplemental Indenture and the Company and the Trustee, by their execution and delivery of this Supplemental Indenture, expressly agree to such terms and provisions and to be bound thereby. However, to the extent any provision of the Base Indenture conflicts with the express provisions of this Supplemental Indenture, the provisions of this Supplemental Indenture will govern and be controlling.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Trustee accepts the amendment of the Base Indenture effected by this Supplemental Indenture and agrees to execute the trust created by the Base Indenture as hereby amended, but only upon the terms and conditions set forth in this Supplemental Indenture, including the terms and provisions defining and limiting the liabilities and responsibilities of the Trustee in the performance of the trust created by the Base Indenture, and without limiting the generality of the foregoing, the Trustee will not be responsible in any manner whatsoever for, or with respect to, any of the recitals or statements contained herein, all of which recitals or statements are made solely by the Company, or for, or with respect to, (1) the proper authorization of this Supplemental Indenture by the Company, (2) the due execution hereof by the Company or (3) the consequences (direct or indirect and whether deliberate or inadvertent) of any amendment herein provided for, and the Trustee makes no representation with respect to any such matters. </w:t>
      </w:r>
    </w:p>
    <w:p>
      <w:pPr>
        <w:pStyle w:val="TextBody"/>
        <w:bidi w:val="0"/>
        <w:spacing w:before="240" w:after="0"/>
        <w:jc w:val="left"/>
        <w:rPr>
          <w:rFonts w:ascii="Times New Roman" w:hAnsi="Times New Roman"/>
          <w:sz w:val="20"/>
        </w:rPr>
      </w:pPr>
      <w:r>
        <w:rPr>
          <w:rFonts w:ascii="Times New Roman" w:hAnsi="Times New Roman"/>
          <w:sz w:val="20"/>
        </w:rPr>
        <w:t xml:space="preserve">Further, the Trustee shall not be responsible or liable for any failure or delay in the performance of its obligations under this Supplemental Indenture arising out of or caused, directly or indirectly, by circumstances beyond its reasonable control, including acts of God; earthquakes; fires; floods; wars; civil or military disturbances; sabotage; epidemics; riots; interruptions, loss or malfunctions of utilities, computer (hardware or software) or communications service; accidents; labor disputes; acts of civil or military authority or governmental actions; it being understood that the Trustee shall use its best efforts to resume performance as soon as practicable under the circumstances.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i/>
          <w:sz w:val="20"/>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herein without definition shall have the respective meanings set forth in the Base Indenture. The following terms have the meanings given to them in this Section 1.2: </w:t>
      </w:r>
    </w:p>
    <w:p>
      <w:pPr>
        <w:pStyle w:val="TextBody"/>
        <w:bidi w:val="0"/>
        <w:spacing w:before="240" w:after="0"/>
        <w:jc w:val="left"/>
        <w:rPr/>
      </w:pPr>
      <w:r>
        <w:rPr/>
        <w:t>“</w:t>
      </w:r>
      <w:r>
        <w:rPr>
          <w:rFonts w:ascii="Times New Roman" w:hAnsi="Times New Roman"/>
          <w:b/>
          <w:i/>
          <w:sz w:val="20"/>
        </w:rPr>
        <w:t>2029 Notes</w:t>
      </w:r>
      <w:r>
        <w:rPr>
          <w:rFonts w:ascii="Times New Roman" w:hAnsi="Times New Roman"/>
          <w:sz w:val="20"/>
        </w:rPr>
        <w:t>” means the 5.100% Senior Notes due September 15, 2029; </w:t>
      </w:r>
      <w:r>
        <w:rPr>
          <w:rFonts w:ascii="Times New Roman" w:hAnsi="Times New Roman"/>
          <w:i/>
          <w:sz w:val="20"/>
        </w:rPr>
        <w:t>provided</w:t>
      </w:r>
      <w:r>
        <w:rPr>
          <w:rFonts w:ascii="Times New Roman" w:hAnsi="Times New Roman"/>
          <w:sz w:val="20"/>
        </w:rPr>
        <w:t xml:space="preserve"> that the Initial 2029 Notes and the Additional 2029 Notes, if any, will be treated as a single Series for all purposes under this Supplemental Indenture, and unless the context otherwise requires, all references to the 2029 Notes will include the Initial 2029 Notes and any Additional 2029 Notes. </w:t>
      </w:r>
    </w:p>
    <w:p>
      <w:pPr>
        <w:pStyle w:val="TextBody"/>
        <w:bidi w:val="0"/>
        <w:spacing w:before="240" w:after="0"/>
        <w:jc w:val="left"/>
        <w:rPr/>
      </w:pPr>
      <w:r>
        <w:rPr/>
        <w:t>“</w:t>
      </w:r>
      <w:r>
        <w:rPr>
          <w:rFonts w:ascii="Times New Roman" w:hAnsi="Times New Roman"/>
          <w:b/>
          <w:i/>
          <w:sz w:val="20"/>
        </w:rPr>
        <w:t>2031 Notes</w:t>
      </w:r>
      <w:r>
        <w:rPr>
          <w:rFonts w:ascii="Times New Roman" w:hAnsi="Times New Roman"/>
          <w:sz w:val="20"/>
        </w:rPr>
        <w:t>” means the 5.350% Senior Notes due October 1, 2031; </w:t>
      </w:r>
      <w:r>
        <w:rPr>
          <w:rFonts w:ascii="Times New Roman" w:hAnsi="Times New Roman"/>
          <w:i/>
          <w:sz w:val="20"/>
        </w:rPr>
        <w:t>provided</w:t>
      </w:r>
      <w:r>
        <w:rPr>
          <w:rFonts w:ascii="Times New Roman" w:hAnsi="Times New Roman"/>
          <w:sz w:val="20"/>
        </w:rPr>
        <w:t xml:space="preserve"> that the Initial 2031 Notes and the Additional 2031 Notes, if any, will be treated as a single Series for all purposes under this Supplemental Indenture, and unless the context otherwise requires, all references to the 2031 Notes will include the Initial 2031 Notes and any Additional 2031 Notes. </w:t>
      </w:r>
    </w:p>
    <w:p>
      <w:pPr>
        <w:pStyle w:val="TextBody"/>
        <w:bidi w:val="0"/>
        <w:spacing w:before="240" w:after="0"/>
        <w:jc w:val="left"/>
        <w:rPr/>
      </w:pPr>
      <w:r>
        <w:rPr/>
        <w:t>“</w:t>
      </w:r>
      <w:r>
        <w:rPr>
          <w:rFonts w:ascii="Times New Roman" w:hAnsi="Times New Roman"/>
          <w:b/>
          <w:i/>
          <w:sz w:val="20"/>
        </w:rPr>
        <w:t>2033 Notes</w:t>
      </w:r>
      <w:r>
        <w:rPr>
          <w:rFonts w:ascii="Times New Roman" w:hAnsi="Times New Roman"/>
          <w:sz w:val="20"/>
        </w:rPr>
        <w:t>” means the 5.600% Senior Notes due October 1, 2033; </w:t>
      </w:r>
      <w:r>
        <w:rPr>
          <w:rFonts w:ascii="Times New Roman" w:hAnsi="Times New Roman"/>
          <w:i/>
          <w:sz w:val="20"/>
        </w:rPr>
        <w:t>provided</w:t>
      </w:r>
      <w:r>
        <w:rPr>
          <w:rFonts w:ascii="Times New Roman" w:hAnsi="Times New Roman"/>
          <w:sz w:val="20"/>
        </w:rPr>
        <w:t xml:space="preserve"> that the Initial 2033 Notes and the Additional 2033 Notes, if any, will be treated as a single Series for all purposes under this Supplemental Indenture, and unless the context otherwise requires, all references to the 2033 Notes will include the Initial 2033 Notes and any Additional 2033 Notes. </w:t>
      </w:r>
    </w:p>
    <w:p>
      <w:pPr>
        <w:pStyle w:val="TextBody"/>
        <w:bidi w:val="0"/>
        <w:spacing w:before="240" w:after="0"/>
        <w:jc w:val="left"/>
        <w:rPr/>
      </w:pPr>
      <w:r>
        <w:rPr/>
        <w:t>“</w:t>
      </w:r>
      <w:r>
        <w:rPr>
          <w:rFonts w:ascii="Times New Roman" w:hAnsi="Times New Roman"/>
          <w:b/>
          <w:i/>
          <w:sz w:val="20"/>
        </w:rPr>
        <w:t>2036 Notes</w:t>
      </w:r>
      <w:r>
        <w:rPr>
          <w:rFonts w:ascii="Times New Roman" w:hAnsi="Times New Roman"/>
          <w:sz w:val="20"/>
        </w:rPr>
        <w:t>” means the 5.750% Senior Notes due October 1, 2036; </w:t>
      </w:r>
      <w:r>
        <w:rPr>
          <w:rFonts w:ascii="Times New Roman" w:hAnsi="Times New Roman"/>
          <w:i/>
          <w:sz w:val="20"/>
        </w:rPr>
        <w:t>provided</w:t>
      </w:r>
      <w:r>
        <w:rPr>
          <w:rFonts w:ascii="Times New Roman" w:hAnsi="Times New Roman"/>
          <w:sz w:val="20"/>
        </w:rPr>
        <w:t xml:space="preserve"> that the Initial 2036 Notes and the Additional 2036 Notes, if any, will be treated as a single Series for all purposes under this Supplemental Indenture, and unless the context otherwise requires, all references to the 2036 Notes will include the Initial 2036 Notes and any Additional 2036 Notes. </w:t>
      </w:r>
    </w:p>
    <w:p>
      <w:pPr>
        <w:pStyle w:val="TextBody"/>
        <w:bidi w:val="0"/>
        <w:spacing w:before="240" w:after="0"/>
        <w:jc w:val="left"/>
        <w:rPr/>
      </w:pPr>
      <w:r>
        <w:rPr/>
        <w:t>“</w:t>
      </w:r>
      <w:r>
        <w:rPr>
          <w:rFonts w:ascii="Times New Roman" w:hAnsi="Times New Roman"/>
          <w:b/>
          <w:i/>
          <w:sz w:val="20"/>
        </w:rPr>
        <w:t>Additional 2029 Notes</w:t>
      </w:r>
      <w:r>
        <w:rPr>
          <w:rFonts w:ascii="Times New Roman" w:hAnsi="Times New Roman"/>
          <w:sz w:val="20"/>
        </w:rPr>
        <w:t xml:space="preserve">” means any 2029 Notes (other than the Initial 2029 Notes) issued under this Supplemental Indenture in accordance with Section 2.3 hereof, as part of the same Series as the Initial 2029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Additional 2031 Notes</w:t>
      </w:r>
      <w:r>
        <w:rPr>
          <w:rFonts w:ascii="Times New Roman" w:hAnsi="Times New Roman"/>
          <w:sz w:val="20"/>
        </w:rPr>
        <w:t xml:space="preserve">” means any 2031 Notes (other than the Initial 2031 Notes) issued under this Supplemental Indenture in accordance with Section 2.3 hereof, as part of the same Series as the Initial 2031 Notes. </w:t>
      </w:r>
    </w:p>
    <w:p>
      <w:pPr>
        <w:pStyle w:val="TextBody"/>
        <w:bidi w:val="0"/>
        <w:spacing w:before="240" w:after="0"/>
        <w:jc w:val="left"/>
        <w:rPr/>
      </w:pPr>
      <w:r>
        <w:rPr/>
        <w:t>“</w:t>
      </w:r>
      <w:r>
        <w:rPr>
          <w:rFonts w:ascii="Times New Roman" w:hAnsi="Times New Roman"/>
          <w:b/>
          <w:i/>
          <w:sz w:val="20"/>
        </w:rPr>
        <w:t>Additional 2033 Notes</w:t>
      </w:r>
      <w:r>
        <w:rPr>
          <w:rFonts w:ascii="Times New Roman" w:hAnsi="Times New Roman"/>
          <w:sz w:val="20"/>
        </w:rPr>
        <w:t xml:space="preserve">” means any 2033 Notes (other than the Initial 2033 Notes) issued under this Supplemental Indenture in accordance with Section 2.3 hereof, as part of the same Series as the Initial 2033 Notes. </w:t>
      </w:r>
    </w:p>
    <w:p>
      <w:pPr>
        <w:pStyle w:val="TextBody"/>
        <w:bidi w:val="0"/>
        <w:spacing w:before="240" w:after="0"/>
        <w:jc w:val="left"/>
        <w:rPr/>
      </w:pPr>
      <w:r>
        <w:rPr/>
        <w:t>“</w:t>
      </w:r>
      <w:r>
        <w:rPr>
          <w:rFonts w:ascii="Times New Roman" w:hAnsi="Times New Roman"/>
          <w:b/>
          <w:i/>
          <w:sz w:val="20"/>
        </w:rPr>
        <w:t>Additional 2036 Notes</w:t>
      </w:r>
      <w:r>
        <w:rPr>
          <w:rFonts w:ascii="Times New Roman" w:hAnsi="Times New Roman"/>
          <w:sz w:val="20"/>
        </w:rPr>
        <w:t xml:space="preserve">” means any 2036 Notes (other than the Initial 2036 Notes) issued under this Supplemental Indenture in accordance with Section 2.3 hereof, as part of the same Series as the Initial 2036 Notes. </w:t>
      </w:r>
    </w:p>
    <w:p>
      <w:pPr>
        <w:pStyle w:val="TextBody"/>
        <w:bidi w:val="0"/>
        <w:spacing w:before="240" w:after="0"/>
        <w:jc w:val="left"/>
        <w:rPr/>
      </w:pPr>
      <w:r>
        <w:rPr/>
        <w:t>“</w:t>
      </w:r>
      <w:r>
        <w:rPr>
          <w:rFonts w:ascii="Times New Roman" w:hAnsi="Times New Roman"/>
          <w:b/>
          <w:i/>
          <w:sz w:val="20"/>
        </w:rPr>
        <w:t>Additional Notes</w:t>
      </w:r>
      <w:r>
        <w:rPr>
          <w:rFonts w:ascii="Times New Roman" w:hAnsi="Times New Roman"/>
          <w:sz w:val="20"/>
        </w:rPr>
        <w:t xml:space="preserve">” means any Additional 2029 Notes, any Additional 2031 Notes, any Additional 2033 Notes and any Additional 2036 Notes, as applicable. </w:t>
      </w:r>
    </w:p>
    <w:p>
      <w:pPr>
        <w:pStyle w:val="TextBody"/>
        <w:bidi w:val="0"/>
        <w:spacing w:before="240" w:after="0"/>
        <w:jc w:val="left"/>
        <w:rPr/>
      </w:pPr>
      <w:r>
        <w:rPr/>
        <w:t>“</w:t>
      </w:r>
      <w:r>
        <w:rPr>
          <w:rFonts w:ascii="Times New Roman" w:hAnsi="Times New Roman"/>
          <w:b/>
          <w:i/>
          <w:sz w:val="20"/>
        </w:rPr>
        <w:t>Applicable Procedures</w:t>
      </w:r>
      <w:r>
        <w:rPr>
          <w:rFonts w:ascii="Times New Roman" w:hAnsi="Times New Roman"/>
          <w:sz w:val="20"/>
        </w:rPr>
        <w:t xml:space="preserve">” means, with respect to any transfer or exchange of or for beneficial interests in any Global Note, the rules and procedures established by and customary for the Depositary that apply to such transfer or exchange. </w:t>
      </w:r>
    </w:p>
    <w:p>
      <w:pPr>
        <w:pStyle w:val="TextBody"/>
        <w:bidi w:val="0"/>
        <w:spacing w:before="240" w:after="0"/>
        <w:jc w:val="left"/>
        <w:rPr/>
      </w:pPr>
      <w:r>
        <w:rPr/>
        <w:t>“</w:t>
      </w:r>
      <w:r>
        <w:rPr>
          <w:rFonts w:ascii="Times New Roman" w:hAnsi="Times New Roman"/>
          <w:b/>
          <w:i/>
          <w:sz w:val="20"/>
        </w:rPr>
        <w:t>Attributable Debt</w:t>
      </w:r>
      <w:r>
        <w:rPr>
          <w:rFonts w:ascii="Times New Roman" w:hAnsi="Times New Roman"/>
          <w:sz w:val="20"/>
        </w:rPr>
        <w:t xml:space="preserve">” with regard to a Sale and Lease Back Transaction with respect to any Principal Property means, at the time of determination, the lesser of (i) the fair market value of the Principal Property subject to the Sale and Lease Back Transaction or (ii) the present value (discounted by the weighted average interest rate borne by all securities then outstanding under the Base Indenture at the time of determination compounded semiannually) of the total obligations of the lessee for rental payments (other than amounts required to be paid on account of property taxes as well as maintenance, repairs, insurance, water rates and other items which do not constitute payments for property rights) during the remaining portion of the base term of the lease included in such Sale and Lease Back Transaction. </w:t>
      </w:r>
    </w:p>
    <w:p>
      <w:pPr>
        <w:pStyle w:val="TextBody"/>
        <w:bidi w:val="0"/>
        <w:spacing w:before="240" w:after="0"/>
        <w:jc w:val="left"/>
        <w:rPr/>
      </w:pPr>
      <w:r>
        <w:rPr/>
        <w:t>“</w:t>
      </w:r>
      <w:r>
        <w:rPr>
          <w:rFonts w:ascii="Times New Roman" w:hAnsi="Times New Roman"/>
          <w:b/>
          <w:i/>
          <w:sz w:val="20"/>
        </w:rPr>
        <w:t>Base Indenture</w:t>
      </w:r>
      <w:r>
        <w:rPr>
          <w:rFonts w:ascii="Times New Roman" w:hAnsi="Times New Roman"/>
          <w:sz w:val="20"/>
        </w:rPr>
        <w:t xml:space="preserve">” has the meaning set forth in the preamble to this Supplemental Indenture, as it may be amended, supplemented or otherwise modified from time to time in accordance with the terms thereof. </w:t>
      </w:r>
    </w:p>
    <w:p>
      <w:pPr>
        <w:pStyle w:val="TextBody"/>
        <w:bidi w:val="0"/>
        <w:spacing w:before="240" w:after="0"/>
        <w:jc w:val="left"/>
        <w:rPr/>
      </w:pPr>
      <w:r>
        <w:rPr/>
        <w:t>“</w:t>
      </w:r>
      <w:r>
        <w:rPr>
          <w:rFonts w:ascii="Times New Roman" w:hAnsi="Times New Roman"/>
          <w:b/>
          <w:i/>
          <w:sz w:val="20"/>
        </w:rPr>
        <w:t>Below Investment Grade Rating Event</w:t>
      </w:r>
      <w:r>
        <w:rPr>
          <w:rFonts w:ascii="Times New Roman" w:hAnsi="Times New Roman"/>
          <w:sz w:val="20"/>
        </w:rPr>
        <w:t>” means, with respect to a Series of Notes, the applicable Series of Notes is downgraded below Investment Grade by at least two of the three Rating Agencies on any date during the period (the “</w:t>
      </w:r>
      <w:r>
        <w:rPr>
          <w:rFonts w:ascii="Times New Roman" w:hAnsi="Times New Roman"/>
          <w:b/>
          <w:i/>
          <w:sz w:val="20"/>
        </w:rPr>
        <w:t>Trigger Period</w:t>
      </w:r>
      <w:r>
        <w:rPr>
          <w:rFonts w:ascii="Times New Roman" w:hAnsi="Times New Roman"/>
          <w:sz w:val="20"/>
        </w:rPr>
        <w:t>”) commencing 60 days prior to the first public announcement by the Company of any Change of Control (or pending Change of Control) and ending 60 days following the consummation of such Change of Control (which Trigger Period shall be extended if the rating of such Series of Notes is under publicly announced consideration for possible downgrade by any Rating Agency on such 60th day, such extension to last with respect to each Rating Agency until the date on which such Rating Agency considering such possible downgrade either (i) rates such Series of Notes below Investment Grade or (ii) publicly announces that it is no longer considering such Series of Notes for possible downgrade; </w:t>
      </w:r>
      <w:r>
        <w:rPr>
          <w:rFonts w:ascii="Times New Roman" w:hAnsi="Times New Roman"/>
          <w:i/>
          <w:sz w:val="20"/>
        </w:rPr>
        <w:t>provided</w:t>
      </w:r>
      <w:r>
        <w:rPr>
          <w:rFonts w:ascii="Times New Roman" w:hAnsi="Times New Roman"/>
          <w:sz w:val="20"/>
        </w:rPr>
        <w:t xml:space="preserve"> that no such extension will occur if on such 60th day such Series of Notes is rated Investment Grade by at least two of the three Rating Agencies and are not subject to review for possible downgrade by any Rating Agency). In no event shall the Trustee be charged with knowledge of or responsibility for maintaining a “Below Investment Grade Rating Event” or “Trigger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Change of Control</w:t>
      </w:r>
      <w:r>
        <w:rPr>
          <w:rFonts w:ascii="Times New Roman" w:hAnsi="Times New Roman"/>
          <w:sz w:val="20"/>
        </w:rPr>
        <w:t xml:space="preserve">” means the occurrence of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the direct or indirect sale, transfer, conveyance or other disposition (other than by way of merger or consolidation), in one or more series of related transactions, of all or substantially all of the Company’s assets and the assets of its Subsidiaries, taken as a whole, to any person, other than to the Company or one of its direct or indirect Subsidiaries; </w:t>
      </w:r>
    </w:p>
    <w:p>
      <w:pPr>
        <w:pStyle w:val="TextBody"/>
        <w:bidi w:val="0"/>
        <w:spacing w:before="120" w:after="0"/>
        <w:jc w:val="left"/>
        <w:rPr>
          <w:rFonts w:ascii="Times New Roman" w:hAnsi="Times New Roman"/>
          <w:sz w:val="20"/>
        </w:rPr>
      </w:pPr>
      <w:r>
        <w:rPr>
          <w:rFonts w:ascii="Times New Roman" w:hAnsi="Times New Roman"/>
          <w:sz w:val="20"/>
        </w:rPr>
        <w:t xml:space="preserve">(ii) the consummation of any transaction (including any merger or consolidation) the result of which is that any person becomes the beneficial owner (as defined in Rules 13d-3 and 13d-5 under the Exchange Act), directly or indirectly, of more than 50% of the Company’s outstanding Voting Stock or other Voting Stock into which the Company’s Voting Stock is reclassified, consolidated, exchanged or changed, measured by voting power rather than number of shares; </w:t>
      </w:r>
    </w:p>
    <w:p>
      <w:pPr>
        <w:pStyle w:val="TextBody"/>
        <w:bidi w:val="0"/>
        <w:spacing w:before="120" w:after="0"/>
        <w:jc w:val="left"/>
        <w:rPr>
          <w:rFonts w:ascii="Times New Roman" w:hAnsi="Times New Roman"/>
          <w:sz w:val="20"/>
        </w:rPr>
      </w:pPr>
      <w:r>
        <w:rPr>
          <w:rFonts w:ascii="Times New Roman" w:hAnsi="Times New Roman"/>
          <w:sz w:val="20"/>
        </w:rPr>
        <w:t xml:space="preserve">(iii) the Company consolidates with, or merges with or into, any person, or any person consolidates with, or merges with or into, the Company, in any such event pursuant to a transaction in which any of the Company’s outstanding Voting Stock or the Voting Stock of such other person is converted into or exchanged for cash, securities or other property, other than any such transaction where the shares of the Company’s Voting Stock outstanding immediately prior to such transaction constitute, or are converted into or exchanged for, a majority of the outstanding Voting Stock of the surviving person or any direct or indirect parent company of the surviving person immediately after giving effect to such transaction, measured by voting power rather than number of shares; or </w:t>
      </w:r>
    </w:p>
    <w:p>
      <w:pPr>
        <w:pStyle w:val="TextBody"/>
        <w:bidi w:val="0"/>
        <w:spacing w:before="120" w:after="0"/>
        <w:jc w:val="left"/>
        <w:rPr>
          <w:rFonts w:ascii="Times New Roman" w:hAnsi="Times New Roman"/>
          <w:sz w:val="20"/>
        </w:rPr>
      </w:pPr>
      <w:r>
        <w:rPr>
          <w:rFonts w:ascii="Times New Roman" w:hAnsi="Times New Roman"/>
          <w:sz w:val="20"/>
        </w:rPr>
        <w:t xml:space="preserve">(iv) the adoption of a plan providing for the Company’s liquidation or dissolution.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 transaction will not be deemed to involve a Change of Control if (i) the Company becomes a direct or indirect wholly owned subsidiary of a holding company (which shall include a parent company) and (ii)(A) the direct or indirect holders of the Voting Stock of such holding company immediately following that transaction are substantially the same as the holders of the Voting Stock of the Company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 </w:t>
      </w:r>
    </w:p>
    <w:p>
      <w:pPr>
        <w:pStyle w:val="TextBody"/>
        <w:bidi w:val="0"/>
        <w:spacing w:before="240" w:after="0"/>
        <w:jc w:val="left"/>
        <w:rPr/>
      </w:pPr>
      <w:r>
        <w:rPr/>
        <w:t>“</w:t>
      </w:r>
      <w:r>
        <w:rPr>
          <w:rFonts w:ascii="Times New Roman" w:hAnsi="Times New Roman"/>
          <w:b/>
          <w:i/>
          <w:sz w:val="20"/>
        </w:rPr>
        <w:t>Change of Control Triggering Event</w:t>
      </w:r>
      <w:r>
        <w:rPr>
          <w:rFonts w:ascii="Times New Roman" w:hAnsi="Times New Roman"/>
          <w:sz w:val="20"/>
        </w:rPr>
        <w:t xml:space="preserve">” means, with respect to a Series of Notes, the occurrence of both a Change of Control and a Below Investment Grade Rating Event. </w:t>
      </w:r>
    </w:p>
    <w:p>
      <w:pPr>
        <w:pStyle w:val="TextBody"/>
        <w:bidi w:val="0"/>
        <w:spacing w:before="240" w:after="0"/>
        <w:jc w:val="left"/>
        <w:rPr/>
      </w:pPr>
      <w:r>
        <w:rPr/>
        <w:t>“</w:t>
      </w:r>
      <w:r>
        <w:rPr>
          <w:rFonts w:ascii="Times New Roman" w:hAnsi="Times New Roman"/>
          <w:b/>
          <w:i/>
          <w:sz w:val="20"/>
        </w:rPr>
        <w:t>Consolidated Net Tangible Assets</w:t>
      </w:r>
      <w:r>
        <w:rPr>
          <w:rFonts w:ascii="Times New Roman" w:hAnsi="Times New Roman"/>
          <w:sz w:val="20"/>
        </w:rPr>
        <w:t xml:space="preserve">” means, as of any date on which the Company effects a transaction requiring such Consolidated Net Tangible Assets to be measured hereunder, the aggregate amount of assets (less applicable reserves) after deducting therefrom (i) all current liabilities, except for any notes and loans payable, current maturities of long-term debt, the current portion of deferred revenue and obligations under capital leases; and (ii) all goodwill, trade names, patents, unamortized debt discount and expense and any other like intangibles, to the extent included in said aggregate amount of assets, all as set forth on the Company’s most recent consolidated balance sheet and computed in accordance with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Consolidated Tangible Assets</w:t>
      </w:r>
      <w:r>
        <w:rPr>
          <w:rFonts w:ascii="Times New Roman" w:hAnsi="Times New Roman"/>
          <w:sz w:val="20"/>
        </w:rPr>
        <w:t xml:space="preserve">” means, as of any date on which the Company effects a transaction requiring such Consolidated Tangible Assets to be measured hereunder, the aggregate amount of assets (less applicable reserves) set forth on the Company’s most recent consolidated balance sheet and computed in accordance with GAAP. </w:t>
      </w:r>
    </w:p>
    <w:p>
      <w:pPr>
        <w:pStyle w:val="TextBody"/>
        <w:bidi w:val="0"/>
        <w:spacing w:before="240" w:after="0"/>
        <w:jc w:val="left"/>
        <w:rPr/>
      </w:pPr>
      <w:r>
        <w:rPr/>
        <w:t>“</w:t>
      </w:r>
      <w:r>
        <w:rPr>
          <w:rFonts w:ascii="Times New Roman" w:hAnsi="Times New Roman"/>
          <w:b/>
          <w:i/>
          <w:sz w:val="20"/>
        </w:rPr>
        <w:t>Definitive Note</w:t>
      </w:r>
      <w:r>
        <w:rPr>
          <w:rFonts w:ascii="Times New Roman" w:hAnsi="Times New Roman"/>
          <w:sz w:val="20"/>
        </w:rPr>
        <w:t>” means a certificated Note registered in the name of the Holder thereof and issued in accordance with Section 2.2 hereof, substantially in the form of </w:t>
      </w:r>
      <w:r>
        <w:rPr>
          <w:rFonts w:ascii="Times New Roman" w:hAnsi="Times New Roman"/>
          <w:sz w:val="20"/>
          <w:u w:val="single"/>
        </w:rPr>
        <w:t>Exhibit A</w:t>
      </w:r>
      <w:r>
        <w:rPr>
          <w:rFonts w:ascii="Times New Roman" w:hAnsi="Times New Roman"/>
          <w:sz w:val="20"/>
        </w:rPr>
        <w:t> hereto or </w:t>
      </w:r>
      <w:r>
        <w:rPr>
          <w:rFonts w:ascii="Times New Roman" w:hAnsi="Times New Roman"/>
          <w:sz w:val="20"/>
          <w:u w:val="single"/>
        </w:rPr>
        <w:t>Exhibit B</w:t>
      </w:r>
      <w:r>
        <w:rPr>
          <w:rFonts w:ascii="Times New Roman" w:hAnsi="Times New Roman"/>
          <w:sz w:val="20"/>
        </w:rPr>
        <w:t xml:space="preserve"> hereto, except that such Note will not bear the Global Note Legend. </w:t>
      </w:r>
    </w:p>
    <w:p>
      <w:pPr>
        <w:pStyle w:val="TextBody"/>
        <w:bidi w:val="0"/>
        <w:spacing w:before="240" w:after="0"/>
        <w:jc w:val="left"/>
        <w:rPr/>
      </w:pPr>
      <w:r>
        <w:rPr/>
        <w:t>“</w:t>
      </w:r>
      <w:r>
        <w:rPr>
          <w:rFonts w:ascii="Times New Roman" w:hAnsi="Times New Roman"/>
          <w:b/>
          <w:i/>
          <w:sz w:val="20"/>
        </w:rPr>
        <w:t>Depositary</w:t>
      </w:r>
      <w:r>
        <w:rPr>
          <w:rFonts w:ascii="Times New Roman" w:hAnsi="Times New Roman"/>
          <w:sz w:val="20"/>
        </w:rPr>
        <w:t xml:space="preserve">” means, with respect to the Notes of a Series hereunder issuable or issued in whole or in part in global form, the person specified in Section 2.1 hereof as the Depositary with respect to such Notes, and any and all successors thereto appointed as depositary hereunder. </w:t>
      </w:r>
    </w:p>
    <w:p>
      <w:pPr>
        <w:pStyle w:val="TextBody"/>
        <w:bidi w:val="0"/>
        <w:spacing w:before="240" w:after="0"/>
        <w:jc w:val="left"/>
        <w:rPr/>
      </w:pPr>
      <w:r>
        <w:rPr/>
        <w:t>“</w:t>
      </w:r>
      <w:r>
        <w:rPr>
          <w:rFonts w:ascii="Times New Roman" w:hAnsi="Times New Roman"/>
          <w:b/>
          <w:i/>
          <w:sz w:val="20"/>
        </w:rPr>
        <w:t>Electronic Means</w:t>
      </w:r>
      <w:r>
        <w:rPr>
          <w:rFonts w:ascii="Times New Roman" w:hAnsi="Times New Roman"/>
          <w:sz w:val="20"/>
        </w:rPr>
        <w:t xml:space="preserve">” shall mean the following communications methods: e-mail, secure electronic transmission containing applicable authorization codes, passwords and/or authentication keys issued by the Trustee, or another method or system specified by the Trustee as available for use in connection with its services hereunder. </w:t>
      </w:r>
    </w:p>
    <w:p>
      <w:pPr>
        <w:pStyle w:val="TextBody"/>
        <w:bidi w:val="0"/>
        <w:spacing w:before="240" w:after="0"/>
        <w:jc w:val="left"/>
        <w:rPr/>
      </w:pPr>
      <w:r>
        <w:rPr/>
        <w:t>“</w:t>
      </w:r>
      <w:r>
        <w:rPr>
          <w:rFonts w:ascii="Times New Roman" w:hAnsi="Times New Roman"/>
          <w:b/>
          <w:i/>
          <w:sz w:val="20"/>
        </w:rPr>
        <w:t>Fitch</w:t>
      </w:r>
      <w:r>
        <w:rPr>
          <w:rFonts w:ascii="Times New Roman" w:hAnsi="Times New Roman"/>
          <w:sz w:val="20"/>
        </w:rPr>
        <w:t xml:space="preserve">” means Fitch Ratings, Inc., and its successors. </w:t>
      </w:r>
    </w:p>
    <w:p>
      <w:pPr>
        <w:pStyle w:val="TextBody"/>
        <w:bidi w:val="0"/>
        <w:spacing w:before="240" w:after="0"/>
        <w:jc w:val="left"/>
        <w:rPr/>
      </w:pPr>
      <w:r>
        <w:rPr/>
        <w:t>“</w:t>
      </w:r>
      <w:r>
        <w:rPr>
          <w:rFonts w:ascii="Times New Roman" w:hAnsi="Times New Roman"/>
          <w:b/>
          <w:i/>
          <w:sz w:val="20"/>
        </w:rPr>
        <w:t>GAAP</w:t>
      </w:r>
      <w:r>
        <w:rPr>
          <w:rFonts w:ascii="Times New Roman" w:hAnsi="Times New Roman"/>
          <w:sz w:val="20"/>
        </w:rPr>
        <w:t xml:space="preserve">” means accounting principles generally accepted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the determination. </w:t>
      </w:r>
    </w:p>
    <w:p>
      <w:pPr>
        <w:pStyle w:val="TextBody"/>
        <w:bidi w:val="0"/>
        <w:spacing w:before="240" w:after="0"/>
        <w:jc w:val="left"/>
        <w:rPr/>
      </w:pPr>
      <w:r>
        <w:rPr/>
        <w:t>“</w:t>
      </w:r>
      <w:r>
        <w:rPr>
          <w:rFonts w:ascii="Times New Roman" w:hAnsi="Times New Roman"/>
          <w:b/>
          <w:i/>
          <w:sz w:val="20"/>
        </w:rPr>
        <w:t>Global Note Legend</w:t>
      </w:r>
      <w:r>
        <w:rPr>
          <w:rFonts w:ascii="Times New Roman" w:hAnsi="Times New Roman"/>
          <w:sz w:val="20"/>
        </w:rPr>
        <w:t xml:space="preserve">” means the legend set forth in Section 2.2(e) hereof, which is required to be placed on all Global Notes issued under this Supplemental Indenture. </w:t>
      </w:r>
    </w:p>
    <w:p>
      <w:pPr>
        <w:pStyle w:val="TextBody"/>
        <w:bidi w:val="0"/>
        <w:spacing w:before="240" w:after="0"/>
        <w:jc w:val="left"/>
        <w:rPr/>
      </w:pPr>
      <w:r>
        <w:rPr/>
        <w:t>“</w:t>
      </w:r>
      <w:r>
        <w:rPr>
          <w:rFonts w:ascii="Times New Roman" w:hAnsi="Times New Roman"/>
          <w:b/>
          <w:i/>
          <w:sz w:val="20"/>
        </w:rPr>
        <w:t>Global Notes</w:t>
      </w:r>
      <w:r>
        <w:rPr>
          <w:rFonts w:ascii="Times New Roman" w:hAnsi="Times New Roman"/>
          <w:sz w:val="20"/>
        </w:rPr>
        <w:t>” means, individually and collectively, (a) with respect to the 2029 Notes, each of the Global Notes, in the form of </w:t>
      </w:r>
      <w:r>
        <w:rPr>
          <w:rFonts w:ascii="Times New Roman" w:hAnsi="Times New Roman"/>
          <w:sz w:val="20"/>
          <w:u w:val="single"/>
        </w:rPr>
        <w:t>Exhibit A</w:t>
      </w:r>
      <w:r>
        <w:rPr>
          <w:rFonts w:ascii="Times New Roman" w:hAnsi="Times New Roman"/>
          <w:sz w:val="20"/>
        </w:rPr>
        <w:t> hereto, (b) with respect to the 2031 Notes, each of the Global Notes, in the form of </w:t>
      </w:r>
      <w:r>
        <w:rPr>
          <w:rFonts w:ascii="Times New Roman" w:hAnsi="Times New Roman"/>
          <w:sz w:val="20"/>
          <w:u w:val="single"/>
        </w:rPr>
        <w:t>Exhibit B</w:t>
      </w:r>
      <w:r>
        <w:rPr>
          <w:rFonts w:ascii="Times New Roman" w:hAnsi="Times New Roman"/>
          <w:sz w:val="20"/>
        </w:rPr>
        <w:t> hereto, (c) with respect to the 2033 Notes, each of the Global Notes, in the form of </w:t>
      </w:r>
      <w:r>
        <w:rPr>
          <w:rFonts w:ascii="Times New Roman" w:hAnsi="Times New Roman"/>
          <w:sz w:val="20"/>
          <w:u w:val="single"/>
        </w:rPr>
        <w:t>Exhibit C</w:t>
      </w:r>
      <w:r>
        <w:rPr>
          <w:rFonts w:ascii="Times New Roman" w:hAnsi="Times New Roman"/>
          <w:sz w:val="20"/>
        </w:rPr>
        <w:t> hereto and (d) with respect to the 2036 Notes, each of the Global Notes, in the form of </w:t>
      </w:r>
      <w:r>
        <w:rPr>
          <w:rFonts w:ascii="Times New Roman" w:hAnsi="Times New Roman"/>
          <w:sz w:val="20"/>
          <w:u w:val="single"/>
        </w:rPr>
        <w:t>Exhibit D</w:t>
      </w:r>
      <w:r>
        <w:rPr>
          <w:rFonts w:ascii="Times New Roman" w:hAnsi="Times New Roman"/>
          <w:sz w:val="20"/>
        </w:rPr>
        <w:t xml:space="preserve"> hereto in each case, issued in accordance with Section 2.1 hereof. </w:t>
      </w:r>
    </w:p>
    <w:p>
      <w:pPr>
        <w:pStyle w:val="TextBody"/>
        <w:bidi w:val="0"/>
        <w:spacing w:before="240" w:after="0"/>
        <w:jc w:val="left"/>
        <w:rPr/>
      </w:pPr>
      <w:r>
        <w:rPr/>
        <w:t>“</w:t>
      </w:r>
      <w:r>
        <w:rPr>
          <w:rFonts w:ascii="Times New Roman" w:hAnsi="Times New Roman"/>
          <w:b/>
          <w:i/>
          <w:sz w:val="20"/>
        </w:rPr>
        <w:t>Holder</w:t>
      </w:r>
      <w:r>
        <w:rPr>
          <w:rFonts w:ascii="Times New Roman" w:hAnsi="Times New Roman"/>
          <w:sz w:val="20"/>
        </w:rPr>
        <w:t xml:space="preserve">” means a person in whose name a Note is registered. </w:t>
      </w:r>
    </w:p>
    <w:p>
      <w:pPr>
        <w:pStyle w:val="TextBody"/>
        <w:bidi w:val="0"/>
        <w:spacing w:before="240" w:after="0"/>
        <w:jc w:val="left"/>
        <w:rPr/>
      </w:pPr>
      <w:r>
        <w:rPr/>
        <w:t>“</w:t>
      </w:r>
      <w:r>
        <w:rPr>
          <w:rFonts w:ascii="Times New Roman" w:hAnsi="Times New Roman"/>
          <w:b/>
          <w:i/>
          <w:sz w:val="20"/>
        </w:rPr>
        <w:t>Indenture</w:t>
      </w:r>
      <w:r>
        <w:rPr>
          <w:rFonts w:ascii="Times New Roman" w:hAnsi="Times New Roman"/>
          <w:sz w:val="20"/>
        </w:rPr>
        <w:t xml:space="preserve">” means the Base Indenture, as supplemented by this Supplemental Indenture, governing the Notes, in each case, as amended, supplemented or restated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Indirect Participant</w:t>
      </w:r>
      <w:r>
        <w:rPr>
          <w:rFonts w:ascii="Times New Roman" w:hAnsi="Times New Roman"/>
          <w:sz w:val="20"/>
        </w:rPr>
        <w:t xml:space="preserve">” means a person who holds a beneficial interest in a Global Note through a Participant. </w:t>
      </w:r>
    </w:p>
    <w:p>
      <w:pPr>
        <w:pStyle w:val="TextBody"/>
        <w:bidi w:val="0"/>
        <w:spacing w:before="240" w:after="0"/>
        <w:jc w:val="left"/>
        <w:rPr/>
      </w:pPr>
      <w:r>
        <w:rPr/>
        <w:t>“</w:t>
      </w:r>
      <w:r>
        <w:rPr>
          <w:rFonts w:ascii="Times New Roman" w:hAnsi="Times New Roman"/>
          <w:b/>
          <w:i/>
          <w:sz w:val="20"/>
        </w:rPr>
        <w:t>Initial 2029 Notes</w:t>
      </w:r>
      <w:r>
        <w:rPr>
          <w:rFonts w:ascii="Times New Roman" w:hAnsi="Times New Roman"/>
          <w:sz w:val="20"/>
        </w:rPr>
        <w:t xml:space="preserve">” means the first $500,000,000 aggregate principal amount of 2029 Notes issued under this Supplemental Indenture on the date hereof. </w:t>
      </w:r>
    </w:p>
    <w:p>
      <w:pPr>
        <w:pStyle w:val="TextBody"/>
        <w:bidi w:val="0"/>
        <w:spacing w:before="240" w:after="0"/>
        <w:jc w:val="left"/>
        <w:rPr/>
      </w:pPr>
      <w:r>
        <w:rPr/>
        <w:t>“</w:t>
      </w:r>
      <w:r>
        <w:rPr>
          <w:rFonts w:ascii="Times New Roman" w:hAnsi="Times New Roman"/>
          <w:b/>
          <w:i/>
          <w:sz w:val="20"/>
        </w:rPr>
        <w:t>Initial 2031 Notes</w:t>
      </w:r>
      <w:r>
        <w:rPr>
          <w:rFonts w:ascii="Times New Roman" w:hAnsi="Times New Roman"/>
          <w:sz w:val="20"/>
        </w:rPr>
        <w:t xml:space="preserve">” means the first $500,000,000 aggregate principal amount of 2031 Notes issued under this Supplemental Indenture on the date hereof. </w:t>
      </w:r>
    </w:p>
    <w:p>
      <w:pPr>
        <w:pStyle w:val="TextBody"/>
        <w:bidi w:val="0"/>
        <w:spacing w:before="240" w:after="0"/>
        <w:jc w:val="left"/>
        <w:rPr/>
      </w:pPr>
      <w:r>
        <w:rPr/>
        <w:t>“</w:t>
      </w:r>
      <w:r>
        <w:rPr>
          <w:rFonts w:ascii="Times New Roman" w:hAnsi="Times New Roman"/>
          <w:b/>
          <w:i/>
          <w:sz w:val="20"/>
        </w:rPr>
        <w:t>Initial 2033 Notes</w:t>
      </w:r>
      <w:r>
        <w:rPr>
          <w:rFonts w:ascii="Times New Roman" w:hAnsi="Times New Roman"/>
          <w:sz w:val="20"/>
        </w:rPr>
        <w:t xml:space="preserve">” means the first $1,000,000,000 aggregate principal amount of 2033 Notes issued under this Supplemental Indenture on the date hereof. </w:t>
      </w:r>
    </w:p>
    <w:p>
      <w:pPr>
        <w:pStyle w:val="TextBody"/>
        <w:bidi w:val="0"/>
        <w:spacing w:before="240" w:after="0"/>
        <w:jc w:val="left"/>
        <w:rPr/>
      </w:pPr>
      <w:r>
        <w:rPr/>
        <w:t>“</w:t>
      </w:r>
      <w:r>
        <w:rPr>
          <w:rFonts w:ascii="Times New Roman" w:hAnsi="Times New Roman"/>
          <w:b/>
          <w:i/>
          <w:sz w:val="20"/>
        </w:rPr>
        <w:t>Initial 2036 Notes</w:t>
      </w:r>
      <w:r>
        <w:rPr>
          <w:rFonts w:ascii="Times New Roman" w:hAnsi="Times New Roman"/>
          <w:sz w:val="20"/>
        </w:rPr>
        <w:t xml:space="preserve">” means the first $1,000,000,000 aggregate principal amount of 2036 Notes issued under this Supplemental Indenture on the date hereof. </w:t>
      </w:r>
    </w:p>
    <w:p>
      <w:pPr>
        <w:pStyle w:val="TextBody"/>
        <w:bidi w:val="0"/>
        <w:spacing w:before="240" w:after="0"/>
        <w:jc w:val="left"/>
        <w:rPr/>
      </w:pPr>
      <w:r>
        <w:rPr/>
        <w:t>“</w:t>
      </w:r>
      <w:r>
        <w:rPr>
          <w:rFonts w:ascii="Times New Roman" w:hAnsi="Times New Roman"/>
          <w:b/>
          <w:i/>
          <w:sz w:val="20"/>
        </w:rPr>
        <w:t>Initial Notes</w:t>
      </w:r>
      <w:r>
        <w:rPr>
          <w:rFonts w:ascii="Times New Roman" w:hAnsi="Times New Roman"/>
          <w:sz w:val="20"/>
        </w:rPr>
        <w:t xml:space="preserve">” means any Initial 2029 Notes, any Initial 2031 Notes, any Initial 2033 Notes and any Initial 2036 Notes, as applicable. </w:t>
      </w:r>
    </w:p>
    <w:p>
      <w:pPr>
        <w:pStyle w:val="TextBody"/>
        <w:bidi w:val="0"/>
        <w:spacing w:before="240" w:after="0"/>
        <w:jc w:val="left"/>
        <w:rPr/>
      </w:pPr>
      <w:r>
        <w:rPr/>
        <w:t>“</w:t>
      </w:r>
      <w:r>
        <w:rPr>
          <w:rFonts w:ascii="Times New Roman" w:hAnsi="Times New Roman"/>
          <w:b/>
          <w:i/>
          <w:sz w:val="20"/>
        </w:rPr>
        <w:t>Investment Grade</w:t>
      </w:r>
      <w:r>
        <w:rPr>
          <w:rFonts w:ascii="Times New Roman" w:hAnsi="Times New Roman"/>
          <w:sz w:val="20"/>
        </w:rPr>
        <w:t xml:space="preserve">” means, with respect to Fitch, a rating equal to or higher than BBB- (or the equivalent under any successor rating categories of Fitch), with respect to Moody’s, a rating equal to or higher than Baa3 (or the equivalent under any successor rating categories of Moody’s) and, with respect to S&amp;P, a rating equal to or higher than BBB- (or the equivalent under any successor rating categories of S&amp;P). </w:t>
      </w:r>
    </w:p>
    <w:p>
      <w:pPr>
        <w:pStyle w:val="TextBody"/>
        <w:bidi w:val="0"/>
        <w:spacing w:before="240" w:after="0"/>
        <w:jc w:val="left"/>
        <w:rPr/>
      </w:pPr>
      <w:r>
        <w:rPr/>
        <w:t>“</w:t>
      </w:r>
      <w:r>
        <w:rPr>
          <w:rFonts w:ascii="Times New Roman" w:hAnsi="Times New Roman"/>
          <w:b/>
          <w:i/>
          <w:sz w:val="20"/>
        </w:rPr>
        <w:t>Moody’s</w:t>
      </w:r>
      <w:r>
        <w:rPr>
          <w:rFonts w:ascii="Times New Roman" w:hAnsi="Times New Roman"/>
          <w:sz w:val="20"/>
        </w:rPr>
        <w:t xml:space="preserve">” means Moody’s Investors Service, Inc., and its successors. </w:t>
      </w:r>
    </w:p>
    <w:p>
      <w:pPr>
        <w:pStyle w:val="TextBody"/>
        <w:bidi w:val="0"/>
        <w:spacing w:before="240" w:after="0"/>
        <w:jc w:val="left"/>
        <w:rPr/>
      </w:pPr>
      <w:r>
        <w:rPr/>
        <w:t>“</w:t>
      </w:r>
      <w:r>
        <w:rPr>
          <w:rFonts w:ascii="Times New Roman" w:hAnsi="Times New Roman"/>
          <w:b/>
          <w:i/>
          <w:sz w:val="20"/>
        </w:rPr>
        <w:t>Net Available Proceeds</w:t>
      </w:r>
      <w:r>
        <w:rPr>
          <w:rFonts w:ascii="Times New Roman" w:hAnsi="Times New Roman"/>
          <w:sz w:val="20"/>
        </w:rPr>
        <w:t xml:space="preserve">” from any Sale and Lease Back Transaction by the Company or any Subsidiary means cash or readily marketable cash equivalents received (including by way of sale or discounting of a note, installment receivable or other receivable, but excluding any other consideration received in the form of assumption by the acquiree of debt or obligations relating to the properties or assets that are the subject of such Sale and Lease Back Transaction or received in any other noncash form) therefrom by the Company or any Subsidiary, net of (i) all legal, title and recording tax expenses, commissions and other fees and expenses incurred and all United States federal, state, provincial, foreign and local taxes required to be accrued as a liability as a consequence of such Sale and Lease Back Transaction; (ii) all payments made by the Company or any Subsidiary on any debt which is secured in whole or in part by any such properties and assets in accordance with the terms of any Lien upon or with respect to any such properties and assets or which must, by the terms of such Lien, or in order to obtain a necessary consent to such Sale and Lease Back Transaction or by applicable law, be repaid out of the proceeds from such Sale and Lease Back Transaction; and (iii) all distributions and other payments made to the minority interest holders in any Subsidiary or joint venture as a result of such Sale and Lease Back Transaction. </w:t>
      </w:r>
    </w:p>
    <w:p>
      <w:pPr>
        <w:pStyle w:val="TextBody"/>
        <w:bidi w:val="0"/>
        <w:spacing w:before="240" w:after="0"/>
        <w:jc w:val="left"/>
        <w:rPr/>
      </w:pPr>
      <w:r>
        <w:rPr/>
        <w:t>“</w:t>
      </w:r>
      <w:r>
        <w:rPr>
          <w:rFonts w:ascii="Times New Roman" w:hAnsi="Times New Roman"/>
          <w:b/>
          <w:i/>
          <w:sz w:val="20"/>
        </w:rPr>
        <w:t>Notes</w:t>
      </w:r>
      <w:r>
        <w:rPr>
          <w:rFonts w:ascii="Times New Roman" w:hAnsi="Times New Roman"/>
          <w:sz w:val="20"/>
        </w:rPr>
        <w:t xml:space="preserve">” means, collectively, the 2029 Notes, the 2031 Notes, the 2033 Notes and the 2036 Notes. </w:t>
      </w:r>
    </w:p>
    <w:p>
      <w:pPr>
        <w:pStyle w:val="TextBody"/>
        <w:bidi w:val="0"/>
        <w:spacing w:before="240" w:after="0"/>
        <w:jc w:val="left"/>
        <w:rPr/>
      </w:pPr>
      <w:r>
        <w:rPr/>
        <w:t>“</w:t>
      </w:r>
      <w:r>
        <w:rPr>
          <w:rFonts w:ascii="Times New Roman" w:hAnsi="Times New Roman"/>
          <w:b/>
          <w:i/>
          <w:sz w:val="20"/>
        </w:rPr>
        <w:t>Par Call Date</w:t>
      </w:r>
      <w:r>
        <w:rPr>
          <w:rFonts w:ascii="Times New Roman" w:hAnsi="Times New Roman"/>
          <w:sz w:val="20"/>
        </w:rPr>
        <w:t xml:space="preserve">” means, with respect to the 2029 Notes, August 15, 2029, with respect to the 2031 Notes, September 1, 2031, with respect to the 2033 Notes, August 1, 2033, and, with respect to the 2036 Notes, July 1, 2036.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Participant</w:t>
      </w:r>
      <w:r>
        <w:rPr>
          <w:rFonts w:ascii="Times New Roman" w:hAnsi="Times New Roman"/>
          <w:sz w:val="20"/>
        </w:rPr>
        <w:t xml:space="preserve">” means, with respect to the Depositary, a person who has an account with the Depositary. </w:t>
      </w:r>
    </w:p>
    <w:p>
      <w:pPr>
        <w:pStyle w:val="TextBody"/>
        <w:bidi w:val="0"/>
        <w:spacing w:before="240" w:after="0"/>
        <w:jc w:val="left"/>
        <w:rPr/>
      </w:pPr>
      <w:r>
        <w:rPr/>
        <w:t>“</w:t>
      </w:r>
      <w:r>
        <w:rPr>
          <w:rFonts w:ascii="Times New Roman" w:hAnsi="Times New Roman"/>
          <w:b/>
          <w:i/>
          <w:sz w:val="20"/>
        </w:rPr>
        <w:t>Principal Property</w:t>
      </w:r>
      <w:r>
        <w:rPr>
          <w:rFonts w:ascii="Times New Roman" w:hAnsi="Times New Roman"/>
          <w:sz w:val="20"/>
        </w:rPr>
        <w:t xml:space="preserve">” means any single parcel of real property or any permanent improvement thereon (i) owned by the Company or any of the Subsidiaries located in the United States, including the Company’s principal corporate office, any manufacturing facility or plant or any portion thereof and (ii) having a book value, as of the date of determination, in excess of 3.0% of the Company’s most recently calculated Consolidated Net Tangible Assets. Principal Property does not include any property that the Board of Directors has determined not to be of material importance to the business conducted by the Subsidiaries and the Company, taken as a whole. </w:t>
      </w:r>
    </w:p>
    <w:p>
      <w:pPr>
        <w:pStyle w:val="TextBody"/>
        <w:bidi w:val="0"/>
        <w:spacing w:before="240" w:after="0"/>
        <w:jc w:val="left"/>
        <w:rPr/>
      </w:pPr>
      <w:r>
        <w:rPr/>
        <w:t>“</w:t>
      </w:r>
      <w:r>
        <w:rPr>
          <w:rFonts w:ascii="Times New Roman" w:hAnsi="Times New Roman"/>
          <w:b/>
          <w:i/>
          <w:sz w:val="20"/>
        </w:rPr>
        <w:t>Principal Subsidiary</w:t>
      </w:r>
      <w:r>
        <w:rPr>
          <w:rFonts w:ascii="Times New Roman" w:hAnsi="Times New Roman"/>
          <w:sz w:val="20"/>
        </w:rPr>
        <w:t xml:space="preserve">” means any Subsidiary which owns any Principal Property. </w:t>
      </w:r>
    </w:p>
    <w:p>
      <w:pPr>
        <w:pStyle w:val="TextBody"/>
        <w:bidi w:val="0"/>
        <w:spacing w:before="240" w:after="0"/>
        <w:jc w:val="left"/>
        <w:rPr/>
      </w:pPr>
      <w:r>
        <w:rPr/>
        <w:t>“</w:t>
      </w:r>
      <w:r>
        <w:rPr>
          <w:rFonts w:ascii="Times New Roman" w:hAnsi="Times New Roman"/>
          <w:b/>
          <w:i/>
          <w:sz w:val="20"/>
        </w:rPr>
        <w:t>Rating Agencies</w:t>
      </w:r>
      <w:r>
        <w:rPr>
          <w:rFonts w:ascii="Times New Roman" w:hAnsi="Times New Roman"/>
          <w:sz w:val="20"/>
        </w:rPr>
        <w:t>” means each of Fitch, Moody’s and S&amp;P; </w:t>
      </w:r>
      <w:r>
        <w:rPr>
          <w:rFonts w:ascii="Times New Roman" w:hAnsi="Times New Roman"/>
          <w:i/>
          <w:sz w:val="20"/>
        </w:rPr>
        <w:t>provided</w:t>
      </w:r>
      <w:r>
        <w:rPr>
          <w:rFonts w:ascii="Times New Roman" w:hAnsi="Times New Roman"/>
          <w:sz w:val="20"/>
        </w:rPr>
        <w:t xml:space="preserve">, that if any of Fitch, Moody’s and S&amp;P ceases to provide rating services to issuers or investors, the Company may appoint a replacement for such Rating Agency that is a “nationally recognized statistical rating organization” within the meaning of Section 3(a)(62) of the Exchange Act. </w:t>
      </w:r>
    </w:p>
    <w:p>
      <w:pPr>
        <w:pStyle w:val="TextBody"/>
        <w:bidi w:val="0"/>
        <w:spacing w:before="240" w:after="0"/>
        <w:jc w:val="left"/>
        <w:rPr/>
      </w:pPr>
      <w:r>
        <w:rPr/>
        <w:t>“</w:t>
      </w:r>
      <w:r>
        <w:rPr>
          <w:rFonts w:ascii="Times New Roman" w:hAnsi="Times New Roman"/>
          <w:b/>
          <w:i/>
          <w:sz w:val="20"/>
        </w:rPr>
        <w:t>S&amp;P</w:t>
      </w:r>
      <w:r>
        <w:rPr>
          <w:rFonts w:ascii="Times New Roman" w:hAnsi="Times New Roman"/>
          <w:sz w:val="20"/>
        </w:rPr>
        <w:t xml:space="preserve">” means S&amp;P Global Ratings, a division of S&amp;P Global, Inc., and its successors. </w:t>
      </w:r>
    </w:p>
    <w:p>
      <w:pPr>
        <w:pStyle w:val="TextBody"/>
        <w:bidi w:val="0"/>
        <w:spacing w:before="240" w:after="0"/>
        <w:jc w:val="left"/>
        <w:rPr/>
      </w:pPr>
      <w:r>
        <w:rPr/>
        <w:t>“</w:t>
      </w:r>
      <w:r>
        <w:rPr>
          <w:rFonts w:ascii="Times New Roman" w:hAnsi="Times New Roman"/>
          <w:b/>
          <w:i/>
          <w:sz w:val="20"/>
        </w:rPr>
        <w:t>Sale and Lease Back Transaction</w:t>
      </w:r>
      <w:r>
        <w:rPr>
          <w:rFonts w:ascii="Times New Roman" w:hAnsi="Times New Roman"/>
          <w:sz w:val="20"/>
        </w:rPr>
        <w:t xml:space="preserve">” means an arrangement with any lender or investor or to which such lender or investor is a party providing for the leasing by the Company or any Subsidiary of any Principal Property that, more than 12 months after the later of (i) the completion of the acquisition, construction, development or improvement of such Principal Property or (ii) the placing in operation of such Principal Property or of such Principal Property as so constructed, developed or improved, has been or is being sold, conveyed, transferred or otherwise disposed of by the Company or any Subsidiary to such lender or investor or to any person to whom funds have been or are to be advanced by such lender on the security of such Principal Property. </w:t>
      </w:r>
    </w:p>
    <w:p>
      <w:pPr>
        <w:pStyle w:val="TextBody"/>
        <w:bidi w:val="0"/>
        <w:spacing w:before="240" w:after="0"/>
        <w:jc w:val="left"/>
        <w:rPr/>
      </w:pPr>
      <w:r>
        <w:rPr/>
        <w:t>“</w:t>
      </w:r>
      <w:r>
        <w:rPr>
          <w:rFonts w:ascii="Times New Roman" w:hAnsi="Times New Roman"/>
          <w:b/>
          <w:i/>
          <w:sz w:val="20"/>
        </w:rPr>
        <w:t>Series</w:t>
      </w:r>
      <w:r>
        <w:rPr>
          <w:rFonts w:ascii="Times New Roman" w:hAnsi="Times New Roman"/>
          <w:sz w:val="20"/>
        </w:rPr>
        <w:t>” shall have the meaning assigned to it in the Base Indenture; </w:t>
      </w:r>
      <w:r>
        <w:rPr>
          <w:rFonts w:ascii="Times New Roman" w:hAnsi="Times New Roman"/>
          <w:i/>
          <w:sz w:val="20"/>
        </w:rPr>
        <w:t>provided</w:t>
      </w:r>
      <w:r>
        <w:rPr>
          <w:rFonts w:ascii="Times New Roman" w:hAnsi="Times New Roman"/>
          <w:sz w:val="20"/>
        </w:rPr>
        <w:t xml:space="preserve"> that, for the avoidance of doubt, each of the 2029 Notes, the 2031 Notes, the 2033 Notes and the 2036 Notes is a separate Series of Notes under, and for all purposes of, the Base Indenture and this Supplemental Indenture (including with respect to payments of principal and interest, redemptions, offers to purchase, consenting to certain amendments to the Indenture and the Notes and waiving or rescinding Events of Default). </w:t>
      </w:r>
    </w:p>
    <w:p>
      <w:pPr>
        <w:pStyle w:val="TextBody"/>
        <w:bidi w:val="0"/>
        <w:spacing w:before="240" w:after="0"/>
        <w:jc w:val="left"/>
        <w:rPr/>
      </w:pPr>
      <w:r>
        <w:rPr/>
        <w:t>“</w:t>
      </w:r>
      <w:r>
        <w:rPr>
          <w:rFonts w:ascii="Times New Roman" w:hAnsi="Times New Roman"/>
          <w:b/>
          <w:i/>
          <w:sz w:val="20"/>
        </w:rPr>
        <w:t>Subsidiary</w:t>
      </w:r>
      <w:r>
        <w:rPr>
          <w:rFonts w:ascii="Times New Roman" w:hAnsi="Times New Roman"/>
          <w:sz w:val="20"/>
        </w:rPr>
        <w:t xml:space="preserve">” means any corporation, association or other business entity of which more than 50% of the total voting power of all shares, interests, participations, rights or other equivalents (however designated) of corporate stock entitled (without regard to the occurrence of any contingency) to vote in the election of directors, managers or trustees thereof is at the time owned or controlled, directly or indirectly, by the Company or one or more of its other Subsidiaries or a combination thereof. </w:t>
      </w:r>
    </w:p>
    <w:p>
      <w:pPr>
        <w:pStyle w:val="TextBody"/>
        <w:bidi w:val="0"/>
        <w:spacing w:before="240" w:after="0"/>
        <w:jc w:val="left"/>
        <w:rPr/>
      </w:pPr>
      <w:r>
        <w:rPr/>
        <w:t>“</w:t>
      </w:r>
      <w:r>
        <w:rPr>
          <w:rFonts w:ascii="Times New Roman" w:hAnsi="Times New Roman"/>
          <w:b/>
          <w:i/>
          <w:sz w:val="20"/>
        </w:rPr>
        <w:t>Supplemental Indenture</w:t>
      </w:r>
      <w:r>
        <w:rPr>
          <w:rFonts w:ascii="Times New Roman" w:hAnsi="Times New Roman"/>
          <w:sz w:val="20"/>
        </w:rPr>
        <w:t xml:space="preserve">” means this Supplemental Indenture, dated as of the date hereof, by and between the Company and the Trustee, governing the Notes, as amended, supplemented or otherwise modified from time to time in accordance with the Base Indenture and the terms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Treasury Rate</w:t>
      </w:r>
      <w:r>
        <w:rPr>
          <w:rFonts w:ascii="Times New Roman" w:hAnsi="Times New Roman"/>
          <w:sz w:val="20"/>
        </w:rPr>
        <w:t xml:space="preserve">” means, with respect to any redemption date, the yield determined by the Company in accordance with the following clauses (1) and (2): </w:t>
      </w:r>
    </w:p>
    <w:p>
      <w:pPr>
        <w:pStyle w:val="TextBody"/>
        <w:bidi w:val="0"/>
        <w:spacing w:before="120" w:after="0"/>
        <w:jc w:val="left"/>
        <w:rPr>
          <w:rFonts w:ascii="Times New Roman" w:hAnsi="Times New Roman"/>
          <w:sz w:val="20"/>
        </w:rPr>
      </w:pPr>
      <w:r>
        <w:rPr>
          <w:rFonts w:ascii="Times New Roman" w:hAnsi="Times New Roman"/>
          <w:sz w:val="20"/>
        </w:rPr>
        <w:t>(1) 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 w:hAnsi="Times New Roman"/>
          <w:b/>
          <w:i/>
          <w:sz w:val="20"/>
        </w:rPr>
        <w:t>H.15</w:t>
      </w:r>
      <w:r>
        <w:rPr>
          <w:rFonts w:ascii="Times New Roman" w:hAnsi="Times New Roman"/>
          <w:sz w:val="20"/>
        </w:rPr>
        <w:t>”) under the caption “U.S. government securities–Treasury constant maturities–Nominal” (or any successor caption or heading) (“</w:t>
      </w:r>
      <w:r>
        <w:rPr>
          <w:rFonts w:ascii="Times New Roman" w:hAnsi="Times New Roman"/>
          <w:b/>
          <w:i/>
          <w:sz w:val="20"/>
        </w:rPr>
        <w:t>H.15 TCM</w:t>
      </w:r>
      <w:r>
        <w:rPr>
          <w:rFonts w:ascii="Times New Roman" w:hAnsi="Times New Roman"/>
          <w:sz w:val="20"/>
        </w:rPr>
        <w:t>”). In determining the Treasury Rate, the Company will select, as applicable: (i) the yield for the Treasury constant maturity on H.15 exactly equal to the period from the redemption date to the applicable Par Call Date (the “</w:t>
      </w:r>
      <w:r>
        <w:rPr>
          <w:rFonts w:ascii="Times New Roman" w:hAnsi="Times New Roman"/>
          <w:b/>
          <w:i/>
          <w:sz w:val="20"/>
        </w:rPr>
        <w:t>Remaining Life</w:t>
      </w:r>
      <w:r>
        <w:rPr>
          <w:rFonts w:ascii="Times New Roman" w:hAnsi="Times New Roman"/>
          <w:sz w:val="20"/>
        </w:rPr>
        <w:t xml:space="preserve">”); (ii) if there is no such Treasury constant maturity on H.15 exactly equal to the applicable Remaining Life, the two yields – one yield corresponding to the Treasury constant maturity on H.15 immediately shorter than and one yield corresponding to the Treasury constant maturity on H.15 immediately longer than the applicable Remaining Life – and shall interpolate to the applicable Par Call Date on a straight-line basis (using the actual number of days) using such yields and rounding the result to three decimal places; or (iii) if there is no such Treasury constant maturity on H.15 shorter than or longer than the applicable Remaining Life, the yield for the single Treasury constant maturity on H.15 closest to the applicable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(2) If on the third business day preceding the redemption date H.15 TCM is no longer published, the Company will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the Company will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Company will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i/>
          <w:sz w:val="20"/>
        </w:rPr>
        <w:t>Trustee Certificate</w:t>
      </w:r>
      <w:r>
        <w:rPr>
          <w:rFonts w:ascii="Times New Roman" w:hAnsi="Times New Roman"/>
          <w:sz w:val="20"/>
        </w:rPr>
        <w:t xml:space="preserve">” means a certificate signed on behalf of the Trustee by one of its duly authorized officers. </w:t>
      </w:r>
    </w:p>
    <w:p>
      <w:pPr>
        <w:pStyle w:val="TextBody"/>
        <w:bidi w:val="0"/>
        <w:spacing w:before="240" w:after="0"/>
        <w:jc w:val="left"/>
        <w:rPr/>
      </w:pPr>
      <w:r>
        <w:rPr/>
        <w:t>“</w:t>
      </w:r>
      <w:r>
        <w:rPr>
          <w:rFonts w:ascii="Times New Roman" w:hAnsi="Times New Roman"/>
          <w:b/>
          <w:i/>
          <w:sz w:val="20"/>
        </w:rPr>
        <w:t>Voting Stock</w:t>
      </w:r>
      <w:r>
        <w:rPr>
          <w:rFonts w:ascii="Times New Roman" w:hAnsi="Times New Roman"/>
          <w:sz w:val="20"/>
        </w:rPr>
        <w:t xml:space="preserve">” means, with respect to any specified “person” (as that term is used in Section 13(d)(3) of the Exchange Act) as of any date, the shares, interests, participations, rights or other equivalents (however designated) of such person that is at the time entitled to vote generally in the election of the board of directors of such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i/>
          <w:sz w:val="20"/>
        </w:rPr>
        <w:t>Other Definitions.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537"/>
        <w:gridCol w:w="520"/>
        <w:gridCol w:w="168"/>
        <w:gridCol w:w="918"/>
        <w:gridCol w:w="62"/>
      </w:tblGrid>
      <w:tr>
        <w:trPr/>
        <w:tc>
          <w:tcPr>
            <w:tcW w:w="8537" w:type="dxa"/>
            <w:tcBorders/>
            <w:vAlign w:val="center"/>
          </w:tcPr>
          <w:p>
            <w:pPr>
              <w:pStyle w:val="TableContents"/>
              <w:bidi w:val="0"/>
              <w:spacing w:before="0" w:after="283"/>
              <w:jc w:val="left"/>
              <w:rPr>
                <w:sz w:val="4"/>
                <w:szCs w:val="4"/>
              </w:rPr>
            </w:pPr>
            <w:r>
              <w:rPr>
                <w:sz w:val="4"/>
                <w:szCs w:val="4"/>
              </w:rPr>
            </w:r>
          </w:p>
        </w:tc>
        <w:tc>
          <w:tcPr>
            <w:tcW w:w="520" w:type="dxa"/>
            <w:tcBorders/>
            <w:vAlign w:val="bottom"/>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53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Term</w:t>
            </w:r>
          </w:p>
        </w:tc>
        <w:tc>
          <w:tcPr>
            <w:tcW w:w="520" w:type="dxa"/>
            <w:tcBorders/>
            <w:vAlign w:val="bottom"/>
          </w:tcPr>
          <w:p>
            <w:pPr>
              <w:pStyle w:val="TableContents"/>
              <w:bidi w:val="0"/>
              <w:spacing w:before="0" w:after="283"/>
              <w:jc w:val="left"/>
              <w:rPr/>
            </w:pPr>
            <w:r>
              <w:rPr/>
              <w:t>  </w:t>
            </w:r>
          </w:p>
        </w:tc>
        <w:tc>
          <w:tcPr>
            <w:tcW w:w="1086" w:type="dxa"/>
            <w:gridSpan w:val="2"/>
            <w:tcBorders>
              <w:bottom w:val="single" w:sz="8" w:space="0" w:color="000000"/>
            </w:tcBorders>
            <w:tcMar>
              <w:bottom w:w="28" w:type="dxa"/>
            </w:tcMar>
            <w:vAlign w:val="bottom"/>
          </w:tcPr>
          <w:p>
            <w:pPr>
              <w:pStyle w:val="TableContents"/>
              <w:bidi w:val="0"/>
              <w:spacing w:before="0" w:after="283"/>
              <w:jc w:val="center"/>
              <w:rPr/>
            </w:pPr>
            <w:r>
              <w:rPr>
                <w:b/>
              </w:rPr>
              <w:t>Defined in</w:t>
            </w:r>
            <w:r>
              <w:rPr/>
              <w:br/>
            </w:r>
            <w:r>
              <w:rPr>
                <w:b/>
              </w:rPr>
              <w:t>Section</w:t>
            </w:r>
          </w:p>
        </w:tc>
        <w:tc>
          <w:tcPr>
            <w:tcW w:w="62" w:type="dxa"/>
            <w:tcBorders/>
            <w:vAlign w:val="bottom"/>
          </w:tcPr>
          <w:p>
            <w:pPr>
              <w:pStyle w:val="TableContents"/>
              <w:bidi w:val="0"/>
              <w:spacing w:before="0" w:after="283"/>
              <w:jc w:val="left"/>
              <w:rPr/>
            </w:pPr>
            <w:r>
              <w:rPr/>
              <w:t> </w:t>
            </w:r>
          </w:p>
        </w:tc>
      </w:tr>
      <w:tr>
        <w:trPr/>
        <w:tc>
          <w:tcPr>
            <w:tcW w:w="8537" w:type="dxa"/>
            <w:tcBorders/>
          </w:tcPr>
          <w:p>
            <w:pPr>
              <w:pStyle w:val="TableContents"/>
              <w:bidi w:val="0"/>
              <w:spacing w:before="0" w:after="0"/>
              <w:jc w:val="left"/>
              <w:rPr/>
            </w:pPr>
            <w:r>
              <w:rPr/>
              <w:t>“</w:t>
            </w:r>
            <w:r>
              <w:rPr>
                <w:rFonts w:ascii="Times New Roman" w:hAnsi="Times New Roman"/>
                <w:i/>
                <w:sz w:val="20"/>
              </w:rPr>
              <w:t>Authorized Officers”</w:t>
            </w:r>
          </w:p>
        </w:tc>
        <w:tc>
          <w:tcPr>
            <w:tcW w:w="52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7.9</w:t>
            </w:r>
          </w:p>
        </w:tc>
        <w:tc>
          <w:tcPr>
            <w:tcW w:w="62" w:type="dxa"/>
            <w:tcBorders/>
            <w:vAlign w:val="bottom"/>
          </w:tcPr>
          <w:p>
            <w:pPr>
              <w:pStyle w:val="TableContents"/>
              <w:bidi w:val="0"/>
              <w:spacing w:before="0" w:after="283"/>
              <w:jc w:val="left"/>
              <w:rPr/>
            </w:pPr>
            <w:r>
              <w:rPr/>
              <w:t> </w:t>
            </w:r>
          </w:p>
        </w:tc>
      </w:tr>
      <w:tr>
        <w:trPr/>
        <w:tc>
          <w:tcPr>
            <w:tcW w:w="8537" w:type="dxa"/>
            <w:tcBorders/>
          </w:tcPr>
          <w:p>
            <w:pPr>
              <w:pStyle w:val="TableContents"/>
              <w:bidi w:val="0"/>
              <w:spacing w:before="0" w:after="0"/>
              <w:jc w:val="left"/>
              <w:rPr/>
            </w:pPr>
            <w:r>
              <w:rPr/>
              <w:t>“</w:t>
            </w:r>
            <w:r>
              <w:rPr>
                <w:rFonts w:ascii="Times New Roman" w:hAnsi="Times New Roman"/>
                <w:i/>
                <w:sz w:val="20"/>
              </w:rPr>
              <w:t>Change of Control Offer”</w:t>
            </w:r>
          </w:p>
        </w:tc>
        <w:tc>
          <w:tcPr>
            <w:tcW w:w="52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4.1</w:t>
            </w:r>
          </w:p>
        </w:tc>
        <w:tc>
          <w:tcPr>
            <w:tcW w:w="62" w:type="dxa"/>
            <w:tcBorders/>
            <w:vAlign w:val="bottom"/>
          </w:tcPr>
          <w:p>
            <w:pPr>
              <w:pStyle w:val="TableContents"/>
              <w:bidi w:val="0"/>
              <w:spacing w:before="0" w:after="283"/>
              <w:jc w:val="left"/>
              <w:rPr/>
            </w:pPr>
            <w:r>
              <w:rPr/>
              <w:t> </w:t>
            </w:r>
          </w:p>
        </w:tc>
      </w:tr>
      <w:tr>
        <w:trPr/>
        <w:tc>
          <w:tcPr>
            <w:tcW w:w="8537" w:type="dxa"/>
            <w:tcBorders/>
          </w:tcPr>
          <w:p>
            <w:pPr>
              <w:pStyle w:val="TableContents"/>
              <w:bidi w:val="0"/>
              <w:spacing w:before="0" w:after="0"/>
              <w:jc w:val="left"/>
              <w:rPr/>
            </w:pPr>
            <w:r>
              <w:rPr/>
              <w:t>“</w:t>
            </w:r>
            <w:r>
              <w:rPr>
                <w:rFonts w:ascii="Times New Roman" w:hAnsi="Times New Roman"/>
                <w:i/>
                <w:sz w:val="20"/>
              </w:rPr>
              <w:t>Change of Control Payment”</w:t>
            </w:r>
          </w:p>
        </w:tc>
        <w:tc>
          <w:tcPr>
            <w:tcW w:w="52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4.1</w:t>
            </w:r>
          </w:p>
        </w:tc>
        <w:tc>
          <w:tcPr>
            <w:tcW w:w="62" w:type="dxa"/>
            <w:tcBorders/>
            <w:vAlign w:val="bottom"/>
          </w:tcPr>
          <w:p>
            <w:pPr>
              <w:pStyle w:val="TableContents"/>
              <w:bidi w:val="0"/>
              <w:spacing w:before="0" w:after="283"/>
              <w:jc w:val="left"/>
              <w:rPr/>
            </w:pPr>
            <w:r>
              <w:rPr/>
              <w:t> </w:t>
            </w:r>
          </w:p>
        </w:tc>
      </w:tr>
      <w:tr>
        <w:trPr/>
        <w:tc>
          <w:tcPr>
            <w:tcW w:w="8537" w:type="dxa"/>
            <w:tcBorders/>
          </w:tcPr>
          <w:p>
            <w:pPr>
              <w:pStyle w:val="TableContents"/>
              <w:bidi w:val="0"/>
              <w:spacing w:before="0" w:after="0"/>
              <w:jc w:val="left"/>
              <w:rPr/>
            </w:pPr>
            <w:r>
              <w:rPr/>
              <w:t>“</w:t>
            </w:r>
            <w:r>
              <w:rPr>
                <w:rFonts w:ascii="Times New Roman" w:hAnsi="Times New Roman"/>
                <w:i/>
                <w:sz w:val="20"/>
              </w:rPr>
              <w:t>Change of Control Payment Date”</w:t>
            </w:r>
          </w:p>
        </w:tc>
        <w:tc>
          <w:tcPr>
            <w:tcW w:w="52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4.1</w:t>
            </w:r>
          </w:p>
        </w:tc>
        <w:tc>
          <w:tcPr>
            <w:tcW w:w="62" w:type="dxa"/>
            <w:tcBorders/>
            <w:vAlign w:val="bottom"/>
          </w:tcPr>
          <w:p>
            <w:pPr>
              <w:pStyle w:val="TableContents"/>
              <w:bidi w:val="0"/>
              <w:spacing w:before="0" w:after="283"/>
              <w:jc w:val="left"/>
              <w:rPr/>
            </w:pPr>
            <w:r>
              <w:rPr/>
              <w:t> </w:t>
            </w:r>
          </w:p>
        </w:tc>
      </w:tr>
      <w:tr>
        <w:trPr/>
        <w:tc>
          <w:tcPr>
            <w:tcW w:w="8537" w:type="dxa"/>
            <w:tcBorders/>
          </w:tcPr>
          <w:p>
            <w:pPr>
              <w:pStyle w:val="TableContents"/>
              <w:bidi w:val="0"/>
              <w:spacing w:before="0" w:after="0"/>
              <w:jc w:val="left"/>
              <w:rPr/>
            </w:pPr>
            <w:r>
              <w:rPr/>
              <w:t>“</w:t>
            </w:r>
            <w:r>
              <w:rPr>
                <w:rFonts w:ascii="Times New Roman" w:hAnsi="Times New Roman"/>
                <w:i/>
                <w:sz w:val="20"/>
              </w:rPr>
              <w:t>Debt”</w:t>
            </w:r>
          </w:p>
        </w:tc>
        <w:tc>
          <w:tcPr>
            <w:tcW w:w="52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4.2</w:t>
            </w:r>
          </w:p>
        </w:tc>
        <w:tc>
          <w:tcPr>
            <w:tcW w:w="62" w:type="dxa"/>
            <w:tcBorders/>
            <w:vAlign w:val="bottom"/>
          </w:tcPr>
          <w:p>
            <w:pPr>
              <w:pStyle w:val="TableContents"/>
              <w:bidi w:val="0"/>
              <w:spacing w:before="0" w:after="283"/>
              <w:jc w:val="left"/>
              <w:rPr/>
            </w:pPr>
            <w:r>
              <w:rPr/>
              <w:t> </w:t>
            </w:r>
          </w:p>
        </w:tc>
      </w:tr>
      <w:tr>
        <w:trPr/>
        <w:tc>
          <w:tcPr>
            <w:tcW w:w="8537" w:type="dxa"/>
            <w:tcBorders/>
          </w:tcPr>
          <w:p>
            <w:pPr>
              <w:pStyle w:val="TableContents"/>
              <w:bidi w:val="0"/>
              <w:spacing w:before="0" w:after="0"/>
              <w:jc w:val="left"/>
              <w:rPr/>
            </w:pPr>
            <w:r>
              <w:rPr/>
              <w:t>“</w:t>
            </w:r>
            <w:r>
              <w:rPr>
                <w:rFonts w:ascii="Times New Roman" w:hAnsi="Times New Roman"/>
                <w:i/>
                <w:sz w:val="20"/>
              </w:rPr>
              <w:t>DTC”</w:t>
            </w:r>
          </w:p>
        </w:tc>
        <w:tc>
          <w:tcPr>
            <w:tcW w:w="52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8537" w:type="dxa"/>
            <w:tcBorders/>
          </w:tcPr>
          <w:p>
            <w:pPr>
              <w:pStyle w:val="TableContents"/>
              <w:bidi w:val="0"/>
              <w:spacing w:before="0" w:after="0"/>
              <w:jc w:val="left"/>
              <w:rPr/>
            </w:pPr>
            <w:r>
              <w:rPr/>
              <w:t>“</w:t>
            </w:r>
            <w:r>
              <w:rPr>
                <w:rFonts w:ascii="Times New Roman" w:hAnsi="Times New Roman"/>
                <w:i/>
                <w:sz w:val="20"/>
              </w:rPr>
              <w:t>Event of Default”</w:t>
            </w:r>
          </w:p>
        </w:tc>
        <w:tc>
          <w:tcPr>
            <w:tcW w:w="52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5.1</w:t>
            </w:r>
          </w:p>
        </w:tc>
        <w:tc>
          <w:tcPr>
            <w:tcW w:w="62" w:type="dxa"/>
            <w:tcBorders/>
            <w:vAlign w:val="bottom"/>
          </w:tcPr>
          <w:p>
            <w:pPr>
              <w:pStyle w:val="TableContents"/>
              <w:bidi w:val="0"/>
              <w:spacing w:before="0" w:after="283"/>
              <w:jc w:val="left"/>
              <w:rPr/>
            </w:pPr>
            <w:r>
              <w:rPr/>
              <w:t> </w:t>
            </w:r>
          </w:p>
        </w:tc>
      </w:tr>
      <w:tr>
        <w:trPr/>
        <w:tc>
          <w:tcPr>
            <w:tcW w:w="8537" w:type="dxa"/>
            <w:tcBorders/>
          </w:tcPr>
          <w:p>
            <w:pPr>
              <w:pStyle w:val="TableContents"/>
              <w:bidi w:val="0"/>
              <w:spacing w:before="0" w:after="0"/>
              <w:jc w:val="left"/>
              <w:rPr/>
            </w:pPr>
            <w:r>
              <w:rPr/>
              <w:t>“</w:t>
            </w:r>
            <w:r>
              <w:rPr>
                <w:rFonts w:ascii="Times New Roman" w:hAnsi="Times New Roman"/>
                <w:i/>
                <w:sz w:val="20"/>
              </w:rPr>
              <w:t>incur”</w:t>
            </w:r>
          </w:p>
        </w:tc>
        <w:tc>
          <w:tcPr>
            <w:tcW w:w="52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4.2</w:t>
            </w:r>
          </w:p>
        </w:tc>
        <w:tc>
          <w:tcPr>
            <w:tcW w:w="62" w:type="dxa"/>
            <w:tcBorders/>
            <w:vAlign w:val="bottom"/>
          </w:tcPr>
          <w:p>
            <w:pPr>
              <w:pStyle w:val="TableContents"/>
              <w:bidi w:val="0"/>
              <w:spacing w:before="0" w:after="283"/>
              <w:jc w:val="left"/>
              <w:rPr/>
            </w:pPr>
            <w:r>
              <w:rPr/>
              <w:t> </w:t>
            </w:r>
          </w:p>
        </w:tc>
      </w:tr>
      <w:tr>
        <w:trPr/>
        <w:tc>
          <w:tcPr>
            <w:tcW w:w="8537" w:type="dxa"/>
            <w:tcBorders/>
          </w:tcPr>
          <w:p>
            <w:pPr>
              <w:pStyle w:val="TableContents"/>
              <w:bidi w:val="0"/>
              <w:spacing w:before="0" w:after="0"/>
              <w:jc w:val="left"/>
              <w:rPr/>
            </w:pPr>
            <w:r>
              <w:rPr/>
              <w:t>“</w:t>
            </w:r>
            <w:r>
              <w:rPr>
                <w:rFonts w:ascii="Times New Roman" w:hAnsi="Times New Roman"/>
                <w:i/>
                <w:sz w:val="20"/>
              </w:rPr>
              <w:t>Instructions”</w:t>
            </w:r>
          </w:p>
        </w:tc>
        <w:tc>
          <w:tcPr>
            <w:tcW w:w="52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7.9</w:t>
            </w:r>
          </w:p>
        </w:tc>
        <w:tc>
          <w:tcPr>
            <w:tcW w:w="62" w:type="dxa"/>
            <w:tcBorders/>
            <w:vAlign w:val="bottom"/>
          </w:tcPr>
          <w:p>
            <w:pPr>
              <w:pStyle w:val="TableContents"/>
              <w:bidi w:val="0"/>
              <w:spacing w:before="0" w:after="283"/>
              <w:jc w:val="left"/>
              <w:rPr/>
            </w:pPr>
            <w:r>
              <w:rPr/>
              <w:t> </w:t>
            </w:r>
          </w:p>
        </w:tc>
      </w:tr>
      <w:tr>
        <w:trPr/>
        <w:tc>
          <w:tcPr>
            <w:tcW w:w="8537" w:type="dxa"/>
            <w:tcBorders/>
          </w:tcPr>
          <w:p>
            <w:pPr>
              <w:pStyle w:val="TableContents"/>
              <w:bidi w:val="0"/>
              <w:spacing w:before="0" w:after="0"/>
              <w:jc w:val="left"/>
              <w:rPr/>
            </w:pPr>
            <w:r>
              <w:rPr/>
              <w:t>“</w:t>
            </w:r>
            <w:r>
              <w:rPr>
                <w:rFonts w:ascii="Times New Roman" w:hAnsi="Times New Roman"/>
                <w:i/>
                <w:sz w:val="20"/>
              </w:rPr>
              <w:t>Lien”</w:t>
            </w:r>
          </w:p>
        </w:tc>
        <w:tc>
          <w:tcPr>
            <w:tcW w:w="52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4.2</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0" w:after="0"/>
        <w:jc w:val="center"/>
        <w:rPr>
          <w:rFonts w:ascii="Times New Roman" w:hAnsi="Times New Roman"/>
          <w:b/>
          <w:sz w:val="20"/>
        </w:rPr>
      </w:pPr>
      <w:r>
        <w:rPr>
          <w:rFonts w:ascii="Times New Roman" w:hAnsi="Times New Roman"/>
          <w:b/>
          <w:sz w:val="20"/>
        </w:rPr>
        <w:t xml:space="preserve">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i/>
          <w:sz w:val="20"/>
        </w:rPr>
        <w:t>Form and Dating.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w:t>
      </w:r>
      <w:r>
        <w:rPr>
          <w:rFonts w:ascii="Times New Roman" w:hAnsi="Times New Roman"/>
          <w:sz w:val="20"/>
        </w:rPr>
        <w:t xml:space="preserve"> The 2029 Notes and the Trustee’s certificate of authentication with respect thereto will be substantially in the form of </w:t>
      </w:r>
      <w:r>
        <w:rPr>
          <w:rFonts w:ascii="Times New Roman" w:hAnsi="Times New Roman"/>
          <w:sz w:val="20"/>
          <w:u w:val="single"/>
        </w:rPr>
        <w:t>Exhibit A</w:t>
      </w:r>
      <w:r>
        <w:rPr>
          <w:rFonts w:ascii="Times New Roman" w:hAnsi="Times New Roman"/>
          <w:sz w:val="20"/>
        </w:rPr>
        <w:t xml:space="preserve"> hereto. The 2031 Notes and the Trustee’s certificate of authentication with respect thereto will be substantially in the form of </w:t>
      </w:r>
      <w:r>
        <w:rPr>
          <w:rFonts w:ascii="Times New Roman" w:hAnsi="Times New Roman"/>
          <w:sz w:val="20"/>
          <w:u w:val="single"/>
        </w:rPr>
        <w:t>Exhibit B</w:t>
      </w:r>
      <w:r>
        <w:rPr>
          <w:rFonts w:ascii="Times New Roman" w:hAnsi="Times New Roman"/>
          <w:sz w:val="20"/>
        </w:rPr>
        <w:t xml:space="preserve"> hereto. The 2033 Notes and the Trustee’s certificate of authentication with respect thereto will be substantially in the form of </w:t>
      </w:r>
      <w:r>
        <w:rPr>
          <w:rFonts w:ascii="Times New Roman" w:hAnsi="Times New Roman"/>
          <w:sz w:val="20"/>
          <w:u w:val="single"/>
        </w:rPr>
        <w:t>Exhibit C</w:t>
      </w:r>
      <w:r>
        <w:rPr>
          <w:rFonts w:ascii="Times New Roman" w:hAnsi="Times New Roman"/>
          <w:sz w:val="20"/>
        </w:rPr>
        <w:t xml:space="preserve"> hereto. The 2036 Notes and the Trustee’s certificate of authentication with respect thereto will be substantially in the form of </w:t>
      </w:r>
      <w:r>
        <w:rPr>
          <w:rFonts w:ascii="Times New Roman" w:hAnsi="Times New Roman"/>
          <w:sz w:val="20"/>
          <w:u w:val="single"/>
        </w:rPr>
        <w:t>Exhibit D</w:t>
      </w:r>
      <w:r>
        <w:rPr>
          <w:rFonts w:ascii="Times New Roman" w:hAnsi="Times New Roman"/>
          <w:sz w:val="20"/>
        </w:rPr>
        <w:t xml:space="preserve"> hereto. The Notes may have notations, legends or endorsements required by law, stock exchange rule or usage. Each Note will be dated the date of its authentication. The Notes will be in denominations of $2,000 with integral multiples of $1,000 thereof. </w:t>
      </w:r>
    </w:p>
    <w:p>
      <w:pPr>
        <w:pStyle w:val="TextBody"/>
        <w:bidi w:val="0"/>
        <w:spacing w:before="240" w:after="0"/>
        <w:jc w:val="left"/>
        <w:rPr>
          <w:rFonts w:ascii="Times New Roman" w:hAnsi="Times New Roman"/>
          <w:sz w:val="20"/>
        </w:rPr>
      </w:pPr>
      <w:r>
        <w:rPr>
          <w:rFonts w:ascii="Times New Roman" w:hAnsi="Times New Roman"/>
          <w:sz w:val="20"/>
        </w:rPr>
        <w:t xml:space="preserve">The terms and provisions contained in the Notes will constitute, and are hereby expressly made, a part of this Supplemental Indenture and the Company and the Trustee, by their execution and delivery of this Supplemental Indenture, expressly agree to such terms and provisions and to be bound thereby. However, to the extent any provision of any Note conflicts with the express provisions of the Indenture, the provisions of the Indenture will govern and be controlling.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Global Notes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 2029 Notes issued in global form will be substantially in the form of </w:t>
      </w:r>
      <w:r>
        <w:rPr>
          <w:rFonts w:ascii="Times New Roman" w:hAnsi="Times New Roman"/>
          <w:sz w:val="20"/>
          <w:u w:val="single"/>
        </w:rPr>
        <w:t>Exhibit A</w:t>
      </w:r>
      <w:r>
        <w:rPr>
          <w:rFonts w:ascii="Times New Roman" w:hAnsi="Times New Roman"/>
          <w:sz w:val="20"/>
        </w:rPr>
        <w:t> attached hereto (including the Global Note Legend thereon). 2029 Notes issued in definitive form will be substantially in the form of </w:t>
      </w:r>
      <w:r>
        <w:rPr>
          <w:rFonts w:ascii="Times New Roman" w:hAnsi="Times New Roman"/>
          <w:sz w:val="20"/>
          <w:u w:val="single"/>
        </w:rPr>
        <w:t>Exhibit A</w:t>
      </w:r>
      <w:r>
        <w:rPr>
          <w:rFonts w:ascii="Times New Roman" w:hAnsi="Times New Roman"/>
          <w:sz w:val="20"/>
        </w:rPr>
        <w:t xml:space="preserve"> attached hereto (but without the Global Note Legend thereon). </w:t>
      </w:r>
    </w:p>
    <w:p>
      <w:pPr>
        <w:pStyle w:val="TextBody"/>
        <w:bidi w:val="0"/>
        <w:spacing w:before="120" w:after="0"/>
        <w:jc w:val="left"/>
        <w:rPr>
          <w:rFonts w:ascii="Times New Roman" w:hAnsi="Times New Roman"/>
          <w:sz w:val="20"/>
        </w:rPr>
      </w:pPr>
      <w:r>
        <w:rPr>
          <w:rFonts w:ascii="Times New Roman" w:hAnsi="Times New Roman"/>
          <w:sz w:val="20"/>
        </w:rPr>
        <w:t>(2) 2031 Notes issued in global form will be substantially in the form of </w:t>
      </w:r>
      <w:r>
        <w:rPr>
          <w:rFonts w:ascii="Times New Roman" w:hAnsi="Times New Roman"/>
          <w:sz w:val="20"/>
          <w:u w:val="single"/>
        </w:rPr>
        <w:t>Exhibit B</w:t>
      </w:r>
      <w:r>
        <w:rPr>
          <w:rFonts w:ascii="Times New Roman" w:hAnsi="Times New Roman"/>
          <w:sz w:val="20"/>
        </w:rPr>
        <w:t> attached hereto (including the Global Note Legend thereon). 2031 Notes issued in definitive form will be substantially in the form of </w:t>
      </w:r>
      <w:r>
        <w:rPr>
          <w:rFonts w:ascii="Times New Roman" w:hAnsi="Times New Roman"/>
          <w:sz w:val="20"/>
          <w:u w:val="single"/>
        </w:rPr>
        <w:t>Exhibit B</w:t>
      </w:r>
      <w:r>
        <w:rPr>
          <w:rFonts w:ascii="Times New Roman" w:hAnsi="Times New Roman"/>
          <w:sz w:val="20"/>
        </w:rPr>
        <w:t xml:space="preserve"> attached hereto (but without the Global Note Legend thereon). </w:t>
      </w:r>
    </w:p>
    <w:p>
      <w:pPr>
        <w:pStyle w:val="TextBody"/>
        <w:bidi w:val="0"/>
        <w:spacing w:before="120" w:after="0"/>
        <w:jc w:val="left"/>
        <w:rPr>
          <w:rFonts w:ascii="Times New Roman" w:hAnsi="Times New Roman"/>
          <w:sz w:val="20"/>
        </w:rPr>
      </w:pPr>
      <w:r>
        <w:rPr>
          <w:rFonts w:ascii="Times New Roman" w:hAnsi="Times New Roman"/>
          <w:sz w:val="20"/>
        </w:rPr>
        <w:t>(3) 2033 Notes issued in global form will be substantially in the form of </w:t>
      </w:r>
      <w:r>
        <w:rPr>
          <w:rFonts w:ascii="Times New Roman" w:hAnsi="Times New Roman"/>
          <w:sz w:val="20"/>
          <w:u w:val="single"/>
        </w:rPr>
        <w:t>Exhibit C</w:t>
      </w:r>
      <w:r>
        <w:rPr>
          <w:rFonts w:ascii="Times New Roman" w:hAnsi="Times New Roman"/>
          <w:sz w:val="20"/>
        </w:rPr>
        <w:t> attached hereto (including the Global Note Legend thereon). 2033 Notes issued in definitive form will be substantially in the form of </w:t>
      </w:r>
      <w:r>
        <w:rPr>
          <w:rFonts w:ascii="Times New Roman" w:hAnsi="Times New Roman"/>
          <w:sz w:val="20"/>
          <w:u w:val="single"/>
        </w:rPr>
        <w:t>Exhibit C</w:t>
      </w:r>
      <w:r>
        <w:rPr>
          <w:rFonts w:ascii="Times New Roman" w:hAnsi="Times New Roman"/>
          <w:sz w:val="20"/>
        </w:rPr>
        <w:t xml:space="preserve"> attached hereto (but without the Global Note Legend thereon). </w:t>
      </w:r>
    </w:p>
    <w:p>
      <w:pPr>
        <w:pStyle w:val="TextBody"/>
        <w:bidi w:val="0"/>
        <w:spacing w:before="120" w:after="0"/>
        <w:jc w:val="left"/>
        <w:rPr>
          <w:rFonts w:ascii="Times New Roman" w:hAnsi="Times New Roman"/>
          <w:sz w:val="20"/>
        </w:rPr>
      </w:pPr>
      <w:r>
        <w:rPr>
          <w:rFonts w:ascii="Times New Roman" w:hAnsi="Times New Roman"/>
          <w:sz w:val="20"/>
        </w:rPr>
        <w:t>(4) 2036 Notes issued in global form will be substantially in the form of </w:t>
      </w:r>
      <w:r>
        <w:rPr>
          <w:rFonts w:ascii="Times New Roman" w:hAnsi="Times New Roman"/>
          <w:sz w:val="20"/>
          <w:u w:val="single"/>
        </w:rPr>
        <w:t>Exhibit D</w:t>
      </w:r>
      <w:r>
        <w:rPr>
          <w:rFonts w:ascii="Times New Roman" w:hAnsi="Times New Roman"/>
          <w:sz w:val="20"/>
        </w:rPr>
        <w:t> attached hereto (including the Global Note Legend thereon). 2036 Notes issued in definitive form will be substantially in the form of </w:t>
      </w:r>
      <w:r>
        <w:rPr>
          <w:rFonts w:ascii="Times New Roman" w:hAnsi="Times New Roman"/>
          <w:sz w:val="20"/>
          <w:u w:val="single"/>
        </w:rPr>
        <w:t>Exhibit D</w:t>
      </w:r>
      <w:r>
        <w:rPr>
          <w:rFonts w:ascii="Times New Roman" w:hAnsi="Times New Roman"/>
          <w:sz w:val="20"/>
        </w:rPr>
        <w:t xml:space="preserve"> attached hereto (but without the Global Note Legend thereon). </w:t>
      </w:r>
    </w:p>
    <w:p>
      <w:pPr>
        <w:pStyle w:val="TextBody"/>
        <w:bidi w:val="0"/>
        <w:spacing w:before="120" w:after="0"/>
        <w:jc w:val="left"/>
        <w:rPr>
          <w:rFonts w:ascii="Times New Roman" w:hAnsi="Times New Roman"/>
          <w:sz w:val="20"/>
        </w:rPr>
      </w:pPr>
      <w:r>
        <w:rPr>
          <w:rFonts w:ascii="Times New Roman" w:hAnsi="Times New Roman"/>
          <w:sz w:val="20"/>
        </w:rPr>
        <w:t>(5) Each Global Note will represent such of the outstanding Notes as will be specified therein and each will provide that it will represent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will be made by the Trustee or the Custodian, at the direction of the Trustee, in accordance with instructions given by the Holder thereof as required by Section 2.2 hereof. The Company initially appoints The Depository Trust Company (“</w:t>
      </w:r>
      <w:r>
        <w:rPr>
          <w:rFonts w:ascii="Times New Roman" w:hAnsi="Times New Roman"/>
          <w:b/>
          <w:i/>
          <w:sz w:val="20"/>
        </w:rPr>
        <w:t>DTC</w:t>
      </w:r>
      <w:r>
        <w:rPr>
          <w:rFonts w:ascii="Times New Roman" w:hAnsi="Times New Roman"/>
          <w:sz w:val="20"/>
        </w:rPr>
        <w:t xml:space="preserve">”) to act as Depositary with respect to the Global Notes.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i/>
          <w:sz w:val="20"/>
        </w:rPr>
        <w:t>Transfer and Exchange.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Transfer and Exchange of Global Notes</w:t>
      </w:r>
      <w:r>
        <w:rPr>
          <w:rFonts w:ascii="Times New Roman" w:hAnsi="Times New Roman"/>
          <w:sz w:val="20"/>
        </w:rPr>
        <w:t xml:space="preserve">. A Global Note may not be transferred as a whole except by the Depositary to a nominee of the Depositary, by a nominee of the Depositary to the Depositary or to another nominee of the Depositary, or by the Depositary or any such nominee to a successor Depositary or a nominee of such successor Depositary. All Global Notes of a Series hereunder will be exchanged by the Company for Definitive Notes of the same Series if, with respect to such Series of Notes: </w:t>
      </w:r>
    </w:p>
    <w:p>
      <w:pPr>
        <w:pStyle w:val="TextBody"/>
        <w:bidi w:val="0"/>
        <w:spacing w:before="120" w:after="0"/>
        <w:jc w:val="left"/>
        <w:rPr>
          <w:rFonts w:ascii="Times New Roman" w:hAnsi="Times New Roman"/>
          <w:sz w:val="20"/>
        </w:rPr>
      </w:pPr>
      <w:r>
        <w:rPr>
          <w:rFonts w:ascii="Times New Roman" w:hAnsi="Times New Roman"/>
          <w:sz w:val="20"/>
        </w:rPr>
        <w:t xml:space="preserve">(1) the Company delivers to the Trustee notice from the Depositary that it is unwilling or unable to continue to act as Depositary or that it is no longer a clearing agency registered under the Exchange Act and, in either case, a successor Depositary is not appointed by the Company within 90 days after the date of such notice from the Depositary;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the Company in its sole discretion and subject to the procedures of the Depositary determines that the Global Notes of such Series (in whole but not in part) should be exchanged for Definitive Notes and delivers a written notice to such effect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Upon the occurrence of either of the preceding events in (1) or (2) above with respect to a Series of Notes hereunder, Definitive Notes will be issued for such Series in such names and in any approved denominations as the Depositary will instruct the Trustee. Global Notes also may be exchanged or replaced, in whole or in part, as provided in Sections 2.8 and 2.11 of the Base Indenture. Every Note authenticated and delivered in exchange for, or in lieu of, a Global Note or any portion thereof, pursuant to this Section 2.2 (subject to any contrary provision in this Section 2.2(a)) or Sections 2.8 or 2.11 of the Base Indenture, will be authenticated and delivered in the form of, and will be, a Global Note. A Global Note may not be exchanged for another Note other than as provided in this Section 2.2(a); however, beneficial interests in a Global Note may be transferred and exchanged as provided in Sections 2.2(b) or (f) hereof.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Transfer and Exchange of Beneficial Interests in the Global Notes</w:t>
      </w:r>
      <w:r>
        <w:rPr>
          <w:rFonts w:ascii="Times New Roman" w:hAnsi="Times New Roman"/>
          <w:sz w:val="20"/>
        </w:rPr>
        <w:t xml:space="preserve">. The transfer and exchange of beneficial interests in the Global Notes will be effected through the Depositary, in accordance with the provisions of this Supplemental Indenture and the Applicable Procedures. Transfers of beneficial interests in the Global Notes also will require compliance with either subparagraph (1) or (2) below, as applicable, as well as one or more of the other following subparagraphs, as applicable: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Transfer of Beneficial Interests in the Same Global Note</w:t>
      </w:r>
      <w:r>
        <w:rPr>
          <w:rFonts w:ascii="Times New Roman" w:hAnsi="Times New Roman"/>
          <w:sz w:val="20"/>
        </w:rPr>
        <w:t xml:space="preserve">. Beneficial interests in any Global Note may be transferred to persons who take delivery thereof in the form of a beneficial interest in a Global Note. No written orders or instructions will be required to be delivered to the Registrar to effect the transfers described in this Section 2.2(b)(1).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All Other Transfers and Exchanges of Beneficial Interests in Global Notes</w:t>
      </w:r>
      <w:r>
        <w:rPr>
          <w:rFonts w:ascii="Times New Roman" w:hAnsi="Times New Roman"/>
          <w:sz w:val="20"/>
        </w:rPr>
        <w:t xml:space="preserve">. In connection with all transfers and exchanges of beneficial interests with respect to a Series of Notes that are not subject to Section 2.2(b)(1) above, the transferor of such beneficial interest must deliver to the Registrar: </w:t>
      </w:r>
    </w:p>
    <w:p>
      <w:pPr>
        <w:pStyle w:val="TextBody"/>
        <w:bidi w:val="0"/>
        <w:spacing w:before="120" w:after="0"/>
        <w:jc w:val="left"/>
        <w:rPr>
          <w:rFonts w:ascii="Times New Roman" w:hAnsi="Times New Roman"/>
          <w:sz w:val="20"/>
        </w:rPr>
      </w:pPr>
      <w:r>
        <w:rPr>
          <w:rFonts w:ascii="Times New Roman" w:hAnsi="Times New Roman"/>
          <w:sz w:val="20"/>
        </w:rPr>
        <w:t xml:space="preserve">(i) 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 </w:t>
      </w:r>
    </w:p>
    <w:p>
      <w:pPr>
        <w:pStyle w:val="TextBody"/>
        <w:bidi w:val="0"/>
        <w:spacing w:before="120" w:after="0"/>
        <w:jc w:val="left"/>
        <w:rPr>
          <w:rFonts w:ascii="Times New Roman" w:hAnsi="Times New Roman"/>
          <w:sz w:val="20"/>
        </w:rPr>
      </w:pPr>
      <w:r>
        <w:rPr>
          <w:rFonts w:ascii="Times New Roman" w:hAnsi="Times New Roman"/>
          <w:sz w:val="20"/>
        </w:rPr>
        <w:t xml:space="preserve">(ii) instructions given in accordance with the Applicable Procedures containing information regarding the Participant account to be credited with such increase.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 Series of Notes hereunder, upon satisfaction of all of the requirements for transfer or exchange of beneficial interests in Global Notes contained in this Supplemental Indenture and the Notes of such Series, as evidenced by an Officers’ Certificate delivered to the Trustee, the Trustee will adjust the principal amount of the relevant Global Note(s) pursuant to Section 2.2(f)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Transfer and Exchange of Definitive Notes for Beneficial Interests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Holder of a Definitive Note may exchange such Note for a beneficial interest in a Global Note of the same Series or transfer such Definitive Notes to a person who takes delivery thereof in the form of a beneficial interest in a Global Note of the same Series at any time. Upon receipt of a request for such an exchange or transfer, the Trustee will cancel the applicable Definitive Note and increase, or cause to be increased, the aggregate principal amount of one of the applicable Global Notes. </w:t>
      </w:r>
    </w:p>
    <w:p>
      <w:pPr>
        <w:pStyle w:val="TextBody"/>
        <w:bidi w:val="0"/>
        <w:spacing w:before="240" w:after="0"/>
        <w:jc w:val="left"/>
        <w:rPr>
          <w:rFonts w:ascii="Times New Roman" w:hAnsi="Times New Roman"/>
          <w:sz w:val="20"/>
        </w:rPr>
      </w:pPr>
      <w:r>
        <w:rPr>
          <w:rFonts w:ascii="Times New Roman" w:hAnsi="Times New Roman"/>
          <w:sz w:val="20"/>
        </w:rPr>
        <w:t xml:space="preserve">If, with respect to a Series of Notes, any such exchange or transfer from a Definitive Note to a beneficial interest is effected pursuant to the previous paragraph at a time when a Global Note of the same Series has not yet been issued, the Company will issue and, upon receipt of a Company Order, the Trustee will authenticate one or more Global Notes of such Series in an aggregate principal amount equal to the principal amount of Definitive Notes so transferred.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Transfer and Exchange of Definitive Notes for Definitive Notes</w:t>
      </w:r>
      <w:r>
        <w:rPr>
          <w:rFonts w:ascii="Times New Roman" w:hAnsi="Times New Roman"/>
          <w:sz w:val="20"/>
        </w:rPr>
        <w:t xml:space="preserve">. A Holder of Definitive Notes may transfer such Notes to a person who takes delivery thereof in the form of a Definitive Note of the same Series. Upon request by a Holder of Definitive Notes and such Holder’s compliance with the provisions of this Section 2.2(d), the Registrar will register the transfer or exchange of Definitive Notes. Prior to such registration of transfer or exchange, the requesting Holder will present or surrender to the Registrar the Definitive Notes duly endorsed or accompanied by a written instruction of transfer in form satisfactory to the Registrar duly executed by such Holder or by his attorney, duly authorized in writing. In addition, the requesting Holder will provide any additional required certifications, documents and information, as applicable.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Legends</w:t>
      </w:r>
      <w:r>
        <w:rPr>
          <w:rFonts w:ascii="Times New Roman" w:hAnsi="Times New Roman"/>
          <w:sz w:val="20"/>
        </w:rPr>
        <w:t xml:space="preserve">. The following legends will appear on the face of all Global Notes issued under this Supplemental Indenture unless specifically stated otherwise in the applicable provisions of this Supplemental Indenture. </w:t>
      </w:r>
    </w:p>
    <w:p>
      <w:pPr>
        <w:pStyle w:val="TextBody"/>
        <w:bidi w:val="0"/>
        <w:spacing w:before="120" w:after="0"/>
        <w:jc w:val="left"/>
        <w:rPr/>
      </w:pPr>
      <w:r>
        <w:rPr/>
        <w:t>“</w:t>
      </w:r>
      <w:r>
        <w:rPr>
          <w:rFonts w:ascii="Times New Roman" w:hAnsi="Times New Roman"/>
          <w:sz w:val="20"/>
        </w:rPr>
        <w:t xml:space="preserve">THIS GLOBAL NOTE IS HELD BY THE DEPOSITARY (AS DEFINED IN THE SUPPLEMENTAL INDENTURE HEREINAFTER REFERRED TO) OR ITS NOMINEE IN CUSTODY FOR THE BENEFIT OF THE BENEFICIAL OWNERS HEREOF, AND IS NOT TRANSFERABLE TO ANY PERSON UNDER ANY CIRCUMSTANCES EXCEPT THAT (I) THE TRUSTEE MAY MAKE SUCH NOTATIONS HEREON AS MAY BE REQUIRED PURSUANT TO SECTION 2.2 OF THE SUPPLEMENTAL INDENTURE, (II) THIS GLOBAL NOTE MAY BE EXCHANGED IN WHOLE BUT NOT IN PART PURSUANT TO SECTION 2.2(a) OF THE SUPPLEMENTAL INDENTURE, (III) THIS GLOBAL NOTE MAY BE DELIVERED TO THE TRUSTEE FOR CANCELLATION PURSUANT TO SECTION 2.12 OF THE BASE INDENTURE HEREINAFTER REFERRED TO AND (IV) THIS GLOBAL NOTE MAY BE TRANSFERRED TO A SUCCESSOR DEPOSITARY WITH THE PRIOR WRITTEN CONSENT OF THE COMPANY HEREINAFTER REFERRED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THIS GLOBAL NOTE IS A GLOBAL NOTE WITHIN THE MEANING OF THE SUPPLEMENTAL INDENTURE HEREINAFTER REFERRED TO AND IS REGISTERED IN THE NAME OF THE DEPOSITARY OR A NOMINEE OF THE DEPOSITARY. THIS GLOBAL NOTE IS EXCHANGEABLE FOR NOTES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 UNLESS THIS CERTIFICATE IS PRESENTED BY AN AUTHORIZED REPRESENTATIVE OF THE DEPOSITORY TRUST COMPANY (55 WATER STREET, NEW YORK, NEW YORK) (“</w:t>
      </w:r>
      <w:r>
        <w:rPr>
          <w:rFonts w:ascii="Times New Roman" w:hAnsi="Times New Roman"/>
          <w:b/>
          <w:i/>
          <w:sz w:val="20"/>
        </w:rPr>
        <w:t>DTC</w:t>
      </w:r>
      <w:r>
        <w:rPr>
          <w:rFonts w:ascii="Times New Roman" w:hAnsi="Times New Roman"/>
          <w:sz w:val="20"/>
        </w:rPr>
        <w:t xml:space="preserve">”)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Cancellation and/or Adjustment of Global Notes</w:t>
      </w:r>
      <w:r>
        <w:rPr>
          <w:rFonts w:ascii="Times New Roman" w:hAnsi="Times New Roman"/>
          <w:sz w:val="20"/>
        </w:rPr>
        <w:t xml:space="preserve">. At such time as all beneficial interests in a particular Global Note have been exchanged for Definitive Notes or a particular Global Note has been redeemed, repurchased or canceled in whole and not in part, each such Global Note will be returned to or retained and canceled by the Trustee in accordance with Section 2.12 of the Base Indenture. At any time prior to such cancellation, if any beneficial interest in a Global Note is exchanged for or transferred to a person who will take delivery thereof in the form of a beneficial interest in another Global Note of the same Series, the principal amount of Notes represented by such Global Note will be reduced accordingly and an endorsement will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will be increased accordingly and an endorsement will be made on such Global Note by the Trustee or by the Depositary at the direction of the Trustee to reflect such increase.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General Provisions Relating to Transfers and Exchanges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 To permit registrations of transfers and exchanges, the Company will execute and the Trustee will authenticate Global Notes and Definitive Notes upon the receipt of a Company Order. </w:t>
      </w:r>
    </w:p>
    <w:p>
      <w:pPr>
        <w:pStyle w:val="TextBody"/>
        <w:bidi w:val="0"/>
        <w:spacing w:before="120" w:after="0"/>
        <w:jc w:val="left"/>
        <w:rPr>
          <w:rFonts w:ascii="Times New Roman" w:hAnsi="Times New Roman"/>
          <w:sz w:val="20"/>
        </w:rPr>
      </w:pPr>
      <w:r>
        <w:rPr>
          <w:rFonts w:ascii="Times New Roman" w:hAnsi="Times New Roman"/>
          <w:sz w:val="20"/>
        </w:rPr>
        <w:t xml:space="preserve">(2) No service charge will be made to a holder of a beneficial interest in a Global Note or to a Holder of a Definitive Note for any registration of transfer or exchange, but the Company may require payment of a sum sufficient to cover any transfer tax or similar governmental charge payable in connection therewith (other than any such transfer taxes or similar governmental charge payable upon exchange or transfer pursuant to Sections 2.11, 3.6 and 9.6 of the Base Indenture). </w:t>
      </w:r>
    </w:p>
    <w:p>
      <w:pPr>
        <w:pStyle w:val="TextBody"/>
        <w:bidi w:val="0"/>
        <w:spacing w:before="120" w:after="0"/>
        <w:jc w:val="left"/>
        <w:rPr>
          <w:rFonts w:ascii="Times New Roman" w:hAnsi="Times New Roman"/>
          <w:sz w:val="20"/>
        </w:rPr>
      </w:pPr>
      <w:r>
        <w:rPr>
          <w:rFonts w:ascii="Times New Roman" w:hAnsi="Times New Roman"/>
          <w:sz w:val="20"/>
        </w:rPr>
        <w:t xml:space="preserve">(3) The Registrar will not be required to register the transfer of or exchange any Note selected for redemption in whole or in part, except the unredeemed portion of any Note being redeemed in part. </w:t>
      </w:r>
    </w:p>
    <w:p>
      <w:pPr>
        <w:pStyle w:val="TextBody"/>
        <w:bidi w:val="0"/>
        <w:spacing w:before="120" w:after="0"/>
        <w:jc w:val="left"/>
        <w:rPr>
          <w:rFonts w:ascii="Times New Roman" w:hAnsi="Times New Roman"/>
          <w:sz w:val="20"/>
        </w:rPr>
      </w:pPr>
      <w:r>
        <w:rPr>
          <w:rFonts w:ascii="Times New Roman" w:hAnsi="Times New Roman"/>
          <w:sz w:val="20"/>
        </w:rPr>
        <w:t xml:space="preserve">(4) All Global Notes and Definitive Notes issued upon any registration of transfer or exchange of Global Notes or Definitive Notes will be the valid obligations of the Company, evidencing the same debt and entitled to the same benefits under this Supplemental Indenture, as the Global Notes or Definitive Notes surrendered upon such registration of transfer or exchange. </w:t>
      </w:r>
    </w:p>
    <w:p>
      <w:pPr>
        <w:pStyle w:val="TextBody"/>
        <w:bidi w:val="0"/>
        <w:spacing w:before="120" w:after="0"/>
        <w:jc w:val="left"/>
        <w:rPr>
          <w:rFonts w:ascii="Times New Roman" w:hAnsi="Times New Roman"/>
          <w:sz w:val="20"/>
        </w:rPr>
      </w:pPr>
      <w:r>
        <w:rPr>
          <w:rFonts w:ascii="Times New Roman" w:hAnsi="Times New Roman"/>
          <w:sz w:val="20"/>
        </w:rPr>
        <w:t xml:space="preserve">(5) The Company will not be required, with respect to a Series of Notes hereunder: </w:t>
      </w:r>
    </w:p>
    <w:p>
      <w:pPr>
        <w:pStyle w:val="TextBody"/>
        <w:bidi w:val="0"/>
        <w:spacing w:before="120" w:after="0"/>
        <w:jc w:val="left"/>
        <w:rPr>
          <w:rFonts w:ascii="Times New Roman" w:hAnsi="Times New Roman"/>
          <w:sz w:val="20"/>
        </w:rPr>
      </w:pPr>
      <w:r>
        <w:rPr>
          <w:rFonts w:ascii="Times New Roman" w:hAnsi="Times New Roman"/>
          <w:sz w:val="20"/>
        </w:rPr>
        <w:t xml:space="preserve">(i) to issue, to register the transfer of or to exchange any Notes of such Series during a period of 15 days before the day of any selection of Notes of such Series for redemption under Section 3.2 of the Base Indenture and ending at the close of business on the day of selection; </w:t>
      </w:r>
    </w:p>
    <w:p>
      <w:pPr>
        <w:pStyle w:val="TextBody"/>
        <w:bidi w:val="0"/>
        <w:spacing w:before="120" w:after="0"/>
        <w:jc w:val="left"/>
        <w:rPr>
          <w:rFonts w:ascii="Times New Roman" w:hAnsi="Times New Roman"/>
          <w:sz w:val="20"/>
        </w:rPr>
      </w:pPr>
      <w:r>
        <w:rPr>
          <w:rFonts w:ascii="Times New Roman" w:hAnsi="Times New Roman"/>
          <w:sz w:val="20"/>
        </w:rPr>
        <w:t xml:space="preserve">(ii) to register the transfer of or to exchange any Note of such Series so selected for redemption in whole or in part, except the unredeemed portion of any Note of such Series being redeemed in part; or </w:t>
      </w:r>
    </w:p>
    <w:p>
      <w:pPr>
        <w:pStyle w:val="TextBody"/>
        <w:bidi w:val="0"/>
        <w:spacing w:before="120" w:after="0"/>
        <w:jc w:val="left"/>
        <w:rPr>
          <w:rFonts w:ascii="Times New Roman" w:hAnsi="Times New Roman"/>
          <w:sz w:val="20"/>
        </w:rPr>
      </w:pPr>
      <w:r>
        <w:rPr>
          <w:rFonts w:ascii="Times New Roman" w:hAnsi="Times New Roman"/>
          <w:sz w:val="20"/>
        </w:rPr>
        <w:t xml:space="preserve">(iii) to register the transfer of or to exchange a Note of such Series between a record date and the next succeeding interest payment date. </w:t>
      </w:r>
    </w:p>
    <w:p>
      <w:pPr>
        <w:pStyle w:val="TextBody"/>
        <w:bidi w:val="0"/>
        <w:spacing w:before="120" w:after="0"/>
        <w:jc w:val="left"/>
        <w:rPr>
          <w:rFonts w:ascii="Times New Roman" w:hAnsi="Times New Roman"/>
          <w:sz w:val="20"/>
        </w:rPr>
      </w:pPr>
      <w:r>
        <w:rPr>
          <w:rFonts w:ascii="Times New Roman" w:hAnsi="Times New Roman"/>
          <w:sz w:val="20"/>
        </w:rPr>
        <w:t xml:space="preserve">(6) Prior to due presentment for the registration of a transfer of any Note, the Trustee, any Agent and the Company may deem and treat the person in whose name any Note is registered as the absolute owner of such Note for the purpose of receiving payment of principal of and (subject to the record date provisions hereof) interest on such Notes and for all other purposes, and none of the Trustee, any Agent or the Company will be affected by notice to the contrary. </w:t>
      </w:r>
    </w:p>
    <w:p>
      <w:pPr>
        <w:pStyle w:val="TextBody"/>
        <w:bidi w:val="0"/>
        <w:spacing w:before="120" w:after="0"/>
        <w:jc w:val="left"/>
        <w:rPr>
          <w:rFonts w:ascii="Times New Roman" w:hAnsi="Times New Roman"/>
          <w:sz w:val="20"/>
        </w:rPr>
      </w:pPr>
      <w:r>
        <w:rPr>
          <w:rFonts w:ascii="Times New Roman" w:hAnsi="Times New Roman"/>
          <w:sz w:val="20"/>
        </w:rPr>
        <w:t xml:space="preserve">(7) The Trustee will authenticate Global Notes and Definitive Notes in accordance with the provisions of Section 2.3 of the Base Indenture. </w:t>
      </w:r>
    </w:p>
    <w:p>
      <w:pPr>
        <w:pStyle w:val="TextBody"/>
        <w:bidi w:val="0"/>
        <w:spacing w:before="120" w:after="0"/>
        <w:jc w:val="left"/>
        <w:rPr>
          <w:rFonts w:ascii="Times New Roman" w:hAnsi="Times New Roman"/>
          <w:sz w:val="20"/>
        </w:rPr>
      </w:pPr>
      <w:r>
        <w:rPr>
          <w:rFonts w:ascii="Times New Roman" w:hAnsi="Times New Roman"/>
          <w:sz w:val="20"/>
        </w:rPr>
        <w:t xml:space="preserve">(8) The Trustee will deliver one or more Trustee Certificates certifying, among other things, pursuant to Section 2.3 of the Base Indenture, that the Notes have been authenticated and have been made available for delivery and the corporate governance documents and incumbency of signing officers of the Trustee as of the date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Any Officers’ Certificate or Opinion of Counsel required to be submitted to the Registrar pursuant to this Section 2.2 to effect a registration of transfer or exchange may be submitted by electronic format (e.g., “.pdf” or “.tif”). </w:t>
      </w:r>
    </w:p>
    <w:p>
      <w:pPr>
        <w:pStyle w:val="TextBody"/>
        <w:bidi w:val="0"/>
        <w:spacing w:before="120" w:after="0"/>
        <w:jc w:val="left"/>
        <w:rPr>
          <w:rFonts w:ascii="Times New Roman" w:hAnsi="Times New Roman"/>
          <w:sz w:val="20"/>
        </w:rPr>
      </w:pPr>
      <w:r>
        <w:rPr>
          <w:rFonts w:ascii="Times New Roman" w:hAnsi="Times New Roman"/>
          <w:sz w:val="20"/>
        </w:rPr>
        <w:t xml:space="preserve">(10) The Trustee shall have no obligation or duty to monitor, determine or inquire as to compliance with any restrictions on transfer imposed under this Supplemental Indenture or under applicable law with respect to any transfer of any interest in any Note other than to require delivery of such certificates and other documentation or evidence as are expressly required by, and to do so if and when expressly required by the terms of, this Supplemental Indenture, and to examine the same to determine substantial compliance as to form with the express requirements hereof. </w:t>
      </w:r>
    </w:p>
    <w:p>
      <w:pPr>
        <w:pStyle w:val="TextBody"/>
        <w:bidi w:val="0"/>
        <w:spacing w:before="120" w:after="0"/>
        <w:jc w:val="left"/>
        <w:rPr>
          <w:rFonts w:ascii="Times New Roman" w:hAnsi="Times New Roman"/>
          <w:sz w:val="20"/>
        </w:rPr>
      </w:pPr>
      <w:r>
        <w:rPr>
          <w:rFonts w:ascii="Times New Roman" w:hAnsi="Times New Roman"/>
          <w:sz w:val="20"/>
        </w:rPr>
        <w:t xml:space="preserve">(11) Neither the Trustee nor any Agent shall have any responsibility for any actions taken or not taken by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i/>
          <w:sz w:val="20"/>
        </w:rPr>
        <w:t>Issuance of Additional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will be entitled, upon delivery of an Officers’ Certificate and an Opinion of Counsel, to issue Additional 2029 Notes under this Supplemental Indenture which will have identical terms as the Initial 2029 Notes issued on the date hereof, other than with respect to the date of issuance and issue price and, if applicable, the first Interest Payment Date and the initial interest accrual date. The Initial 2029 Notes issued on the date hereof and any Additional 2029 Notes issued will be treated as a single Series for all purposes under this Supplemental Indenture; </w:t>
      </w:r>
      <w:r>
        <w:rPr>
          <w:rFonts w:ascii="Times New Roman" w:hAnsi="Times New Roman"/>
          <w:i/>
          <w:sz w:val="20"/>
        </w:rPr>
        <w:t>provided</w:t>
      </w:r>
      <w:r>
        <w:rPr>
          <w:rFonts w:ascii="Times New Roman" w:hAnsi="Times New Roman"/>
          <w:sz w:val="20"/>
        </w:rPr>
        <w:t xml:space="preserve"> that if any such Additional 2029 Notes are not fungible for United States Federal income tax purposes with the 2029 Notes previously issued, such Additional 2029 Notes will not have the same CUSIP number (or other securities identification number) as the 2029 Notes previously issued. </w:t>
      </w:r>
    </w:p>
    <w:p>
      <w:pPr>
        <w:pStyle w:val="TextBody"/>
        <w:bidi w:val="0"/>
        <w:spacing w:before="240" w:after="0"/>
        <w:jc w:val="left"/>
        <w:rPr>
          <w:rFonts w:ascii="Times New Roman" w:hAnsi="Times New Roman"/>
          <w:sz w:val="20"/>
        </w:rPr>
      </w:pPr>
      <w:r>
        <w:rPr>
          <w:rFonts w:ascii="Times New Roman" w:hAnsi="Times New Roman"/>
          <w:sz w:val="20"/>
        </w:rPr>
        <w:t>(b) The Company will be entitled, upon delivery of an Officers’ Certificate and an Opinion of Counsel, to issue Additional 2031 Notes under this Supplemental Indenture which will have identical terms as the Initial 2031 Notes issued on the date hereof, other than with respect to the date of issuance and issue price and, if applicable, the first Interest Payment Date and the initial interest accrual date. The Initial 2031 Notes issued on the date hereof and any Additional 2031 Notes issued will be treated as a single Series for all purposes under this Supplemental Indenture; </w:t>
      </w:r>
      <w:r>
        <w:rPr>
          <w:rFonts w:ascii="Times New Roman" w:hAnsi="Times New Roman"/>
          <w:i/>
          <w:sz w:val="20"/>
        </w:rPr>
        <w:t>provided</w:t>
      </w:r>
      <w:r>
        <w:rPr>
          <w:rFonts w:ascii="Times New Roman" w:hAnsi="Times New Roman"/>
          <w:sz w:val="20"/>
        </w:rPr>
        <w:t xml:space="preserve"> that if any such Additional 2031 Notes are not fungible for United States Federal income tax purposes with the 2031 Notes previously issued, such Additional 2031 Notes will not have the same CUSIP number (or other securities identification number) as the 2031 Notes previously issued. </w:t>
      </w:r>
    </w:p>
    <w:p>
      <w:pPr>
        <w:pStyle w:val="TextBody"/>
        <w:bidi w:val="0"/>
        <w:spacing w:before="240" w:after="0"/>
        <w:jc w:val="left"/>
        <w:rPr>
          <w:rFonts w:ascii="Times New Roman" w:hAnsi="Times New Roman"/>
          <w:sz w:val="20"/>
        </w:rPr>
      </w:pPr>
      <w:r>
        <w:rPr>
          <w:rFonts w:ascii="Times New Roman" w:hAnsi="Times New Roman"/>
          <w:sz w:val="20"/>
        </w:rPr>
        <w:t xml:space="preserve">(c) The Company will be entitled, upon delivery of an Officers’ Certificate and an Opinion of Counsel, to issue Additional 2033 Notes under this Supplemental Indenture which will have identical terms as the Initial 2033 Notes issued on the date hereof, other than with respect to the date of issuance and issue price and, if applicable, the first Interest Payment Date and the initial interest accrual date. The Initial 2033 Notes issued on the date hereof and any Additional 2033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Notes issued will be treated as a single Series for all purposes under this Supplemental Indenture; </w:t>
      </w:r>
      <w:r>
        <w:rPr>
          <w:rFonts w:ascii="Times New Roman" w:hAnsi="Times New Roman"/>
          <w:i/>
          <w:sz w:val="20"/>
        </w:rPr>
        <w:t>provided</w:t>
      </w:r>
      <w:r>
        <w:rPr>
          <w:rFonts w:ascii="Times New Roman" w:hAnsi="Times New Roman"/>
          <w:sz w:val="20"/>
        </w:rPr>
        <w:t xml:space="preserve"> that if any such Additional 2033 Notes are not fungible for United States Federal income tax purposes with the 2033 Notes previously issued, such Additional 2033 Notes will not have the same CUSIP number (or other securities identification number) as the 2033 Notes previously issued. </w:t>
      </w:r>
    </w:p>
    <w:p>
      <w:pPr>
        <w:pStyle w:val="TextBody"/>
        <w:bidi w:val="0"/>
        <w:spacing w:before="240" w:after="0"/>
        <w:jc w:val="left"/>
        <w:rPr>
          <w:rFonts w:ascii="Times New Roman" w:hAnsi="Times New Roman"/>
          <w:sz w:val="20"/>
        </w:rPr>
      </w:pPr>
      <w:r>
        <w:rPr>
          <w:rFonts w:ascii="Times New Roman" w:hAnsi="Times New Roman"/>
          <w:sz w:val="20"/>
        </w:rPr>
        <w:t>(d) The Company will be entitled, upon delivery of an Officers’ Certificate and an Opinion of Counsel, to issue Additional 2036 Notes under this Supplemental Indenture which will have identical terms as the Initial 2036 Notes issued on the date hereof, other than with respect to the date of issuance and issue price and, if applicable, the first Interest Payment Date and the initial interest accrual date. The Initial 2036 Notes issued on the date hereof and any Additional 2036 Notes issued will be treated as a single Series for all purposes under this Supplemental Indenture; </w:t>
      </w:r>
      <w:r>
        <w:rPr>
          <w:rFonts w:ascii="Times New Roman" w:hAnsi="Times New Roman"/>
          <w:i/>
          <w:sz w:val="20"/>
        </w:rPr>
        <w:t>provided</w:t>
      </w:r>
      <w:r>
        <w:rPr>
          <w:rFonts w:ascii="Times New Roman" w:hAnsi="Times New Roman"/>
          <w:sz w:val="20"/>
        </w:rPr>
        <w:t xml:space="preserve"> that if any such Additional 2036 Notes are not fungible for United States Federal income tax purposes with the 2036 Notes previously issued, such Additional 2036 Notes will not have the same CUSIP number (or other securities identification number) as the 2036 Notes previously issued. </w:t>
      </w:r>
    </w:p>
    <w:p>
      <w:pPr>
        <w:pStyle w:val="TextBody"/>
        <w:bidi w:val="0"/>
        <w:spacing w:before="240" w:after="0"/>
        <w:jc w:val="left"/>
        <w:rPr>
          <w:rFonts w:ascii="Times New Roman" w:hAnsi="Times New Roman"/>
          <w:sz w:val="20"/>
        </w:rPr>
      </w:pPr>
      <w:r>
        <w:rPr>
          <w:rFonts w:ascii="Times New Roman" w:hAnsi="Times New Roman"/>
          <w:sz w:val="20"/>
        </w:rPr>
        <w:t xml:space="preserve">(e) With respect to any Additional Notes, the Company will set forth in a resolution of its Board of Directors (or a duly authorized committee thereof) or of a designee thereof and an Officers’ Certificate, a copy of each which will be delivered to the Trustee, the following information: </w:t>
      </w:r>
    </w:p>
    <w:p>
      <w:pPr>
        <w:pStyle w:val="TextBody"/>
        <w:bidi w:val="0"/>
        <w:spacing w:before="120" w:after="0"/>
        <w:jc w:val="left"/>
        <w:rPr>
          <w:rFonts w:ascii="Times New Roman" w:hAnsi="Times New Roman"/>
          <w:sz w:val="20"/>
        </w:rPr>
      </w:pPr>
      <w:r>
        <w:rPr>
          <w:rFonts w:ascii="Times New Roman" w:hAnsi="Times New Roman"/>
          <w:sz w:val="20"/>
        </w:rPr>
        <w:t xml:space="preserve">(1) the aggregate principal amount of such Additional Notes to be authenticated and delivered pursuant to this Supplemental Indenture; and </w:t>
      </w:r>
    </w:p>
    <w:p>
      <w:pPr>
        <w:pStyle w:val="TextBody"/>
        <w:bidi w:val="0"/>
        <w:spacing w:before="120" w:after="0"/>
        <w:jc w:val="left"/>
        <w:rPr>
          <w:rFonts w:ascii="Times New Roman" w:hAnsi="Times New Roman"/>
          <w:sz w:val="20"/>
        </w:rPr>
      </w:pPr>
      <w:r>
        <w:rPr>
          <w:rFonts w:ascii="Times New Roman" w:hAnsi="Times New Roman"/>
          <w:sz w:val="20"/>
        </w:rPr>
        <w:t xml:space="preserve">(2) the issue price, the issue date, the CUSIP number(s), the first Interest Payment Date and the initial interest accrual date of such Additional Notes. </w:t>
      </w:r>
    </w:p>
    <w:p>
      <w:pPr>
        <w:pStyle w:val="TextBody"/>
        <w:bidi w:val="0"/>
        <w:spacing w:before="240" w:after="0"/>
        <w:jc w:val="left"/>
        <w:rPr>
          <w:rFonts w:ascii="Times New Roman" w:hAnsi="Times New Roman"/>
          <w:sz w:val="20"/>
        </w:rPr>
      </w:pPr>
      <w:r>
        <w:rPr>
          <w:rFonts w:ascii="Times New Roman" w:hAnsi="Times New Roman"/>
          <w:sz w:val="20"/>
        </w:rPr>
        <w:t xml:space="preserve">(f) For the avoidance of doubt, the issuance of Additional Notes pursuant to this Section 2.3 is subject to Section 2.3 of the Base Indenture.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0" w:after="0"/>
        <w:jc w:val="center"/>
        <w:rPr>
          <w:rFonts w:ascii="Times New Roman" w:hAnsi="Times New Roman"/>
          <w:b/>
          <w:sz w:val="20"/>
        </w:rPr>
      </w:pPr>
      <w:r>
        <w:rPr>
          <w:rFonts w:ascii="Times New Roman" w:hAnsi="Times New Roman"/>
          <w:b/>
          <w:sz w:val="20"/>
        </w:rPr>
        <w:t xml:space="preserve">REDEMPTION AND PREPAYMENT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i/>
          <w:sz w:val="20"/>
        </w:rPr>
        <w:t>Optional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2029 Notes</w:t>
      </w:r>
      <w:r>
        <w:rPr>
          <w:rFonts w:ascii="Times New Roman" w:hAnsi="Times New Roman"/>
          <w:sz w:val="20"/>
        </w:rPr>
        <w:t xml:space="preserve">. At any time prior to the Par Call Date for the 2029 Notes, the Company will have the right, at its option, to redeem the 2029 Notes, in whole or in part, at any time and from time to time, at a redemption price (expressed as a percentage of principal amount and rounded to three decimal places) equal to the greater of: </w:t>
      </w:r>
    </w:p>
    <w:p>
      <w:pPr>
        <w:pStyle w:val="TextBody"/>
        <w:bidi w:val="0"/>
        <w:spacing w:before="120" w:after="0"/>
        <w:jc w:val="left"/>
        <w:rPr>
          <w:rFonts w:ascii="Times New Roman" w:hAnsi="Times New Roman"/>
          <w:sz w:val="20"/>
        </w:rPr>
      </w:pPr>
      <w:r>
        <w:rPr>
          <w:rFonts w:ascii="Times New Roman" w:hAnsi="Times New Roman"/>
          <w:sz w:val="20"/>
        </w:rPr>
        <w:t xml:space="preserve">(1) (i) the sum of the present values of the remaining scheduled payments of principal and interest thereon discounted to the redemption date (assuming the 2029 Notes matured on the Par Call Date for the 2029 Notes) on a semi-annual basis (assuming a 360-day year consisting of twelve 30-day months) at the Treasury Rate plus 10 basis points less (ii) interest accrued to the date of redemption, and </w:t>
      </w:r>
    </w:p>
    <w:p>
      <w:pPr>
        <w:pStyle w:val="TextBody"/>
        <w:bidi w:val="0"/>
        <w:spacing w:before="120" w:after="0"/>
        <w:jc w:val="left"/>
        <w:rPr>
          <w:rFonts w:ascii="Times New Roman" w:hAnsi="Times New Roman"/>
          <w:sz w:val="20"/>
        </w:rPr>
      </w:pPr>
      <w:r>
        <w:rPr>
          <w:rFonts w:ascii="Times New Roman" w:hAnsi="Times New Roman"/>
          <w:sz w:val="20"/>
        </w:rPr>
        <w:t xml:space="preserve">(2) 100% of the principal amount of the 2029 Notes being redeemed,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plus, in either case,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Par Call Date for the 2029 Notes, the Company will have the right, at its option, to redeem the 2029 Notes, in whole or in part, at any time and from time to time, at a redemption price equal to 100% of the principal amount of the 2029 Notes being redeemed plus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The Company’s actions and determinations in determining the redemption price shall be conclusive and binding for all purposes, absent manifest error. The Trustee shall not be obligated to calculate or verify any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will be mailed or electronically delivered (or otherwise transmitted in accordance with the Depositary’s standard procedures therefor) at least 10 days but not more than 60 days before the redemption date to each Holder of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partial redemption,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such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Unless the Company defaults in payment of the redemption price, on and after the redemption date, interest will cease to accrue on the Notes or portions thereof called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2031 Notes</w:t>
      </w:r>
      <w:r>
        <w:rPr>
          <w:rFonts w:ascii="Times New Roman" w:hAnsi="Times New Roman"/>
          <w:sz w:val="20"/>
        </w:rPr>
        <w:t xml:space="preserve">. At any time prior to the Par Call Date for the 2031 Notes, the Company will have the right, at its option, to redeem the 2031 Notes, in whole or in part, at any time and from time to time, at a redemption price (expressed as a percentage of principal amount and rounded to three decimal places) equal to the greater of: </w:t>
      </w:r>
    </w:p>
    <w:p>
      <w:pPr>
        <w:pStyle w:val="TextBody"/>
        <w:bidi w:val="0"/>
        <w:spacing w:before="120" w:after="0"/>
        <w:jc w:val="left"/>
        <w:rPr>
          <w:rFonts w:ascii="Times New Roman" w:hAnsi="Times New Roman"/>
          <w:sz w:val="20"/>
        </w:rPr>
      </w:pPr>
      <w:r>
        <w:rPr>
          <w:rFonts w:ascii="Times New Roman" w:hAnsi="Times New Roman"/>
          <w:sz w:val="20"/>
        </w:rPr>
        <w:t xml:space="preserve">(1) (i) the sum of the present values of the remaining scheduled payments of principal and interest thereon discounted to the redemption date (assuming the 2031 Notes matured on the Par Call Date for the 2031 Notes) on a semi-annual basis (assuming a 360-day year consisting of twelve 30-day months) at the Treasury Rate plus 10 basis points less (ii) interest accrued to the date of redemption, and </w:t>
      </w:r>
    </w:p>
    <w:p>
      <w:pPr>
        <w:pStyle w:val="TextBody"/>
        <w:bidi w:val="0"/>
        <w:spacing w:before="120" w:after="0"/>
        <w:jc w:val="left"/>
        <w:rPr>
          <w:rFonts w:ascii="Times New Roman" w:hAnsi="Times New Roman"/>
          <w:sz w:val="20"/>
        </w:rPr>
      </w:pPr>
      <w:r>
        <w:rPr>
          <w:rFonts w:ascii="Times New Roman" w:hAnsi="Times New Roman"/>
          <w:sz w:val="20"/>
        </w:rPr>
        <w:t xml:space="preserve">(2) 100% of the principal amount of the 2031 Notes being redeemed, </w:t>
      </w:r>
    </w:p>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Par Call Date for the 2031 Notes, the Company will have the right, at its option, to redeem the 2031 Notes, in whole or in part, at any time and from time to time, at a redemption price equal to 100% of the principal amount of the 2031 Notes being redeemed plus accrued and unpaid interest thereon to the redemption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Company’s actions and determinations in determining the redemption price shall be conclusive and binding for all purposes, absent manifest error. The Trustee shall not be obligated to calculate or verify any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will be mailed or electronically delivered (or otherwise transmitted in accordance with the Depositary’s standard procedures therefor) at least 10 days but not more than 60 days before the redemption date to each Holder of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partial redemption,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such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Unless the Company defaults in payment of the redemption price, on and after the redemption date, interest will cease to accrue on the Notes or portions thereof called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2033 Notes</w:t>
      </w:r>
      <w:r>
        <w:rPr>
          <w:rFonts w:ascii="Times New Roman" w:hAnsi="Times New Roman"/>
          <w:sz w:val="20"/>
        </w:rPr>
        <w:t xml:space="preserve">. At any time prior to the Par Call Date for the 2033 Notes, the Company will have the right, at its option, to redeem the 2033 Notes, in whole or in part, at any time and from time to time, at a redemption price (expressed as a percentage of principal amount and rounded to three decimal places) equal to the greater of: </w:t>
      </w:r>
    </w:p>
    <w:p>
      <w:pPr>
        <w:pStyle w:val="TextBody"/>
        <w:bidi w:val="0"/>
        <w:spacing w:before="120" w:after="0"/>
        <w:jc w:val="left"/>
        <w:rPr>
          <w:rFonts w:ascii="Times New Roman" w:hAnsi="Times New Roman"/>
          <w:sz w:val="20"/>
        </w:rPr>
      </w:pPr>
      <w:r>
        <w:rPr>
          <w:rFonts w:ascii="Times New Roman" w:hAnsi="Times New Roman"/>
          <w:sz w:val="20"/>
        </w:rPr>
        <w:t xml:space="preserve">(1) (i) the sum of the present values of the remaining scheduled payments of principal and interest thereon discounted to the redemption date (assuming the 2033 Notes matured on the Par Call Date for the 2033 Notes) on a semi-annual basis (assuming a 360-day year consisting of twelve 30-day months) at the Treasury Rate plus 15 basis points less (ii) interest accrued to the date of redemption, and </w:t>
      </w:r>
    </w:p>
    <w:p>
      <w:pPr>
        <w:pStyle w:val="TextBody"/>
        <w:bidi w:val="0"/>
        <w:spacing w:before="120" w:after="0"/>
        <w:jc w:val="left"/>
        <w:rPr>
          <w:rFonts w:ascii="Times New Roman" w:hAnsi="Times New Roman"/>
          <w:sz w:val="20"/>
        </w:rPr>
      </w:pPr>
      <w:r>
        <w:rPr>
          <w:rFonts w:ascii="Times New Roman" w:hAnsi="Times New Roman"/>
          <w:sz w:val="20"/>
        </w:rPr>
        <w:t xml:space="preserve">(2) 100% of the principal amount of the 2033 Notes being redeemed, </w:t>
      </w:r>
    </w:p>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Par Call Date for the 2033 Notes, the Company will have the right, at its option, to redeem the 2033 Notes, in whole or in part, at any time and from time to time, at a redemption price equal to 100% of the principal amount of the 2033 Notes being redeemed plus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The Company’s actions and determinations in determining the redemption price shall be conclusive and binding for all purposes, absent manifest error. The Trustee shall not be obligated to calculate or verify any redemption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Notice of any redemption will be mailed or electronically delivered (or otherwise transmitted in accordance with the Depositary’s standard procedures therefor) at least 10 days but not more than 60 days before the redemption date to each Holder of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partial redemption,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such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Unless the Company defaults in payment of the redemption price, on and after the redemption date, interest will cease to accrue on the Notes or portions thereof called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2036 Notes</w:t>
      </w:r>
      <w:r>
        <w:rPr>
          <w:rFonts w:ascii="Times New Roman" w:hAnsi="Times New Roman"/>
          <w:sz w:val="20"/>
        </w:rPr>
        <w:t xml:space="preserve">. At any time prior to the Par Call Date for the 2036 Notes, the Company will have the right, at its option, to redeem the 2036 Notes, in whole or in part, at any time and from time to time, at a redemption price (expressed as a percentage of principal amount and rounded to three decimal places) equal to the greater of: </w:t>
      </w:r>
    </w:p>
    <w:p>
      <w:pPr>
        <w:pStyle w:val="TextBody"/>
        <w:bidi w:val="0"/>
        <w:spacing w:before="120" w:after="0"/>
        <w:jc w:val="left"/>
        <w:rPr>
          <w:rFonts w:ascii="Times New Roman" w:hAnsi="Times New Roman"/>
          <w:sz w:val="20"/>
        </w:rPr>
      </w:pPr>
      <w:r>
        <w:rPr>
          <w:rFonts w:ascii="Times New Roman" w:hAnsi="Times New Roman"/>
          <w:sz w:val="20"/>
        </w:rPr>
        <w:t xml:space="preserve">(1) (i) the sum of the present values of the remaining scheduled payments of principal and interest thereon discounted to the redemption date (assuming the 2036 Notes matured on the Par Call Date for the 2036 Notes) on a semi-annual basis (assuming a 360-day year consisting of twelve 30-day months) at the Treasury Rate plus 15 basis points less (ii) interest accrued to the date of redemption, and </w:t>
      </w:r>
    </w:p>
    <w:p>
      <w:pPr>
        <w:pStyle w:val="TextBody"/>
        <w:bidi w:val="0"/>
        <w:spacing w:before="120" w:after="0"/>
        <w:jc w:val="left"/>
        <w:rPr>
          <w:rFonts w:ascii="Times New Roman" w:hAnsi="Times New Roman"/>
          <w:sz w:val="20"/>
        </w:rPr>
      </w:pPr>
      <w:r>
        <w:rPr>
          <w:rFonts w:ascii="Times New Roman" w:hAnsi="Times New Roman"/>
          <w:sz w:val="20"/>
        </w:rPr>
        <w:t xml:space="preserve">(2) 100% of the principal amount of the 2036 Notes being redeemed, </w:t>
      </w:r>
    </w:p>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Par Call Date for the 2036 Notes, the Company will have the right, at its option, to redeem the 2036 Notes, in whole or in part, at any time and from time to time, at a redemption price equal to 100% of the principal amount of the 2036 Notes being redeemed plus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The Company’s actions and determinations in determining the redemption price shall be conclusive and binding for all purposes, absent manifest error. The Trustee shall not be obligated to calculate or verify any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will be mailed or electronically delivered (or otherwise transmitted in accordance with the Depositary’s standard procedures therefor) at least 10 days but not more than 60 days before the redemption date to each Holder of Notes to be redeemed.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case of a partial redemption,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such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Unless the Company defaults in payment of the redemption price, on and after the redemption date, interest will cease to accrue on the Notes or portions thereof called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i/>
          <w:sz w:val="20"/>
        </w:rPr>
        <w:t>Mandatory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not required to make any mandatory redemption or sinking fund payments with respect to the Notes.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0" w:after="0"/>
        <w:jc w:val="center"/>
        <w:rPr>
          <w:rFonts w:ascii="Times New Roman" w:hAnsi="Times New Roman"/>
          <w:b/>
          <w:sz w:val="20"/>
        </w:rPr>
      </w:pPr>
      <w:r>
        <w:rPr>
          <w:rFonts w:ascii="Times New Roman" w:hAnsi="Times New Roman"/>
          <w:b/>
          <w:sz w:val="20"/>
        </w:rPr>
        <w:t xml:space="preserve">PARTICULAR 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i/>
          <w:sz w:val="20"/>
        </w:rPr>
        <w:t>Offer to Purchase Upon Change of Control Triggering Event.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If a Change of Control Triggering Event occurs with respect to a Series of Notes, unless the Company has exercised its option to redeem such Series of Notes in full pursuant to Section 3.1 or has defeased such Series of Notes or satisfied and discharged such Series of Notes, the Company shall be required to make an offer (a “</w:t>
      </w:r>
      <w:r>
        <w:rPr>
          <w:rFonts w:ascii="Times New Roman" w:hAnsi="Times New Roman"/>
          <w:b/>
          <w:i/>
          <w:sz w:val="20"/>
        </w:rPr>
        <w:t>Change of Control Offer</w:t>
      </w:r>
      <w:r>
        <w:rPr>
          <w:rFonts w:ascii="Times New Roman" w:hAnsi="Times New Roman"/>
          <w:sz w:val="20"/>
        </w:rPr>
        <w:t>”) to each Holder of such Series of Notes to repurchase all or any part (equal to $2,000 and in integral multiples of $1,000 in excess thereof; </w:t>
      </w:r>
      <w:r>
        <w:rPr>
          <w:rFonts w:ascii="Times New Roman" w:hAnsi="Times New Roman"/>
          <w:i/>
          <w:sz w:val="20"/>
        </w:rPr>
        <w:t>provided</w:t>
      </w:r>
      <w:r>
        <w:rPr>
          <w:rFonts w:ascii="Times New Roman" w:hAnsi="Times New Roman"/>
          <w:sz w:val="20"/>
        </w:rPr>
        <w:t> that the unrepurchased portion of a Note of such Series must be in a minimum principal amount of $2,000) of that Holder’s Notes of such Series pursuant to the offer set forth below. In a Change of Control Offer, the Company shall be required to offer payment in cash equal to 101% of the aggregate principal amount of the Notes repurchased, plus accrued and unpaid interest, if any, on the Notes repurchased to the date of repurchase (a “</w:t>
      </w:r>
      <w:r>
        <w:rPr>
          <w:rFonts w:ascii="Times New Roman" w:hAnsi="Times New Roman"/>
          <w:b/>
          <w:i/>
          <w:sz w:val="20"/>
        </w:rPr>
        <w:t>Change of Control Payment</w:t>
      </w:r>
      <w:r>
        <w:rPr>
          <w:rFonts w:ascii="Times New Roman" w:hAnsi="Times New Roman"/>
          <w:sz w:val="20"/>
        </w:rPr>
        <w:t>”). Within 30 days following any Change of Control Triggering Event with respect to a Series of Notes or, at the Company’s option, prior to any Change of Control, but after public announcement of the transaction that constitutes or may constitute the Change of Control, the Company shall mail or cause to be mailed (or if the Notes of such Series to be repurchased are represented by one or more Global Notes, transmitted in accordance with the Depositary’s standard procedures therefor) a notice to Holders of such Series of Notes describing the transaction that constitutes or may constitute the Change of Control Triggering Event and offering to repurchase such Notes on the date specified in the notice, which date shall be no earlier than 30 days and no later than 60 days from the date such notice is mailed or transmitted (a “</w:t>
      </w:r>
      <w:r>
        <w:rPr>
          <w:rFonts w:ascii="Times New Roman" w:hAnsi="Times New Roman"/>
          <w:b/>
          <w:i/>
          <w:sz w:val="20"/>
        </w:rPr>
        <w:t>Change of Control Payment Date</w:t>
      </w:r>
      <w:r>
        <w:rPr>
          <w:rFonts w:ascii="Times New Roman" w:hAnsi="Times New Roman"/>
          <w:sz w:val="20"/>
        </w:rPr>
        <w:t xml:space="preserve">”). The notice shall, if mailed or transmitted prior to the date of consummation of the Change of Control, state that the offer to purchase is conditioned on the Change of Control Triggering Event occurring on or prior to the Change of Control Payment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Such notice shall also state: </w:t>
      </w:r>
    </w:p>
    <w:p>
      <w:pPr>
        <w:pStyle w:val="TextBody"/>
        <w:bidi w:val="0"/>
        <w:spacing w:before="120" w:after="0"/>
        <w:jc w:val="left"/>
        <w:rPr>
          <w:rFonts w:ascii="Times New Roman" w:hAnsi="Times New Roman"/>
          <w:sz w:val="20"/>
        </w:rPr>
      </w:pPr>
      <w:r>
        <w:rPr>
          <w:rFonts w:ascii="Times New Roman" w:hAnsi="Times New Roman"/>
          <w:sz w:val="20"/>
        </w:rPr>
        <w:t xml:space="preserve">(1) that the Change of Control Offer is being made pursuant to this Section 4.1 and that all Notes of such Series or portions of such Notes validly tendered and not withdrawn will be accepted for payment; </w:t>
      </w:r>
    </w:p>
    <w:p>
      <w:pPr>
        <w:pStyle w:val="TextBody"/>
        <w:bidi w:val="0"/>
        <w:spacing w:before="120" w:after="0"/>
        <w:jc w:val="left"/>
        <w:rPr>
          <w:rFonts w:ascii="Times New Roman" w:hAnsi="Times New Roman"/>
          <w:sz w:val="20"/>
        </w:rPr>
      </w:pPr>
      <w:r>
        <w:rPr>
          <w:rFonts w:ascii="Times New Roman" w:hAnsi="Times New Roman"/>
          <w:sz w:val="20"/>
        </w:rPr>
        <w:t xml:space="preserve">(2) the Change of Control Payment and the Change of Control Payment Date; </w:t>
      </w:r>
    </w:p>
    <w:p>
      <w:pPr>
        <w:pStyle w:val="TextBody"/>
        <w:bidi w:val="0"/>
        <w:spacing w:before="120" w:after="0"/>
        <w:jc w:val="left"/>
        <w:rPr>
          <w:rFonts w:ascii="Times New Roman" w:hAnsi="Times New Roman"/>
          <w:sz w:val="20"/>
        </w:rPr>
      </w:pPr>
      <w:r>
        <w:rPr>
          <w:rFonts w:ascii="Times New Roman" w:hAnsi="Times New Roman"/>
          <w:sz w:val="20"/>
        </w:rPr>
        <w:t xml:space="preserve">(3) that any Note of such Series not tendered will continue to accrue interest; </w:t>
      </w:r>
    </w:p>
    <w:p>
      <w:pPr>
        <w:pStyle w:val="TextBody"/>
        <w:bidi w:val="0"/>
        <w:spacing w:before="120" w:after="0"/>
        <w:jc w:val="left"/>
        <w:rPr>
          <w:rFonts w:ascii="Times New Roman" w:hAnsi="Times New Roman"/>
          <w:sz w:val="20"/>
        </w:rPr>
      </w:pPr>
      <w:r>
        <w:rPr>
          <w:rFonts w:ascii="Times New Roman" w:hAnsi="Times New Roman"/>
          <w:sz w:val="20"/>
        </w:rPr>
        <w:t xml:space="preserve">(4) that any Note accepted for payment pursuant to the Change of Control Offer shall cease to accrue interest after the Change of Control Payment Date unless the Company shall default in the payment of the Change of Control Payment of the Notes of such Series and the only remaining right of the Holder is to receive payment of the Change of Control Payment upon surrender of the Notes of such Series to the Paying Agent; </w:t>
      </w:r>
    </w:p>
    <w:p>
      <w:pPr>
        <w:pStyle w:val="TextBody"/>
        <w:bidi w:val="0"/>
        <w:spacing w:before="120" w:after="0"/>
        <w:jc w:val="left"/>
        <w:rPr>
          <w:rFonts w:ascii="Times New Roman" w:hAnsi="Times New Roman"/>
          <w:sz w:val="20"/>
        </w:rPr>
      </w:pPr>
      <w:r>
        <w:rPr>
          <w:rFonts w:ascii="Times New Roman" w:hAnsi="Times New Roman"/>
          <w:sz w:val="20"/>
        </w:rPr>
        <w:t>(5) that Holders electing to have a portion of a Note of such Series purchased pursuant to a Change of Control Offer may only elect to have such Note purchased in a minimum principal amount of $2,000 and integral multiples of $1,000 in excess thereof; </w:t>
      </w:r>
      <w:r>
        <w:rPr>
          <w:rFonts w:ascii="Times New Roman" w:hAnsi="Times New Roman"/>
          <w:i/>
          <w:sz w:val="20"/>
        </w:rPr>
        <w:t>provided</w:t>
      </w:r>
      <w:r>
        <w:rPr>
          <w:rFonts w:ascii="Times New Roman" w:hAnsi="Times New Roman"/>
          <w:sz w:val="20"/>
        </w:rPr>
        <w:t xml:space="preserve"> that the unrepurchased portion of a Note must be in a minimum principal amount of $2,000; </w:t>
      </w:r>
    </w:p>
    <w:p>
      <w:pPr>
        <w:pStyle w:val="TextBody"/>
        <w:bidi w:val="0"/>
        <w:spacing w:before="120" w:after="0"/>
        <w:jc w:val="left"/>
        <w:rPr>
          <w:rFonts w:ascii="Times New Roman" w:hAnsi="Times New Roman"/>
          <w:sz w:val="20"/>
        </w:rPr>
      </w:pPr>
      <w:r>
        <w:rPr>
          <w:rFonts w:ascii="Times New Roman" w:hAnsi="Times New Roman"/>
          <w:sz w:val="20"/>
        </w:rPr>
        <w:t xml:space="preserve">(6) that if a Holder elects to have a Note of such Series purchased pursuant to the Change of Control Offer such Holder will be required to surrender such Note, with the form entitled “Option of Holder to Elect Purchase” on the reverse of such Note completed, or transfer by book-entry transfer, to the Paying Agent at the address specified in the notice prior to the close of business on the third Business Day prior to the Change of Control Payment Date; </w:t>
      </w:r>
    </w:p>
    <w:p>
      <w:pPr>
        <w:pStyle w:val="TextBody"/>
        <w:bidi w:val="0"/>
        <w:spacing w:before="120" w:after="0"/>
        <w:jc w:val="left"/>
        <w:rPr>
          <w:rFonts w:ascii="Times New Roman" w:hAnsi="Times New Roman"/>
          <w:sz w:val="20"/>
        </w:rPr>
      </w:pPr>
      <w:r>
        <w:rPr>
          <w:rFonts w:ascii="Times New Roman" w:hAnsi="Times New Roman"/>
          <w:sz w:val="20"/>
        </w:rPr>
        <w:t xml:space="preserve">(7) that a Holder will be entitled to withdraw its election if the Company receives, not later than the close of business on the third Business Day preceding the Change of Control Payment Date, a facsimile transmission or letter setting forth the name of such Holder, the principal amount of Notes such Holder delivered for purchase, and a statement that such Holder is withdrawing its election to have such Note purchased; and </w:t>
      </w:r>
    </w:p>
    <w:p>
      <w:pPr>
        <w:pStyle w:val="TextBody"/>
        <w:bidi w:val="0"/>
        <w:spacing w:before="120" w:after="0"/>
        <w:jc w:val="left"/>
        <w:rPr>
          <w:rFonts w:ascii="Times New Roman" w:hAnsi="Times New Roman"/>
          <w:sz w:val="20"/>
        </w:rPr>
      </w:pPr>
      <w:r>
        <w:rPr>
          <w:rFonts w:ascii="Times New Roman" w:hAnsi="Times New Roman"/>
          <w:sz w:val="20"/>
        </w:rPr>
        <w:t xml:space="preserve">(8) that if Notes of such Series are purchased only in part by the Company, a new Note of the same Series and type will be issued in a principal amount equal to the unpurchased portion of the Notes surrendered. </w:t>
      </w:r>
    </w:p>
    <w:p>
      <w:pPr>
        <w:pStyle w:val="TextBody"/>
        <w:bidi w:val="0"/>
        <w:spacing w:before="240" w:after="0"/>
        <w:jc w:val="left"/>
        <w:rPr>
          <w:rFonts w:ascii="Times New Roman" w:hAnsi="Times New Roman"/>
          <w:sz w:val="20"/>
        </w:rPr>
      </w:pPr>
      <w:r>
        <w:rPr>
          <w:rFonts w:ascii="Times New Roman" w:hAnsi="Times New Roman"/>
          <w:sz w:val="20"/>
        </w:rPr>
        <w:t xml:space="preserve">(c) On the Change of Control Payment Date, the Company shall, to the extent lawful: </w:t>
      </w:r>
    </w:p>
    <w:p>
      <w:pPr>
        <w:pStyle w:val="TextBody"/>
        <w:bidi w:val="0"/>
        <w:spacing w:before="120" w:after="0"/>
        <w:jc w:val="left"/>
        <w:rPr>
          <w:rFonts w:ascii="Times New Roman" w:hAnsi="Times New Roman"/>
          <w:sz w:val="20"/>
        </w:rPr>
      </w:pPr>
      <w:r>
        <w:rPr>
          <w:rFonts w:ascii="Times New Roman" w:hAnsi="Times New Roman"/>
          <w:sz w:val="20"/>
        </w:rPr>
        <w:t xml:space="preserve">(1) accept for payment all Notes of the applicable Series or portions of such Notes properly tendered pursuant to the Change of Control Offer; </w:t>
      </w:r>
    </w:p>
    <w:p>
      <w:pPr>
        <w:pStyle w:val="TextBody"/>
        <w:bidi w:val="0"/>
        <w:spacing w:before="120" w:after="0"/>
        <w:jc w:val="left"/>
        <w:rPr>
          <w:rFonts w:ascii="Times New Roman" w:hAnsi="Times New Roman"/>
          <w:sz w:val="20"/>
        </w:rPr>
      </w:pPr>
      <w:r>
        <w:rPr>
          <w:rFonts w:ascii="Times New Roman" w:hAnsi="Times New Roman"/>
          <w:sz w:val="20"/>
        </w:rPr>
        <w:t xml:space="preserve">(2) deposit with the Paying Agent an amount equal to the Change of Control Payment in respect of all Notes of the applicable Series or portions of such Notes properly tendered;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deliver or cause to be delivered to the Trustee the Notes of the applicable Series properly accepted together with an Officers’ Certificate stating the aggregate principal amount of such Notes or portions of such Notes being repurchased. </w:t>
      </w:r>
    </w:p>
    <w:p>
      <w:pPr>
        <w:pStyle w:val="TextBody"/>
        <w:bidi w:val="0"/>
        <w:spacing w:before="120" w:after="0"/>
        <w:jc w:val="left"/>
        <w:rPr>
          <w:rFonts w:ascii="Times New Roman" w:hAnsi="Times New Roman"/>
          <w:sz w:val="20"/>
        </w:rPr>
      </w:pPr>
      <w:r>
        <w:rPr>
          <w:rFonts w:ascii="Times New Roman" w:hAnsi="Times New Roman"/>
          <w:sz w:val="20"/>
        </w:rPr>
        <w:t xml:space="preserve">(d) The Company shall not be required to make a Change of Control Offer upon the occurrence of a Change of Control Triggering Event if a third party makes such an offer in the manner, at the times and otherwise in compliance with the requirements for an offer made by the Company and the third party purchases all Notes of the applicable Series properly tendered and not withdrawn under its offer. </w:t>
      </w:r>
    </w:p>
    <w:p>
      <w:pPr>
        <w:pStyle w:val="TextBody"/>
        <w:bidi w:val="0"/>
        <w:spacing w:before="120" w:after="0"/>
        <w:jc w:val="left"/>
        <w:rPr>
          <w:rFonts w:ascii="Times New Roman" w:hAnsi="Times New Roman"/>
          <w:sz w:val="20"/>
        </w:rPr>
      </w:pPr>
      <w:r>
        <w:rPr>
          <w:rFonts w:ascii="Times New Roman" w:hAnsi="Times New Roman"/>
          <w:sz w:val="20"/>
        </w:rPr>
        <w:t xml:space="preserve">(e) The Company shall comply with the requirements of Rule 14e-1 under the Exchange Act and any other securities laws and regulations thereunder to the extent those laws and regulations are applicable in connection with the repurchase of the Notes of the applicable Series as a result of a Change of Control Triggering Event. To the extent that the provisions of any such securities laws or regulations conflict with the provisions under this Section 4.1, the Company shall comply with such securities laws and regulations and shall not be deemed to have breached its obligations under this Section 4.1 or the Notes by virtue of any such conflict. </w:t>
      </w:r>
    </w:p>
    <w:p>
      <w:pPr>
        <w:pStyle w:val="TextBody"/>
        <w:bidi w:val="0"/>
        <w:spacing w:before="120" w:after="0"/>
        <w:jc w:val="left"/>
        <w:rPr>
          <w:rFonts w:ascii="Times New Roman" w:hAnsi="Times New Roman"/>
          <w:sz w:val="20"/>
        </w:rPr>
      </w:pPr>
      <w:r>
        <w:rPr>
          <w:rFonts w:ascii="Times New Roman" w:hAnsi="Times New Roman"/>
          <w:sz w:val="20"/>
        </w:rPr>
        <w:t xml:space="preserve">(f) No Notes of $2,000 or less can be repurchased in part pursuant to this Section 4.1. Notes in denominations larger than $2,000 may be repurchased in part but only in integral multiples of $1,000 in excess thereof, unless all of the Notes held by a Holder are to be repurchased. </w:t>
      </w:r>
    </w:p>
    <w:p>
      <w:pPr>
        <w:pStyle w:val="TextBody"/>
        <w:bidi w:val="0"/>
        <w:spacing w:before="240" w:after="0"/>
        <w:jc w:val="left"/>
        <w:rPr>
          <w:rFonts w:ascii="Times New Roman" w:hAnsi="Times New Roman"/>
          <w:sz w:val="20"/>
        </w:rPr>
      </w:pPr>
      <w:r>
        <w:rPr>
          <w:rFonts w:ascii="Times New Roman" w:hAnsi="Times New Roman"/>
          <w:sz w:val="20"/>
        </w:rPr>
        <w:t xml:space="preserve">Section 4.2 </w:t>
      </w:r>
      <w:r>
        <w:rPr>
          <w:rFonts w:ascii="Times New Roman" w:hAnsi="Times New Roman"/>
          <w:i/>
          <w:sz w:val="20"/>
        </w:rPr>
        <w:t>Liens.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will not, nor will it permit any Subsidiary to, issue, incur, create, assume or guarantee (collectively, “</w:t>
      </w:r>
      <w:r>
        <w:rPr>
          <w:rFonts w:ascii="Times New Roman" w:hAnsi="Times New Roman"/>
          <w:b/>
          <w:i/>
          <w:sz w:val="20"/>
        </w:rPr>
        <w:t>incur</w:t>
      </w:r>
      <w:r>
        <w:rPr>
          <w:rFonts w:ascii="Times New Roman" w:hAnsi="Times New Roman"/>
          <w:sz w:val="20"/>
        </w:rPr>
        <w:t>”) any debt for borrowed money including all obligations evidenced by bonds, debentures, notes or similar instruments (collectively, a “</w:t>
      </w:r>
      <w:r>
        <w:rPr>
          <w:rFonts w:ascii="Times New Roman" w:hAnsi="Times New Roman"/>
          <w:b/>
          <w:i/>
          <w:sz w:val="20"/>
        </w:rPr>
        <w:t>Debt</w:t>
      </w:r>
      <w:r>
        <w:rPr>
          <w:rFonts w:ascii="Times New Roman" w:hAnsi="Times New Roman"/>
          <w:sz w:val="20"/>
        </w:rPr>
        <w:t>”), secured by a mortgage, deed of trust, security interest, pledge, lien, charge or other encumbrance (collectively, a “</w:t>
      </w:r>
      <w:r>
        <w:rPr>
          <w:rFonts w:ascii="Times New Roman" w:hAnsi="Times New Roman"/>
          <w:b/>
          <w:i/>
          <w:sz w:val="20"/>
        </w:rPr>
        <w:t>Lien</w:t>
      </w:r>
      <w:r>
        <w:rPr>
          <w:rFonts w:ascii="Times New Roman" w:hAnsi="Times New Roman"/>
          <w:sz w:val="20"/>
        </w:rPr>
        <w:t xml:space="preserve">”) upon any Principal Property or upon any shares of stock of any Principal Subsidiary (whether such Principal Property or shares are now existing or owned or hereafter created or acquired) without in any such case effectively providing, substantially concurrently with or prior to the creation or assumption of such Lien, that the Notes (together with, if the Company shall so determine, any other indebtedness of or guarantee by the Company or such Subsidiary ranking equally with the Notes) shall be secured equally and ratably with (or, at the Company’s option, prior to) such secured Debt. The foregoing restriction, however, will not apply to each of the following: </w:t>
      </w:r>
    </w:p>
    <w:p>
      <w:pPr>
        <w:pStyle w:val="TextBody"/>
        <w:bidi w:val="0"/>
        <w:spacing w:before="120" w:after="0"/>
        <w:jc w:val="left"/>
        <w:rPr>
          <w:rFonts w:ascii="Times New Roman" w:hAnsi="Times New Roman"/>
          <w:sz w:val="20"/>
        </w:rPr>
      </w:pPr>
      <w:r>
        <w:rPr>
          <w:rFonts w:ascii="Times New Roman" w:hAnsi="Times New Roman"/>
          <w:sz w:val="20"/>
        </w:rPr>
        <w:t>(1) Liens on property, shares of stock or other assets of any person (as defined in the Base Indenture) existing at the time such person becomes a Subsidiary or existing at the time of acquisition thereof by the Company or a Subsidiary, </w:t>
      </w:r>
      <w:r>
        <w:rPr>
          <w:rFonts w:ascii="Times New Roman" w:hAnsi="Times New Roman"/>
          <w:i/>
          <w:sz w:val="20"/>
        </w:rPr>
        <w:t>provided</w:t>
      </w:r>
      <w:r>
        <w:rPr>
          <w:rFonts w:ascii="Times New Roman" w:hAnsi="Times New Roman"/>
          <w:sz w:val="20"/>
        </w:rPr>
        <w:t xml:space="preserve"> that such Liens are not incurred in anticipation of such person’s becoming a Subsidiary or such acquisition and do not extend to (i) any Principal Property or (ii) any shares of stock of any Principal Subsidiary that, in each case, were not previously encumbered by such Liens;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(2) Liens on property of a person (as defined in the Base Indenture) existing at the time such person is merged into or consolidated with the Company or a Subsidiary or at the time of a sale, lease or other disposition of the properties of such person (or a division thereof) as an entirety or substantially as an entirety to the Company or a Subsidiary, </w:t>
      </w:r>
      <w:r>
        <w:rPr>
          <w:rFonts w:ascii="Times New Roman" w:hAnsi="Times New Roman"/>
          <w:i/>
          <w:sz w:val="20"/>
        </w:rPr>
        <w:t>provided</w:t>
      </w:r>
      <w:r>
        <w:rPr>
          <w:rFonts w:ascii="Times New Roman" w:hAnsi="Times New Roman"/>
          <w:sz w:val="20"/>
        </w:rPr>
        <w:t xml:space="preserve"> that such Liens were not incurred in anticipation of such merger or consolidation or sale, lease or other disposition and do not extend to (i) any Principal Property or (ii) any shares of stock of any Principal Subsidiary that, in each case, were not previously encumbered by such Liens; </w:t>
      </w:r>
    </w:p>
    <w:p>
      <w:pPr>
        <w:pStyle w:val="TextBody"/>
        <w:bidi w:val="0"/>
        <w:spacing w:before="120" w:after="0"/>
        <w:jc w:val="left"/>
        <w:rPr>
          <w:rFonts w:ascii="Times New Roman" w:hAnsi="Times New Roman"/>
          <w:sz w:val="20"/>
        </w:rPr>
      </w:pPr>
      <w:r>
        <w:rPr>
          <w:rFonts w:ascii="Times New Roman" w:hAnsi="Times New Roman"/>
          <w:sz w:val="20"/>
        </w:rPr>
        <w:t>(3) Liens to secure all or part of the cost of acquisition, construction, development or improvement of any property or to secure Debt incurred to provide funds for any such purpose (including purchase money security interests or purchase money mortgages), </w:t>
      </w:r>
      <w:r>
        <w:rPr>
          <w:rFonts w:ascii="Times New Roman" w:hAnsi="Times New Roman"/>
          <w:i/>
          <w:sz w:val="20"/>
        </w:rPr>
        <w:t>provided</w:t>
      </w:r>
      <w:r>
        <w:rPr>
          <w:rFonts w:ascii="Times New Roman" w:hAnsi="Times New Roman"/>
          <w:sz w:val="20"/>
        </w:rPr>
        <w:t xml:space="preserve"> that the commitment of the creditor to extend the credit secured by any such Lien is obtained not later than 24 months after the later of (i) the completion of acquisition, construction, development or improvement of such property and (ii) the placing in operation of such property or of such property as so constructed, developed or improved; </w:t>
      </w:r>
    </w:p>
    <w:p>
      <w:pPr>
        <w:pStyle w:val="TextBody"/>
        <w:bidi w:val="0"/>
        <w:spacing w:before="120" w:after="0"/>
        <w:jc w:val="left"/>
        <w:rPr>
          <w:rFonts w:ascii="Times New Roman" w:hAnsi="Times New Roman"/>
          <w:sz w:val="20"/>
        </w:rPr>
      </w:pPr>
      <w:r>
        <w:rPr>
          <w:rFonts w:ascii="Times New Roman" w:hAnsi="Times New Roman"/>
          <w:sz w:val="20"/>
        </w:rPr>
        <w:t xml:space="preserve">(4) Liens in favor of, or which secure Debt owing to, the Company or any Subsidiary; </w:t>
      </w:r>
    </w:p>
    <w:p>
      <w:pPr>
        <w:pStyle w:val="TextBody"/>
        <w:bidi w:val="0"/>
        <w:spacing w:before="120" w:after="0"/>
        <w:jc w:val="left"/>
        <w:rPr>
          <w:rFonts w:ascii="Times New Roman" w:hAnsi="Times New Roman"/>
          <w:sz w:val="20"/>
        </w:rPr>
      </w:pPr>
      <w:r>
        <w:rPr>
          <w:rFonts w:ascii="Times New Roman" w:hAnsi="Times New Roman"/>
          <w:sz w:val="20"/>
        </w:rPr>
        <w:t xml:space="preserve">(5) Liens existing at the date of the issuance of the Initial Notes; </w:t>
      </w:r>
    </w:p>
    <w:p>
      <w:pPr>
        <w:pStyle w:val="TextBody"/>
        <w:bidi w:val="0"/>
        <w:spacing w:before="120" w:after="0"/>
        <w:jc w:val="left"/>
        <w:rPr>
          <w:rFonts w:ascii="Times New Roman" w:hAnsi="Times New Roman"/>
          <w:sz w:val="20"/>
        </w:rPr>
      </w:pPr>
      <w:r>
        <w:rPr>
          <w:rFonts w:ascii="Times New Roman" w:hAnsi="Times New Roman"/>
          <w:sz w:val="20"/>
        </w:rPr>
        <w:t xml:space="preserve">(6) Liens in favor of the United States of America or any state, territory or possession thereof (or the District of Columbia), or any department, agency, instrumentality or political subdivision of the United States of America or any state, territory or possession thereof (or the District of Columbia), to secure partial, progress, advance or other payments pursuant to any contract or statute or to secure any indebtedness incurred for the purpose of financing all or any part of the purchase price or the cost of constructing or improving the property subject to such Liens; </w:t>
      </w:r>
    </w:p>
    <w:p>
      <w:pPr>
        <w:pStyle w:val="TextBody"/>
        <w:bidi w:val="0"/>
        <w:spacing w:before="120" w:after="0"/>
        <w:jc w:val="left"/>
        <w:rPr>
          <w:rFonts w:ascii="Times New Roman" w:hAnsi="Times New Roman"/>
          <w:sz w:val="20"/>
        </w:rPr>
      </w:pPr>
      <w:r>
        <w:rPr>
          <w:rFonts w:ascii="Times New Roman" w:hAnsi="Times New Roman"/>
          <w:sz w:val="20"/>
        </w:rPr>
        <w:t xml:space="preserve">(7) Liens incurred or assumed in connection with the issuance of revenue bonds the interest on which is exempt from federal taxation pursuant to Section 103(b) of the Internal Revenue Code of 1986, as amended; and </w:t>
      </w:r>
    </w:p>
    <w:p>
      <w:pPr>
        <w:pStyle w:val="TextBody"/>
        <w:bidi w:val="0"/>
        <w:spacing w:before="120" w:after="0"/>
        <w:jc w:val="left"/>
        <w:rPr>
          <w:rFonts w:ascii="Times New Roman" w:hAnsi="Times New Roman"/>
          <w:sz w:val="20"/>
        </w:rPr>
      </w:pPr>
      <w:r>
        <w:rPr>
          <w:rFonts w:ascii="Times New Roman" w:hAnsi="Times New Roman"/>
          <w:sz w:val="20"/>
        </w:rPr>
        <w:t>(8) extensions, renewals or replacements of any Liens referred to in the foregoing clauses, </w:t>
      </w:r>
      <w:r>
        <w:rPr>
          <w:rFonts w:ascii="Times New Roman" w:hAnsi="Times New Roman"/>
          <w:i/>
          <w:sz w:val="20"/>
        </w:rPr>
        <w:t>provided</w:t>
      </w:r>
      <w:r>
        <w:rPr>
          <w:rFonts w:ascii="Times New Roman" w:hAnsi="Times New Roman"/>
          <w:sz w:val="20"/>
        </w:rPr>
        <w:t xml:space="preserve"> that (i) the principal amount of Debt secured thereby shall not exceed the principal amount of Debt so secured at the time of such extension, renewal or replacement and (ii) such extension, renewal or replacement Liens will be limited to all or part of the same property and improvement thereon which secured the Debt so secured at the time of such extension, renewal or replacement. </w:t>
      </w:r>
    </w:p>
    <w:p>
      <w:pPr>
        <w:pStyle w:val="TextBody"/>
        <w:bidi w:val="0"/>
        <w:spacing w:before="240" w:after="0"/>
        <w:jc w:val="left"/>
        <w:rPr>
          <w:rFonts w:ascii="Times New Roman" w:hAnsi="Times New Roman"/>
          <w:sz w:val="20"/>
        </w:rPr>
      </w:pPr>
      <w:r>
        <w:rPr>
          <w:rFonts w:ascii="Times New Roman" w:hAnsi="Times New Roman"/>
          <w:sz w:val="20"/>
        </w:rPr>
        <w:t>(b) Notwithstanding the restrictions in clause (a) above, the Company or any Subsidiary may incur Debt secured by a Lien which would otherwise be prohibited by such restrictions without equally and ratably securing the Notes, </w:t>
      </w:r>
      <w:r>
        <w:rPr>
          <w:rFonts w:ascii="Times New Roman" w:hAnsi="Times New Roman"/>
          <w:i/>
          <w:sz w:val="20"/>
        </w:rPr>
        <w:t>provided</w:t>
      </w:r>
      <w:r>
        <w:rPr>
          <w:rFonts w:ascii="Times New Roman" w:hAnsi="Times New Roman"/>
          <w:sz w:val="20"/>
        </w:rPr>
        <w:t xml:space="preserve"> that after giving effect thereto, the then aggregate outstanding amount of all such Debt so secured by such Liens (not including Liens permitted under items (1) through (8) in clause (a) above) plus the aggregate amount of Attributable Debt in respect of Sale and Lease Back Transactions with respect to Principal Properties entered into after the date of issuance of the Initial Notes and permitted solely pursuant to clause (c) of Section 4.3 hereof and still in existence does not exceed the greater of 5% of the Consolidated Tangible Assets at the time of such incurrence and $750 million.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4.3 </w:t>
      </w:r>
      <w:r>
        <w:rPr>
          <w:rFonts w:ascii="Times New Roman" w:hAnsi="Times New Roman"/>
          <w:i/>
          <w:sz w:val="20"/>
        </w:rPr>
        <w:t>Sale and Lease Back Transactions.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not, and will not permit any Subsidiary to, enter into any Sale and Lease Back Transaction with respect to any Principal Property, other than any such Sale and Lease Back Transaction involving a lease for a term of not more than three years or any such Sale and Lease Back Transaction between the Company and one of its Subsidiaries, or between its Subsidiaries, unless: </w:t>
      </w:r>
    </w:p>
    <w:p>
      <w:pPr>
        <w:pStyle w:val="TextBody"/>
        <w:bidi w:val="0"/>
        <w:spacing w:before="240" w:after="0"/>
        <w:jc w:val="left"/>
        <w:rPr>
          <w:rFonts w:ascii="Times New Roman" w:hAnsi="Times New Roman"/>
          <w:sz w:val="20"/>
        </w:rPr>
      </w:pPr>
      <w:r>
        <w:rPr>
          <w:rFonts w:ascii="Times New Roman" w:hAnsi="Times New Roman"/>
          <w:sz w:val="20"/>
        </w:rPr>
        <w:t xml:space="preserve">(a) the Company or such Subsidiary, as applicable, would be entitled to incur Debt secured by a Lien on the Principal Property involved in such Sale and Lease Back Transaction at least equal in amount to the Attributable Debt with respect to such Sale and Lease Back Transaction, without equally and ratably securing the Notes, pursuant to items (1) through (8) in clause (a) of Section 4.2 hereof; </w:t>
      </w:r>
    </w:p>
    <w:p>
      <w:pPr>
        <w:pStyle w:val="TextBody"/>
        <w:bidi w:val="0"/>
        <w:spacing w:before="240" w:after="0"/>
        <w:jc w:val="left"/>
        <w:rPr>
          <w:rFonts w:ascii="Times New Roman" w:hAnsi="Times New Roman"/>
          <w:sz w:val="20"/>
        </w:rPr>
      </w:pPr>
      <w:r>
        <w:rPr>
          <w:rFonts w:ascii="Times New Roman" w:hAnsi="Times New Roman"/>
          <w:sz w:val="20"/>
        </w:rPr>
        <w:t xml:space="preserve">(b) the Company applies the Net Available Proceeds of such Sale and Lease Back Transaction within 180 days of such Sale and Lease Back Transaction to either (or a combination of) (i) the prepayment or retirement of Debt of the Company or a Subsidiary (other than Debt that is, in the case of Debt of the Company, subordinated to the Notes or Debt owed to the Company or a Subsidiary) that by its terms matures more than 12 months after its creation or (ii) the purchase, construction, development, expansion or improvement of comparable properties or facilities; or </w:t>
      </w:r>
    </w:p>
    <w:p>
      <w:pPr>
        <w:pStyle w:val="TextBody"/>
        <w:bidi w:val="0"/>
        <w:spacing w:before="240" w:after="0"/>
        <w:jc w:val="left"/>
        <w:rPr>
          <w:rFonts w:ascii="Times New Roman" w:hAnsi="Times New Roman"/>
          <w:sz w:val="20"/>
        </w:rPr>
      </w:pPr>
      <w:r>
        <w:rPr>
          <w:rFonts w:ascii="Times New Roman" w:hAnsi="Times New Roman"/>
          <w:sz w:val="20"/>
        </w:rPr>
        <w:t xml:space="preserve">(c) the aggregate amount of Attributable Debt in respect of such Sale and Lease Back Transaction plus the Attributable Debt in respect of all other Sale and Lease Back Transactions of Principal Properties entered into after the date of issuance of the Initial Notes permitted solely pursuant to this clause (c) and still in existence, plus the aggregate amount of all Debt secured by Liens permitted solely pursuant to clause (b) of Section 4.2 above and still outstanding, does not exceed the greater of 5% of the Consolidated Tangible Assets at the time of such Sale and Lease Back Transaction and $750 million. </w:t>
      </w:r>
    </w:p>
    <w:p>
      <w:pPr>
        <w:pStyle w:val="TextBody"/>
        <w:bidi w:val="0"/>
        <w:spacing w:before="240" w:after="0"/>
        <w:jc w:val="left"/>
        <w:rPr>
          <w:rFonts w:ascii="Times New Roman" w:hAnsi="Times New Roman"/>
          <w:sz w:val="20"/>
        </w:rPr>
      </w:pPr>
      <w:r>
        <w:rPr>
          <w:rFonts w:ascii="Times New Roman" w:hAnsi="Times New Roman"/>
          <w:sz w:val="20"/>
        </w:rPr>
        <w:t xml:space="preserve">Section 4.4 </w:t>
      </w:r>
      <w:r>
        <w:rPr>
          <w:rFonts w:ascii="Times New Roman" w:hAnsi="Times New Roman"/>
          <w:i/>
          <w:sz w:val="20"/>
        </w:rPr>
        <w:t>Covenants.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covenants set forth in Sections 4.2 and 4.3 above are and are intended solely for the benefit of the Holders of the Notes.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0" w:after="0"/>
        <w:jc w:val="center"/>
        <w:rPr>
          <w:rFonts w:ascii="Times New Roman" w:hAnsi="Times New Roman"/>
          <w:b/>
          <w:sz w:val="20"/>
        </w:rPr>
      </w:pPr>
      <w:r>
        <w:rPr>
          <w:rFonts w:ascii="Times New Roman" w:hAnsi="Times New Roman"/>
          <w:b/>
          <w:sz w:val="20"/>
        </w:rPr>
        <w:t xml:space="preserve">DEFAULTS AND REMEDIES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i/>
          <w:sz w:val="20"/>
        </w:rPr>
        <w:t>Events of Default.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In addition to the Events of Default set forth in the Base Indenture, the following is an “</w:t>
      </w:r>
      <w:r>
        <w:rPr>
          <w:rFonts w:ascii="Times New Roman" w:hAnsi="Times New Roman"/>
          <w:b/>
          <w:i/>
          <w:sz w:val="20"/>
        </w:rPr>
        <w:t>Event of Default</w:t>
      </w:r>
      <w:r>
        <w:rPr>
          <w:rFonts w:ascii="Times New Roman" w:hAnsi="Times New Roman"/>
          <w:sz w:val="20"/>
        </w:rPr>
        <w:t xml:space="preserve">” with respect to each Series of Notes hereunder: (i) the failure of the Company or any Subsidiary to pay indebtedness for money borrowed by the Company or any Subsidiary in an aggregate principal amount of at least $300,000,000, at the later of final maturity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expiration of any related applicable grace period and such defaulted payment shall not have been made, waived or extended within 30 days after written notice from the Trustee or the holders of at least 25% in principal amount of the outstanding Notes of such Series; or (ii) acceleration of the maturity of indebtedness for money borrowed by the Company or any Subsidiary in an aggregate principal amount of at least $300,000,000, if that acceleration results from a default under the instrument giving rise to or securing such indebtedness for money borrowed and such indebtedness has not been discharged in full or such acceleration has not been rescinded or annulled within 30 days after written notice from the Trustee or the holders of at least 25% in principal amount of the outstanding Notes of such Series; </w:t>
      </w:r>
      <w:r>
        <w:rPr>
          <w:rFonts w:ascii="Times New Roman" w:hAnsi="Times New Roman"/>
          <w:i/>
          <w:sz w:val="20"/>
        </w:rPr>
        <w:t>provided</w:t>
      </w:r>
      <w:r>
        <w:rPr>
          <w:rFonts w:ascii="Times New Roman" w:hAnsi="Times New Roman"/>
          <w:sz w:val="20"/>
        </w:rPr>
        <w:t>, </w:t>
      </w:r>
      <w:r>
        <w:rPr>
          <w:rFonts w:ascii="Times New Roman" w:hAnsi="Times New Roman"/>
          <w:i/>
          <w:sz w:val="20"/>
        </w:rPr>
        <w:t>however</w:t>
      </w:r>
      <w:r>
        <w:rPr>
          <w:rFonts w:ascii="Times New Roman" w:hAnsi="Times New Roman"/>
          <w:sz w:val="20"/>
        </w:rPr>
        <w:t xml:space="preserve">, that, if in the case of this clause (ii), the default under the instrument governing the foregoing indebtedness is cured by the Company, or waived by the holders of the indebtedness, in each case, as permitted by such governing instrument, then, unless the maturity of such Series of Notes has been accelerated in accordance with the Indenture, the Event of Default under the Indenture with respect to such Series of Notes caused by such default will be deemed likewise to be cured or waived.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0" w:after="0"/>
        <w:jc w:val="center"/>
        <w:rPr>
          <w:rFonts w:ascii="Times New Roman" w:hAnsi="Times New Roman"/>
          <w:b/>
          <w:sz w:val="20"/>
        </w:rPr>
      </w:pPr>
      <w:r>
        <w:rPr>
          <w:rFonts w:ascii="Times New Roman" w:hAnsi="Times New Roman"/>
          <w:b/>
          <w:sz w:val="20"/>
        </w:rPr>
        <w:t xml:space="preserve">SATISFACTION AND DISCHARGE; DEFEASANCE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i/>
          <w:sz w:val="20"/>
        </w:rPr>
        <w:t>Satisfaction and Discharge of 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satisfy and discharge any Series of Notes hereunder in accordance with and subject to the terms of Section 8.1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i/>
          <w:sz w:val="20"/>
        </w:rPr>
        <w:t>Legal Defeasance of Securities of Any Series.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8.3 of the Base Indenture shall be applicable to each Series of Notes. </w:t>
      </w:r>
    </w:p>
    <w:p>
      <w:pPr>
        <w:pStyle w:val="TextBody"/>
        <w:bidi w:val="0"/>
        <w:spacing w:before="240" w:after="0"/>
        <w:jc w:val="left"/>
        <w:rPr>
          <w:rFonts w:ascii="Times New Roman" w:hAnsi="Times New Roman"/>
          <w:sz w:val="20"/>
        </w:rPr>
      </w:pPr>
      <w:r>
        <w:rPr>
          <w:rFonts w:ascii="Times New Roman" w:hAnsi="Times New Roman"/>
          <w:sz w:val="20"/>
        </w:rPr>
        <w:t xml:space="preserve">Section 6.3 </w:t>
      </w:r>
      <w:r>
        <w:rPr>
          <w:rFonts w:ascii="Times New Roman" w:hAnsi="Times New Roman"/>
          <w:i/>
          <w:sz w:val="20"/>
        </w:rPr>
        <w:t>Covenant Defeasance.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covenants specified in Section 8.4 of the Base Indenture, the Company may omit to comply with respect to the Notes of a Series with any term, provision or condition set forth in Sections 4.1, 4.2 and 4.3 of this Supplemental Indenture by complying with the requirements of Section 8.4 of the Base Indenture in respect of such Series.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7.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i/>
          <w:sz w:val="20"/>
        </w:rPr>
        <w:t>Trust Indenture Act Controls.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any provision of this Supplemental Indenture limits, qualifies or conflicts with another provision which is required or deemed to be included in this Supplemental Indenture by the TIA, such required or deemed provision shall control. </w:t>
      </w:r>
    </w:p>
    <w:p>
      <w:pPr>
        <w:pStyle w:val="TextBody"/>
        <w:bidi w:val="0"/>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i/>
          <w:sz w:val="20"/>
        </w:rPr>
        <w:t>Governing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SUPPLEMENTAL INDENTURE AND THE NOTES SHALL BE GOVERNED BY THE LAWS OF THE STATE OF NEW YORK APPLICABLE TO AGREEMENTS MADE AND TO BE PERFORMED IN SUCH STATE, WITHOUT REGARD TO THE CONFLICT OF LAWS PROVISIONS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7.3 </w:t>
      </w:r>
      <w:r>
        <w:rPr>
          <w:rFonts w:ascii="Times New Roman" w:hAnsi="Times New Roman"/>
          <w:i/>
          <w:sz w:val="20"/>
        </w:rPr>
        <w:t>Successors.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agreements of the Company in this Supplemental Indenture and the Notes will bind its successors. All agreements of the Trustee in this Supplemental Indenture will bind its successors. </w:t>
      </w:r>
    </w:p>
    <w:p>
      <w:pPr>
        <w:pStyle w:val="TextBody"/>
        <w:bidi w:val="0"/>
        <w:spacing w:before="240" w:after="0"/>
        <w:jc w:val="left"/>
        <w:rPr>
          <w:rFonts w:ascii="Times New Roman" w:hAnsi="Times New Roman"/>
          <w:sz w:val="20"/>
        </w:rPr>
      </w:pPr>
      <w:r>
        <w:rPr>
          <w:rFonts w:ascii="Times New Roman" w:hAnsi="Times New Roman"/>
          <w:sz w:val="20"/>
        </w:rPr>
        <w:t xml:space="preserve">Section 7.4 </w:t>
      </w:r>
      <w:r>
        <w:rPr>
          <w:rFonts w:ascii="Times New Roman" w:hAnsi="Times New Roman"/>
          <w:i/>
          <w:sz w:val="20"/>
        </w:rPr>
        <w:t>Severability.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any provision in this Supplemental Indenture or in the Notes will be invalid, illegal or unenforceable, the validity, legality and enforceability of the remaining provisions will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7.5 </w:t>
      </w:r>
      <w:r>
        <w:rPr>
          <w:rFonts w:ascii="Times New Roman" w:hAnsi="Times New Roman"/>
          <w:i/>
          <w:sz w:val="20"/>
        </w:rPr>
        <w:t>Counterpart Originals.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Supplemental Indenture may be executed in one or more counterparts, each of which when so executed shall be deemed to be an original and all of which when taken together shall constitute one and the same instrument. The parties hereto agree that this Supplemental Indenture, any documents to be delivered pursuant to this Supplemental Indenture and any notices hereunder may be transmitted between them by electronic format (e.g., “.pdf” or “.tif”) transmission shall constitute effective execution and delivery of this Supplemental Indenture as to the parties hereto and may be used in lieu of the original Supplemental Indenture for all purposes. The words “execution,” “signed,” “signature,” and words of like import in this Supplemental Indenture or any agreement entered into in connection herewith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(e.g., DocuSign).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Section 2.3 of the Base Indenture, the Notes may be executed by the Company and authenticated by the Trustee by manual or electronic signature. </w:t>
      </w:r>
    </w:p>
    <w:p>
      <w:pPr>
        <w:pStyle w:val="TextBody"/>
        <w:bidi w:val="0"/>
        <w:spacing w:before="240" w:after="0"/>
        <w:jc w:val="left"/>
        <w:rPr>
          <w:rFonts w:ascii="Times New Roman" w:hAnsi="Times New Roman"/>
          <w:sz w:val="20"/>
        </w:rPr>
      </w:pPr>
      <w:r>
        <w:rPr>
          <w:rFonts w:ascii="Times New Roman" w:hAnsi="Times New Roman"/>
          <w:sz w:val="20"/>
        </w:rPr>
        <w:t xml:space="preserve">(c) The Company agrees to assume all risks arising out of the use of electronic or digital signatures and electronic methods to submit any communications to the Trustee, including the risk of the Trustee acting on unauthorized instructions and the risk of interception and misuse by third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7.6 </w:t>
      </w:r>
      <w:r>
        <w:rPr>
          <w:rFonts w:ascii="Times New Roman" w:hAnsi="Times New Roman"/>
          <w:i/>
          <w:sz w:val="20"/>
        </w:rPr>
        <w:t>Table of Contents, Headings,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Table of Contents and headings of the Articles and Sections of this Supplemental Indenture have been inserted for convenience of reference only, are not to be considered a part of this Supplemental Indenture and will in no way modify or restrict any of the terms or provisions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7.7 </w:t>
      </w:r>
      <w:r>
        <w:rPr>
          <w:rFonts w:ascii="Times New Roman" w:hAnsi="Times New Roman"/>
          <w:i/>
          <w:sz w:val="20"/>
        </w:rPr>
        <w:t>Jury Trial.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party hereto hereby irrevocably waives any and all rights to trial by jury in any legal proceeding arising out of or relating to this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7.8 </w:t>
      </w:r>
      <w:r>
        <w:rPr>
          <w:rFonts w:ascii="Times New Roman" w:hAnsi="Times New Roman"/>
          <w:i/>
          <w:sz w:val="20"/>
        </w:rPr>
        <w:t>Interpretation.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Supplemental Indenture in its entirety and not to any particular provision hereof, (d) all references herein to Articles, Sections and Exhibits shall be construed to refer to Articles and Sections of, and Exhibits to, this Supplemental Indenture and (e) the words “asset” and “property” shall be construed to have the same meaning and effect and to refer to any and all tangible and intangible assets and properties, including cash, securities, accounts and contract rights. </w:t>
      </w:r>
    </w:p>
    <w:p>
      <w:pPr>
        <w:pStyle w:val="TextBody"/>
        <w:bidi w:val="0"/>
        <w:spacing w:before="240" w:after="0"/>
        <w:jc w:val="left"/>
        <w:rPr>
          <w:rFonts w:ascii="Times New Roman" w:hAnsi="Times New Roman"/>
          <w:sz w:val="20"/>
        </w:rPr>
      </w:pPr>
      <w:r>
        <w:rPr>
          <w:rFonts w:ascii="Times New Roman" w:hAnsi="Times New Roman"/>
          <w:sz w:val="20"/>
        </w:rPr>
        <w:t xml:space="preserve">Section 7.9 </w:t>
      </w:r>
      <w:r>
        <w:rPr>
          <w:rFonts w:ascii="Times New Roman" w:hAnsi="Times New Roman"/>
          <w:i/>
          <w:sz w:val="20"/>
        </w:rPr>
        <w:t>Instruction by Electronic Means.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Trustee shall have the right to accept and act upon instructions, including funds transfer instructions (“</w:t>
      </w:r>
      <w:r>
        <w:rPr>
          <w:rFonts w:ascii="Times New Roman" w:hAnsi="Times New Roman"/>
          <w:b/>
          <w:i/>
          <w:sz w:val="20"/>
        </w:rPr>
        <w:t>Instructions</w:t>
      </w:r>
      <w:r>
        <w:rPr>
          <w:rFonts w:ascii="Times New Roman" w:hAnsi="Times New Roman"/>
          <w:sz w:val="20"/>
        </w:rPr>
        <w:t>”) given pursuant to this Supplemental Indenture and delivered using Electronic Means; </w:t>
      </w:r>
      <w:r>
        <w:rPr>
          <w:rFonts w:ascii="Times New Roman" w:hAnsi="Times New Roman"/>
          <w:i/>
          <w:sz w:val="20"/>
        </w:rPr>
        <w:t>provided</w:t>
      </w:r>
      <w:r>
        <w:rPr>
          <w:rFonts w:ascii="Times New Roman" w:hAnsi="Times New Roman"/>
          <w:sz w:val="20"/>
        </w:rPr>
        <w:t>, </w:t>
      </w:r>
      <w:r>
        <w:rPr>
          <w:rFonts w:ascii="Times New Roman" w:hAnsi="Times New Roman"/>
          <w:i/>
          <w:sz w:val="20"/>
        </w:rPr>
        <w:t>however</w:t>
      </w:r>
      <w:r>
        <w:rPr>
          <w:rFonts w:ascii="Times New Roman" w:hAnsi="Times New Roman"/>
          <w:sz w:val="20"/>
        </w:rPr>
        <w:t>, that the Company shall provide to the Trustee an incumbency certificate listing officers with the authority to provide such Instructions (“</w:t>
      </w:r>
      <w:r>
        <w:rPr>
          <w:rFonts w:ascii="Times New Roman" w:hAnsi="Times New Roman"/>
          <w:b/>
          <w:i/>
          <w:sz w:val="20"/>
        </w:rPr>
        <w:t>Authorized Officers</w:t>
      </w:r>
      <w:r>
        <w:rPr>
          <w:rFonts w:ascii="Times New Roman" w:hAnsi="Times New Roman"/>
          <w:sz w:val="20"/>
        </w:rPr>
        <w:t xml:space="preserve">”) and containing specimen signatures of such Authorized Officers, which incumbency certificate shall be amended by the Company whenever a person is to be added or deleted from the listing. If the Company elects to give the Trustee Instructions using Electronic Means and the Trustee in its discretion elects to act upon such Instructions, the Trustee’s understanding of such Instructions shall be deemed controlling. The Company understands and agrees that the Trustee cannot determine the identity of the actual sender of such Instructions and that the Trustee shall conclusively presume that directions that purport to have been sent by an Authorized Officer listed on the incumbency certificate provided to the Trustee have been sent by such Authorized Officer. The Company shall be responsible for ensuring that only Authorized Officers transmit such Instructions to the Trustee and that the Company and all Authorized Officers are solely responsible to safeguard the use and confidentiality of applicable user and authorization codes, passwords and/or authentication keys upon receipt by the Company. The Trustee shall not be liable for any losses, costs or expenses arising directly or indirectly from the Trustee’s reliance upon and compliance with such Instructions notwithstanding such directions conflict or are inconsistent with a subsequent written instruction. The Company agrees: (i) to assume all risks arising out of the use of Electronic Means to submit Instructions to the Trustee, including without limitation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transmitting Instructions than the method(s) selected by the Company; (iii) that the security procedures (if any) to be followed in connection with its transmission of Instructions provide to it a commercially reasonable degree of protection in light of its particular needs and circumstances; and (iv) to notify the Trustee immediately upon learning of any compromise or unauthorized use of the security procedures. </w:t>
      </w:r>
    </w:p>
    <w:p>
      <w:pPr>
        <w:pStyle w:val="TextBody"/>
        <w:bidi w:val="0"/>
        <w:spacing w:before="240" w:after="0"/>
        <w:jc w:val="left"/>
        <w:rPr>
          <w:rFonts w:ascii="Times New Roman" w:hAnsi="Times New Roman"/>
          <w:sz w:val="20"/>
        </w:rPr>
      </w:pPr>
      <w:r>
        <w:rPr>
          <w:rFonts w:ascii="Times New Roman" w:hAnsi="Times New Roman"/>
          <w:sz w:val="20"/>
        </w:rPr>
        <w:t xml:space="preserve">Section 7.10 </w:t>
      </w:r>
      <w:r>
        <w:rPr>
          <w:rFonts w:ascii="Times New Roman" w:hAnsi="Times New Roman"/>
          <w:i/>
          <w:sz w:val="20"/>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Signatures on following page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Dated as of September 17,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ANALOG DEVICES, INC.</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Richard C. Puccio, Jr.</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Richard C. Puccio, Jr.</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BANK OF NEW YORK MELLON TRUST COMPANY, N.A., as Trustee</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April Bradley</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April Bradley</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Supplemental Indenture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GLOBAL 2029 NOTE </w:t>
      </w:r>
    </w:p>
    <w:p>
      <w:pPr>
        <w:pStyle w:val="TextBody"/>
        <w:bidi w:val="0"/>
        <w:spacing w:before="240" w:after="0"/>
        <w:jc w:val="center"/>
        <w:rPr>
          <w:rFonts w:ascii="Times New Roman" w:hAnsi="Times New Roman"/>
          <w:sz w:val="20"/>
        </w:rPr>
      </w:pPr>
      <w:r>
        <w:rPr>
          <w:rFonts w:ascii="Times New Roman" w:hAnsi="Times New Roman"/>
          <w:sz w:val="20"/>
        </w:rPr>
        <w:t xml:space="preserve">(Face of Global 2029 Note) </w:t>
      </w:r>
    </w:p>
    <w:p>
      <w:pPr>
        <w:pStyle w:val="TextBody"/>
        <w:bidi w:val="0"/>
        <w:spacing w:before="240" w:after="0"/>
        <w:jc w:val="left"/>
        <w:rPr>
          <w:rFonts w:ascii="Times New Roman" w:hAnsi="Times New Roman"/>
          <w:sz w:val="20"/>
        </w:rPr>
      </w:pPr>
      <w:r>
        <w:rPr>
          <w:rFonts w:ascii="Times New Roman" w:hAnsi="Times New Roman"/>
          <w:sz w:val="20"/>
        </w:rPr>
        <w:t xml:space="preserve">THIS GLOBAL NOTE IS HELD BY THE DEPOSITARY (AS DEFINED IN THE SUPPLEMENTAL INDENTURE HEREINAFTER REFERRED TO GOVERNING THIS NOTE) OR ITS NOMINEE IN CUSTODY FOR THE BENEFIT OF THE BENEFICIAL OWNERS HEREOF, AND IS NOT TRANSFERABLE TO ANY PERSON UNDER ANY CIRCUMSTANCES EXCEPT THAT (I) THE TRUSTEE MAY MAKE SUCH NOTATIONS HEREON AS MAY BE REQUIRED PURSUANT TO SECTION 2.2 OF THE SUPPLEMENTAL INDENTURE, (II) THIS GLOBAL NOTE MAY BE EXCHANGED IN WHOLE BUT NOT IN PART PURSUANT TO SECTION 2.2(a) OF THE SUPPLEMENTAL INDENTURE, (III) THIS GLOBAL NOTE MAY BE DELIVERED TO THE TRUSTEE FOR CANCELLATION PURSUANT TO SECTION 2.12 OF THE BASE INDENTURE HEREINAFTER REFERRED TO AND (IV) THIS GLOBAL NOTE MAY BE TRANSFERRED TO A SUCCESSOR DEPOSITARY WITH THE PRIOR WRITTEN CONSENT OF THE COMPANY HEREINAFTER REFERRED TO. </w:t>
      </w:r>
    </w:p>
    <w:p>
      <w:pPr>
        <w:pStyle w:val="TextBody"/>
        <w:bidi w:val="0"/>
        <w:spacing w:before="240" w:after="0"/>
        <w:jc w:val="left"/>
        <w:rPr>
          <w:rFonts w:ascii="Times New Roman" w:hAnsi="Times New Roman"/>
          <w:sz w:val="20"/>
        </w:rPr>
      </w:pPr>
      <w:r>
        <w:rPr>
          <w:rFonts w:ascii="Times New Roman" w:hAnsi="Times New Roman"/>
          <w:sz w:val="20"/>
        </w:rPr>
        <w:t>THIS GLOBAL NOTE IS A GLOBAL NOTE WITHIN THE MEANING OF THE SUPPLEMENTAL INDENTURE HEREINAFTER REFERRED TO AND IS REGISTERED IN THE NAME OF THE DEPOSITARY OR A NOMINEE OF THE DEPOSITARY. THIS GLOBAL NOTE IS EXCHANGEABLE FOR NOTES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 UNLESS THIS CERTIFICATE IS PRESENTED BY AN AUTHORIZED REPRESENTATIVE OF THE DEPOSITORY TRUST COMPANY (55 WATER STREET, NEW YORK, NEW YORK) (“</w:t>
      </w:r>
      <w:r>
        <w:rPr>
          <w:rFonts w:ascii="Times New Roman" w:hAnsi="Times New Roman"/>
          <w:b/>
          <w:i/>
          <w:sz w:val="20"/>
        </w:rPr>
        <w:t>DTC</w:t>
      </w:r>
      <w:r>
        <w:rPr>
          <w:rFonts w:ascii="Times New Roman" w:hAnsi="Times New Roman"/>
          <w:sz w:val="20"/>
        </w:rPr>
        <w:t xml:space="preserve">”)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CUSIP: 032654 BG9 </w:t>
      </w:r>
    </w:p>
    <w:p>
      <w:pPr>
        <w:pStyle w:val="TextBody"/>
        <w:bidi w:val="0"/>
        <w:spacing w:before="0" w:after="0"/>
        <w:jc w:val="right"/>
        <w:rPr>
          <w:rFonts w:ascii="Times New Roman" w:hAnsi="Times New Roman"/>
          <w:sz w:val="20"/>
        </w:rPr>
      </w:pPr>
      <w:r>
        <w:rPr>
          <w:rFonts w:ascii="Times New Roman" w:hAnsi="Times New Roman"/>
          <w:sz w:val="20"/>
        </w:rPr>
        <w:t xml:space="preserve">ISIN: US032654BG94 </w:t>
      </w:r>
    </w:p>
    <w:p>
      <w:pPr>
        <w:pStyle w:val="TextBody"/>
        <w:bidi w:val="0"/>
        <w:spacing w:before="240" w:after="0"/>
        <w:jc w:val="center"/>
        <w:rPr>
          <w:rFonts w:ascii="Times New Roman" w:hAnsi="Times New Roman"/>
          <w:sz w:val="20"/>
        </w:rPr>
      </w:pPr>
      <w:r>
        <w:rPr>
          <w:rFonts w:ascii="Times New Roman" w:hAnsi="Times New Roman"/>
          <w:sz w:val="20"/>
        </w:rPr>
        <w:t xml:space="preserve">ANALOG DEVICES, INC. </w:t>
      </w:r>
    </w:p>
    <w:p>
      <w:pPr>
        <w:pStyle w:val="TextBody"/>
        <w:bidi w:val="0"/>
        <w:spacing w:before="0" w:after="0"/>
        <w:jc w:val="center"/>
        <w:rPr>
          <w:rFonts w:ascii="Times New Roman" w:hAnsi="Times New Roman"/>
          <w:sz w:val="20"/>
        </w:rPr>
      </w:pPr>
      <w:r>
        <w:rPr>
          <w:rFonts w:ascii="Times New Roman" w:hAnsi="Times New Roman"/>
          <w:sz w:val="20"/>
        </w:rPr>
        <w:t xml:space="preserve">5.100% Senior Note due September 15, 2029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56"/>
        <w:gridCol w:w="121"/>
        <w:gridCol w:w="4728"/>
      </w:tblGrid>
      <w:tr>
        <w:trPr/>
        <w:tc>
          <w:tcPr>
            <w:tcW w:w="535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728" w:type="dxa"/>
            <w:tcBorders/>
            <w:vAlign w:val="center"/>
          </w:tcPr>
          <w:p>
            <w:pPr>
              <w:pStyle w:val="TableContents"/>
              <w:bidi w:val="0"/>
              <w:spacing w:before="0" w:after="283"/>
              <w:jc w:val="left"/>
              <w:rPr>
                <w:sz w:val="4"/>
                <w:szCs w:val="4"/>
              </w:rPr>
            </w:pPr>
            <w:r>
              <w:rPr>
                <w:sz w:val="4"/>
                <w:szCs w:val="4"/>
              </w:rPr>
            </w:r>
          </w:p>
        </w:tc>
      </w:tr>
      <w:tr>
        <w:trPr/>
        <w:tc>
          <w:tcPr>
            <w:tcW w:w="5356" w:type="dxa"/>
            <w:tcBorders/>
          </w:tcPr>
          <w:p>
            <w:pPr>
              <w:pStyle w:val="TableContents"/>
              <w:bidi w:val="0"/>
              <w:spacing w:before="0" w:after="283"/>
              <w:jc w:val="left"/>
              <w:rPr/>
            </w:pPr>
            <w:r>
              <w:rPr/>
              <w:t>No.</w:t>
            </w:r>
            <w:r>
              <w:rPr>
                <w:u w:val="single"/>
              </w:rPr>
              <w:t>        </w:t>
            </w:r>
          </w:p>
        </w:tc>
        <w:tc>
          <w:tcPr>
            <w:tcW w:w="121" w:type="dxa"/>
            <w:tcBorders/>
            <w:vAlign w:val="bottom"/>
          </w:tcPr>
          <w:p>
            <w:pPr>
              <w:pStyle w:val="TableContents"/>
              <w:bidi w:val="0"/>
              <w:spacing w:before="0" w:after="283"/>
              <w:jc w:val="left"/>
              <w:rPr/>
            </w:pPr>
            <w:r>
              <w:rPr/>
              <w:t>  </w:t>
            </w:r>
          </w:p>
        </w:tc>
        <w:tc>
          <w:tcPr>
            <w:tcW w:w="4728" w:type="dxa"/>
            <w:tcBorders/>
          </w:tcPr>
          <w:p>
            <w:pPr>
              <w:pStyle w:val="TableContents"/>
              <w:bidi w:val="0"/>
              <w:spacing w:before="0" w:after="283"/>
              <w:jc w:val="right"/>
              <w:rPr/>
            </w:pPr>
            <w:r>
              <w:rPr/>
              <w:t>$</w:t>
            </w:r>
            <w:r>
              <w:rPr>
                <w:u w:val="single"/>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Analog Devices, Inc., a Massachusetts corporation, promises to pay to CEDE &amp; CO. or registered assigns, the principal sum of $    on September 15, 2029. </w:t>
      </w:r>
    </w:p>
    <w:p>
      <w:pPr>
        <w:pStyle w:val="TextBody"/>
        <w:bidi w:val="0"/>
        <w:spacing w:before="240" w:after="0"/>
        <w:jc w:val="left"/>
        <w:rPr>
          <w:rFonts w:ascii="Times New Roman" w:hAnsi="Times New Roman"/>
          <w:sz w:val="20"/>
        </w:rPr>
      </w:pPr>
      <w:r>
        <w:rPr>
          <w:rFonts w:ascii="Times New Roman" w:hAnsi="Times New Roman"/>
          <w:sz w:val="20"/>
        </w:rPr>
        <w:t xml:space="preserve">Interest Payment Dates: March 15 and September 15 </w:t>
      </w:r>
    </w:p>
    <w:p>
      <w:pPr>
        <w:pStyle w:val="TextBody"/>
        <w:bidi w:val="0"/>
        <w:spacing w:before="240" w:after="0"/>
        <w:jc w:val="left"/>
        <w:rPr>
          <w:rFonts w:ascii="Times New Roman" w:hAnsi="Times New Roman"/>
          <w:sz w:val="20"/>
        </w:rPr>
      </w:pPr>
      <w:r>
        <w:rPr>
          <w:rFonts w:ascii="Times New Roman" w:hAnsi="Times New Roman"/>
          <w:sz w:val="20"/>
        </w:rPr>
        <w:t xml:space="preserve">Record Dates: March 1 and September 1 </w:t>
      </w:r>
    </w:p>
    <w:p>
      <w:pPr>
        <w:pStyle w:val="TextBody"/>
        <w:bidi w:val="0"/>
        <w:spacing w:before="240" w:after="0"/>
        <w:jc w:val="left"/>
        <w:rPr>
          <w:rFonts w:ascii="Times New Roman" w:hAnsi="Times New Roman"/>
          <w:sz w:val="20"/>
        </w:rPr>
      </w:pPr>
      <w:r>
        <w:rPr>
          <w:rFonts w:ascii="Times New Roman" w:hAnsi="Times New Roman"/>
          <w:sz w:val="20"/>
        </w:rPr>
        <w:t xml:space="preserve">Date: _______________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5"/>
        <w:gridCol w:w="139"/>
        <w:gridCol w:w="3248"/>
      </w:tblGrid>
      <w:tr>
        <w:trPr/>
        <w:tc>
          <w:tcPr>
            <w:tcW w:w="695"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324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ANALOG DEVICES, INC.</w:t>
            </w:r>
          </w:p>
        </w:tc>
      </w:tr>
      <w:tr>
        <w:trPr>
          <w:trHeight w:val="240" w:hRule="atLeast"/>
        </w:trPr>
        <w:tc>
          <w:tcPr>
            <w:tcW w:w="695" w:type="dxa"/>
            <w:tcBorders/>
            <w:vAlign w:val="center"/>
          </w:tcPr>
          <w:p>
            <w:pPr>
              <w:pStyle w:val="TableContents"/>
              <w:bidi w:val="0"/>
              <w:spacing w:before="0" w:after="283"/>
              <w:jc w:val="left"/>
              <w:rPr>
                <w:sz w:val="4"/>
                <w:szCs w:val="4"/>
              </w:rPr>
            </w:pPr>
            <w:r>
              <w:rPr>
                <w:sz w:val="4"/>
                <w:szCs w:val="4"/>
              </w:rPr>
            </w:r>
          </w:p>
        </w:tc>
        <w:tc>
          <w:tcPr>
            <w:tcW w:w="3387"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39" w:type="dxa"/>
            <w:tcBorders/>
            <w:vAlign w:val="bottom"/>
          </w:tcPr>
          <w:p>
            <w:pPr>
              <w:pStyle w:val="TableContents"/>
              <w:bidi w:val="0"/>
              <w:spacing w:before="0" w:after="283"/>
              <w:jc w:val="left"/>
              <w:rPr/>
            </w:pPr>
            <w:r>
              <w:rPr/>
              <w:t> </w:t>
            </w:r>
          </w:p>
        </w:tc>
        <w:tc>
          <w:tcPr>
            <w:tcW w:w="3248"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TRUSTEE’S CERTIFICATE OF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This is one of the Notes referred to in the within-mentioned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Dated: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BANK OF NEW YORK MELLON TRUST COMPANY, N.A. as Trustee</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pBdr>
                <w:bottom w:val="single" w:sz="2" w:space="1" w:color="000000"/>
              </w:pBdr>
              <w:bidi w:val="0"/>
              <w:spacing w:before="0" w:after="20"/>
              <w:jc w:val="left"/>
              <w:rPr/>
            </w:pPr>
            <w:r>
              <w:rPr/>
              <w:t> </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(Back of Global 2029 Note) </w:t>
      </w:r>
    </w:p>
    <w:p>
      <w:pPr>
        <w:pStyle w:val="TextBody"/>
        <w:bidi w:val="0"/>
        <w:spacing w:before="240" w:after="0"/>
        <w:jc w:val="center"/>
        <w:rPr>
          <w:rFonts w:ascii="Times New Roman" w:hAnsi="Times New Roman"/>
          <w:sz w:val="20"/>
        </w:rPr>
      </w:pPr>
      <w:r>
        <w:rPr>
          <w:rFonts w:ascii="Times New Roman" w:hAnsi="Times New Roman"/>
          <w:sz w:val="20"/>
        </w:rPr>
        <w:t xml:space="preserve">ANALOG DEVICES, INC. </w:t>
      </w:r>
    </w:p>
    <w:p>
      <w:pPr>
        <w:pStyle w:val="TextBody"/>
        <w:bidi w:val="0"/>
        <w:spacing w:before="0" w:after="0"/>
        <w:jc w:val="center"/>
        <w:rPr>
          <w:rFonts w:ascii="Times New Roman" w:hAnsi="Times New Roman"/>
          <w:sz w:val="20"/>
        </w:rPr>
      </w:pPr>
      <w:r>
        <w:rPr>
          <w:rFonts w:ascii="Times New Roman" w:hAnsi="Times New Roman"/>
          <w:sz w:val="20"/>
        </w:rPr>
        <w:t xml:space="preserve">5.100% Senior Note due September 15, 2029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herein have the meanings assigned to them in the Indenture referred to below unless otherwise indicated. </w:t>
      </w:r>
    </w:p>
    <w:p>
      <w:pPr>
        <w:pStyle w:val="TextBody"/>
        <w:bidi w:val="0"/>
        <w:spacing w:before="240" w:after="0"/>
        <w:jc w:val="left"/>
        <w:rPr>
          <w:rFonts w:ascii="Times New Roman" w:hAnsi="Times New Roman"/>
          <w:sz w:val="20"/>
        </w:rPr>
      </w:pPr>
      <w:r>
        <w:rPr>
          <w:rFonts w:ascii="Times New Roman" w:hAnsi="Times New Roman"/>
          <w:sz w:val="20"/>
        </w:rPr>
        <w:t>1. </w:t>
      </w:r>
      <w:r>
        <w:rPr>
          <w:rFonts w:ascii="Times New Roman" w:hAnsi="Times New Roman"/>
          <w:i/>
          <w:sz w:val="20"/>
        </w:rPr>
        <w:t>INTEREST</w:t>
      </w:r>
      <w:r>
        <w:rPr>
          <w:rFonts w:ascii="Times New Roman" w:hAnsi="Times New Roman"/>
          <w:sz w:val="20"/>
        </w:rPr>
        <w:t>. Analog Devices, Inc., a Massachusetts corporation (the “</w:t>
      </w:r>
      <w:r>
        <w:rPr>
          <w:rFonts w:ascii="Times New Roman" w:hAnsi="Times New Roman"/>
          <w:b/>
          <w:i/>
          <w:sz w:val="20"/>
        </w:rPr>
        <w:t>Company</w:t>
      </w:r>
      <w:r>
        <w:rPr>
          <w:rFonts w:ascii="Times New Roman" w:hAnsi="Times New Roman"/>
          <w:sz w:val="20"/>
        </w:rPr>
        <w:t>”), promises to pay interest on the principal amount of this 2029 Note at 5.100% per annum from the date hereof until maturity. The Company will pay interest on the 2029 Notes semi-annually in arrears on March 15 and September 15 of each year, commencing March 15, 2027, or if any such day is not a Business Day, on the next succeeding Business Day, and no additional interest will accrue on the amount so payable in respect of such 2029 Notes for that period (each an “</w:t>
      </w:r>
      <w:r>
        <w:rPr>
          <w:rFonts w:ascii="Times New Roman" w:hAnsi="Times New Roman"/>
          <w:b/>
          <w:i/>
          <w:sz w:val="20"/>
        </w:rPr>
        <w:t>Interest Payment Date</w:t>
      </w:r>
      <w:r>
        <w:rPr>
          <w:rFonts w:ascii="Times New Roman" w:hAnsi="Times New Roman"/>
          <w:sz w:val="20"/>
        </w:rPr>
        <w:t>”). Interest on the 2029 Notes will accrue from the most recent date to which interest has been paid or provided for or, if no interest has been paid or provided for, from September 17, 2026; </w:t>
      </w:r>
      <w:r>
        <w:rPr>
          <w:rFonts w:ascii="Times New Roman" w:hAnsi="Times New Roman"/>
          <w:i/>
          <w:sz w:val="20"/>
        </w:rPr>
        <w:t>provided</w:t>
      </w:r>
      <w:r>
        <w:rPr>
          <w:rFonts w:ascii="Times New Roman" w:hAnsi="Times New Roman"/>
          <w:sz w:val="20"/>
        </w:rPr>
        <w:t xml:space="preserve"> that if there is no existing Default in the payment of interest, and if this 2029 Note is authenticated between a record date referred to on the face hereof and the next succeeding Interest Payment Date, interest will accrue from such next succeeding Interest Payment Date. The Company will pay interest (including post-petition interest in any proceeding under any Bankruptcy Law to the extent allowable) on overdue principal at the rate equal to the then applicable interest rate on the 2029 Notes to the extent lawful; it will pay interest (including post-petition interest in any proceeding under any Bankruptcy Law to the extent allowable) on overdue installments of interest at the same rate to the extent lawful. Interest on the 2029 Notes will be computed on the basis of a 360-day year of twelve 30-day months. </w:t>
      </w:r>
    </w:p>
    <w:p>
      <w:pPr>
        <w:pStyle w:val="TextBody"/>
        <w:bidi w:val="0"/>
        <w:spacing w:before="240" w:after="0"/>
        <w:jc w:val="left"/>
        <w:rPr>
          <w:rFonts w:ascii="Times New Roman" w:hAnsi="Times New Roman"/>
          <w:sz w:val="20"/>
        </w:rPr>
      </w:pPr>
      <w:r>
        <w:rPr>
          <w:rFonts w:ascii="Times New Roman" w:hAnsi="Times New Roman"/>
          <w:sz w:val="20"/>
        </w:rPr>
        <w:t>2. </w:t>
      </w:r>
      <w:r>
        <w:rPr>
          <w:rFonts w:ascii="Times New Roman" w:hAnsi="Times New Roman"/>
          <w:i/>
          <w:sz w:val="20"/>
        </w:rPr>
        <w:t>METHOD OF PAYMENT</w:t>
      </w:r>
      <w:r>
        <w:rPr>
          <w:rFonts w:ascii="Times New Roman" w:hAnsi="Times New Roman"/>
          <w:sz w:val="20"/>
        </w:rPr>
        <w:t>. The Company will pay interest on the 2029 Notes (except defaulted interest) to the persons who are registered Holders of 2029 Notes at the close of business on the March 1 or September 1 (whether or not a Business Day) next preceding the applicable Interest Payment Date, even if such 2029 Notes are canceled after such record date and on or before such Interest Payment Date, except as provided in Section 2.13 of the Base Indenture with respect to defaulted interest. Principal and interest on the 2029 Notes will be payable at the office or agency of the Paying Agent and Registrar within the City and State of New York or, at the option of the Company, payment of interest may be made by check mailed to the Holders of the 2029 Notes at their respective addresses set forth in the register of Holders of 2029 Notes; </w:t>
      </w:r>
      <w:r>
        <w:rPr>
          <w:rFonts w:ascii="Times New Roman" w:hAnsi="Times New Roman"/>
          <w:i/>
          <w:sz w:val="20"/>
        </w:rPr>
        <w:t>provided</w:t>
      </w:r>
      <w:r>
        <w:rPr>
          <w:rFonts w:ascii="Times New Roman" w:hAnsi="Times New Roman"/>
          <w:sz w:val="20"/>
        </w:rPr>
        <w:t xml:space="preserve"> that payment by wire transfer of immediately available funds will be required with respect to principal of and interest on all Global Notes and all other 2029 Notes the Holders of which will have provided wire transfer instructions to the Company or the Paying Agent at least 15 calendar days prior to the applicable payment date. Such payment will be in such coin or currency of the United States of America as at the time of payment is legal tender for payment of public and private debts. </w:t>
      </w:r>
    </w:p>
    <w:p>
      <w:pPr>
        <w:pStyle w:val="TextBody"/>
        <w:bidi w:val="0"/>
        <w:spacing w:before="240" w:after="0"/>
        <w:jc w:val="left"/>
        <w:rPr>
          <w:rFonts w:ascii="Times New Roman" w:hAnsi="Times New Roman"/>
          <w:sz w:val="20"/>
        </w:rPr>
      </w:pPr>
      <w:r>
        <w:rPr>
          <w:rFonts w:ascii="Times New Roman" w:hAnsi="Times New Roman"/>
          <w:sz w:val="20"/>
        </w:rPr>
        <w:t>3. </w:t>
      </w:r>
      <w:r>
        <w:rPr>
          <w:rFonts w:ascii="Times New Roman" w:hAnsi="Times New Roman"/>
          <w:i/>
          <w:sz w:val="20"/>
        </w:rPr>
        <w:t>PAYING AGENT AND REGISTRAR</w:t>
      </w:r>
      <w:r>
        <w:rPr>
          <w:rFonts w:ascii="Times New Roman" w:hAnsi="Times New Roman"/>
          <w:sz w:val="20"/>
        </w:rPr>
        <w:t xml:space="preserve">. Initially, The Bank of New York Mellon Trust Company, N.A., the Trustee under the Indenture, will act as Paying Agent and Registrar. The Company may change any Paying Agent or Registrar without notice to any Holder. The Company or any of its Subsidiaries may act in any such capacity.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4. </w:t>
      </w:r>
      <w:r>
        <w:rPr>
          <w:rFonts w:ascii="Times New Roman" w:hAnsi="Times New Roman"/>
          <w:i/>
          <w:sz w:val="20"/>
        </w:rPr>
        <w:t>INDENTURE</w:t>
      </w:r>
      <w:r>
        <w:rPr>
          <w:rFonts w:ascii="Times New Roman" w:hAnsi="Times New Roman"/>
          <w:sz w:val="20"/>
        </w:rPr>
        <w:t>. This 2029 Note is one of a duly authenticated Series of securities of the Company issued and to be issued in one or more Series under an indenture (the “</w:t>
      </w:r>
      <w:r>
        <w:rPr>
          <w:rFonts w:ascii="Times New Roman" w:hAnsi="Times New Roman"/>
          <w:b/>
          <w:i/>
          <w:sz w:val="20"/>
        </w:rPr>
        <w:t>Base Indenture</w:t>
      </w:r>
      <w:r>
        <w:rPr>
          <w:rFonts w:ascii="Times New Roman" w:hAnsi="Times New Roman"/>
          <w:sz w:val="20"/>
        </w:rPr>
        <w:t>”), dated as of June 3, 2013, between the Company and the Trustee, as amended by the Supplemental Indenture, dated as of September 17, 2026, between the Company and the Trustee (the “</w:t>
      </w:r>
      <w:r>
        <w:rPr>
          <w:rFonts w:ascii="Times New Roman" w:hAnsi="Times New Roman"/>
          <w:b/>
          <w:i/>
          <w:sz w:val="20"/>
        </w:rPr>
        <w:t>Supplemental Indenture</w:t>
      </w:r>
      <w:r>
        <w:rPr>
          <w:rFonts w:ascii="Times New Roman" w:hAnsi="Times New Roman"/>
          <w:sz w:val="20"/>
        </w:rPr>
        <w:t>” and, together with the Base Indenture, the “</w:t>
      </w:r>
      <w:r>
        <w:rPr>
          <w:rFonts w:ascii="Times New Roman" w:hAnsi="Times New Roman"/>
          <w:b/>
          <w:i/>
          <w:sz w:val="20"/>
        </w:rPr>
        <w:t>Indenture</w:t>
      </w:r>
      <w:r>
        <w:rPr>
          <w:rFonts w:ascii="Times New Roman" w:hAnsi="Times New Roman"/>
          <w:sz w:val="20"/>
        </w:rPr>
        <w:t xml:space="preserve">”). The terms of the 2029 Notes include those stated in the Indenture and those made part of the Indenture by reference to the TIA. The 2029 Notes are subject to all such terms, and Holders are referred to the Indenture and the TIA for a statement of such terms. To the extent any provision of this 2029 Note conflicts with the express provisions of the Indenture, the provisions of the Indenture will govern and be controlling, and to the extent any provision of the Base Indenture conflicts with the express provisions of the Supplemental Indenture, the provisions of the Supplemental Indenture will govern and be controlling. The Company will be entitled to issue Additional 2029 Notes pursuant to Section 2.3 of the Supplemental Indenture. </w:t>
      </w:r>
    </w:p>
    <w:p>
      <w:pPr>
        <w:pStyle w:val="TextBody"/>
        <w:bidi w:val="0"/>
        <w:spacing w:before="240" w:after="0"/>
        <w:jc w:val="left"/>
        <w:rPr>
          <w:rFonts w:ascii="Times New Roman" w:hAnsi="Times New Roman"/>
          <w:sz w:val="20"/>
        </w:rPr>
      </w:pPr>
      <w:r>
        <w:rPr>
          <w:rFonts w:ascii="Times New Roman" w:hAnsi="Times New Roman"/>
          <w:sz w:val="20"/>
        </w:rPr>
        <w:t>5. </w:t>
      </w:r>
      <w:r>
        <w:rPr>
          <w:rFonts w:ascii="Times New Roman" w:hAnsi="Times New Roman"/>
          <w:i/>
          <w:sz w:val="20"/>
        </w:rPr>
        <w:t>OPTIONAL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At any time prior to August 15, 2029 (the “</w:t>
      </w:r>
      <w:r>
        <w:rPr>
          <w:rFonts w:ascii="Times New Roman" w:hAnsi="Times New Roman"/>
          <w:i/>
          <w:sz w:val="20"/>
        </w:rPr>
        <w:t>Par Call Date</w:t>
      </w:r>
      <w:r>
        <w:rPr>
          <w:rFonts w:ascii="Times New Roman" w:hAnsi="Times New Roman"/>
          <w:sz w:val="20"/>
        </w:rPr>
        <w:t xml:space="preserve">”), the Company will have the right, at its option, to redeem the 2029 Notes, in whole or in part, at any time and from time to time, at a redemption price (expressed as a percentage of principal amount and rounded to three decimal places) equal to the greater of: </w:t>
      </w:r>
    </w:p>
    <w:p>
      <w:pPr>
        <w:pStyle w:val="TextBody"/>
        <w:bidi w:val="0"/>
        <w:spacing w:before="240" w:after="0"/>
        <w:jc w:val="left"/>
        <w:rPr>
          <w:rFonts w:ascii="Times New Roman" w:hAnsi="Times New Roman"/>
          <w:sz w:val="20"/>
        </w:rPr>
      </w:pPr>
      <w:r>
        <w:rPr>
          <w:rFonts w:ascii="Times New Roman" w:hAnsi="Times New Roman"/>
          <w:sz w:val="20"/>
        </w:rPr>
        <w:t xml:space="preserve">(I) (i) the sum of the present values of the remaining scheduled payments of principal and interest thereon discounted to the redemption date (assuming the 2029 Notes matured on the Par Call Date) on a semi-annual basis (assuming a 360-day year consisting of twelve 30-day months) at the Treasury Rate plus 10 basis points less (ii) interest accrued to the date of redemption, and </w:t>
      </w:r>
    </w:p>
    <w:p>
      <w:pPr>
        <w:pStyle w:val="TextBody"/>
        <w:bidi w:val="0"/>
        <w:spacing w:before="240" w:after="0"/>
        <w:jc w:val="left"/>
        <w:rPr>
          <w:rFonts w:ascii="Times New Roman" w:hAnsi="Times New Roman"/>
          <w:sz w:val="20"/>
        </w:rPr>
      </w:pPr>
      <w:r>
        <w:rPr>
          <w:rFonts w:ascii="Times New Roman" w:hAnsi="Times New Roman"/>
          <w:sz w:val="20"/>
        </w:rPr>
        <w:t xml:space="preserve">(II) 100% of the principal amount of the 2029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Par Call Date, the Company will have the right, at its option, to redeem the 2029 Notes, in whole or in part, at any time and from time to time, at a redemption price equal to 100% of the principal amount of the 2029 Notes being redeemed plus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The Company’s actions and determinations in determining the redemption price shall be conclusive and binding for all purposes, absent manifest error. The Trustee shall not be obligated to calculate or verify any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will be mailed or electronically delivered (or otherwise transmitted in accordance with the depositary’s procedures) at least 10 days but not more than 60 days before the redemption date to each holder of 2029 Notes to be redeemed.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case of a partial redemption, selection of the 2029 Notes for redemption will be made pro rata, by lot or by such other method as the Trustee in its sole discretion deems appropriate and fair. No 2029 Notes of a principal amount of $2,000 or less will be redeemed in part. If any note is to be redeemed in part only, the notice of redemption that relates to such 2029 Note will state the portion of the principal amount of the 2029 Note to be redeemed. A new 2029 Note in a principal amount equal to the unredeemed portion of the 2029 Note will be issued in the name of the holder of the 2029 Note upon surrender for cancellation of the original 2029 Note. For so long as the 2029 Notes are held by DTC (or another Depositary), the redemption of the 2029 Notes shall be done in accordance with the policies and procedures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Unless the Company defaults in payment of the redemption price, on and after the redemption date, interest will cease to accrue on the 2029 Notes or portions thereof called for redemption. </w:t>
      </w:r>
    </w:p>
    <w:p>
      <w:pPr>
        <w:pStyle w:val="TextBody"/>
        <w:bidi w:val="0"/>
        <w:spacing w:before="240" w:after="0"/>
        <w:jc w:val="left"/>
        <w:rPr>
          <w:rFonts w:ascii="Times New Roman" w:hAnsi="Times New Roman"/>
          <w:sz w:val="20"/>
        </w:rPr>
      </w:pPr>
      <w:r>
        <w:rPr>
          <w:rFonts w:ascii="Times New Roman" w:hAnsi="Times New Roman"/>
          <w:sz w:val="20"/>
        </w:rPr>
        <w:t>6. </w:t>
      </w:r>
      <w:r>
        <w:rPr>
          <w:rFonts w:ascii="Times New Roman" w:hAnsi="Times New Roman"/>
          <w:i/>
          <w:sz w:val="20"/>
        </w:rPr>
        <w:t>MANDATORY REDEMPTION.</w:t>
      </w:r>
      <w:r>
        <w:rPr>
          <w:rFonts w:ascii="Times New Roman" w:hAnsi="Times New Roman"/>
          <w:sz w:val="20"/>
        </w:rPr>
        <w:t xml:space="preserve"> The Company is not required to make any mandatory redemption or sinking fund payments with respect to the 2029 Notes. </w:t>
      </w:r>
    </w:p>
    <w:p>
      <w:pPr>
        <w:pStyle w:val="TextBody"/>
        <w:bidi w:val="0"/>
        <w:spacing w:before="240" w:after="0"/>
        <w:jc w:val="left"/>
        <w:rPr>
          <w:rFonts w:ascii="Times New Roman" w:hAnsi="Times New Roman"/>
          <w:sz w:val="20"/>
        </w:rPr>
      </w:pPr>
      <w:r>
        <w:rPr>
          <w:rFonts w:ascii="Times New Roman" w:hAnsi="Times New Roman"/>
          <w:sz w:val="20"/>
        </w:rPr>
        <w:t>7. </w:t>
      </w:r>
      <w:r>
        <w:rPr>
          <w:rFonts w:ascii="Times New Roman" w:hAnsi="Times New Roman"/>
          <w:i/>
          <w:sz w:val="20"/>
        </w:rPr>
        <w:t>OFFER TO PURCHASE UPON CHANGE OF CONTROL</w:t>
      </w:r>
      <w:r>
        <w:rPr>
          <w:rFonts w:ascii="Times New Roman" w:hAnsi="Times New Roman"/>
          <w:sz w:val="20"/>
        </w:rPr>
        <w:t>. If a Change of Control Triggering Event occurs with respect to the 2029 Notes, unless the Company has exercised its option to redeem the 2029 Notes in full pursuant to Section 3.1 of the Supplemental Indenture or has defeased the 2029 Notes or satisfied and discharged the 2029 Notes, the Company shall be required to make an offer (a “</w:t>
      </w:r>
      <w:r>
        <w:rPr>
          <w:rFonts w:ascii="Times New Roman" w:hAnsi="Times New Roman"/>
          <w:b/>
          <w:i/>
          <w:sz w:val="20"/>
        </w:rPr>
        <w:t>Change of Control Offer</w:t>
      </w:r>
      <w:r>
        <w:rPr>
          <w:rFonts w:ascii="Times New Roman" w:hAnsi="Times New Roman"/>
          <w:sz w:val="20"/>
        </w:rPr>
        <w:t xml:space="preserve">”) to each Holder of the 2029 Notes to repurchase all or any part (equal to $2,000 and in integral multiples of $1,000 in excess thereof; provided that the unrepurchased portion of a 2029 Note must be in a minimum principal amount of $2,000) of that Holder’s 2029 Notes pursuant to the terms set forth in the Indenture. In a Change of Control Offer, the Company shall be required to offer payment in cash equal to 101% of the aggregate principal amount of the 2029 Notes repurchased, plus accrued and unpaid interest, if any, on the 2029 Notes repurchased to the date of repurchase. </w:t>
      </w:r>
    </w:p>
    <w:p>
      <w:pPr>
        <w:pStyle w:val="TextBody"/>
        <w:bidi w:val="0"/>
        <w:spacing w:before="240" w:after="0"/>
        <w:jc w:val="left"/>
        <w:rPr>
          <w:rFonts w:ascii="Times New Roman" w:hAnsi="Times New Roman"/>
          <w:sz w:val="20"/>
        </w:rPr>
      </w:pPr>
      <w:r>
        <w:rPr>
          <w:rFonts w:ascii="Times New Roman" w:hAnsi="Times New Roman"/>
          <w:sz w:val="20"/>
        </w:rPr>
        <w:t>8. </w:t>
      </w:r>
      <w:r>
        <w:rPr>
          <w:rFonts w:ascii="Times New Roman" w:hAnsi="Times New Roman"/>
          <w:i/>
          <w:sz w:val="20"/>
        </w:rPr>
        <w:t>DENOMINATIONS, TRANSFER, EXCHANGE</w:t>
      </w:r>
      <w:r>
        <w:rPr>
          <w:rFonts w:ascii="Times New Roman" w:hAnsi="Times New Roman"/>
          <w:sz w:val="20"/>
        </w:rPr>
        <w:t xml:space="preserve">. The 2029 Notes are in registered form without coupons in denominations of $2,000 and integral multiples of $1,000 in excess thereof. 2029 Notes may be transferred or exchanged as provided in the Indenture. The Registrar and the Trustee may require a Holder, among other things, to furnish appropriate endorsements and transfer documents and the Company or the Trustee may require a Holder to pay any taxes and fees required by law or permitted by the Indenture. The Company need not exchange or transfer any 2029 Note or portion of a 2029 Note selected for redemption, except for the unredeemed portion of any 2029 Note being redeemed in part. Also, the Company need not exchange or register the transfer of any 2029 Notes for a period of 15 days before the day of any selection of 2029 Notes being redeemed or during the period between a record date and the corresponding Interest Payment Date. </w:t>
      </w:r>
    </w:p>
    <w:p>
      <w:pPr>
        <w:pStyle w:val="TextBody"/>
        <w:bidi w:val="0"/>
        <w:spacing w:before="240" w:after="0"/>
        <w:jc w:val="left"/>
        <w:rPr>
          <w:rFonts w:ascii="Times New Roman" w:hAnsi="Times New Roman"/>
          <w:sz w:val="20"/>
        </w:rPr>
      </w:pPr>
      <w:r>
        <w:rPr>
          <w:rFonts w:ascii="Times New Roman" w:hAnsi="Times New Roman"/>
          <w:sz w:val="20"/>
        </w:rPr>
        <w:t>9. </w:t>
      </w:r>
      <w:r>
        <w:rPr>
          <w:rFonts w:ascii="Times New Roman" w:hAnsi="Times New Roman"/>
          <w:i/>
          <w:sz w:val="20"/>
        </w:rPr>
        <w:t>PERSONS DEEMED OWNERS</w:t>
      </w:r>
      <w:r>
        <w:rPr>
          <w:rFonts w:ascii="Times New Roman" w:hAnsi="Times New Roman"/>
          <w:sz w:val="20"/>
        </w:rPr>
        <w:t xml:space="preserve">. Subject to the record date provisions hereof, the registered Holder of a 2029 Note may be treated as its owner for all purposes. </w:t>
      </w:r>
    </w:p>
    <w:p>
      <w:pPr>
        <w:pStyle w:val="TextBody"/>
        <w:bidi w:val="0"/>
        <w:spacing w:before="240" w:after="0"/>
        <w:jc w:val="left"/>
        <w:rPr>
          <w:rFonts w:ascii="Times New Roman" w:hAnsi="Times New Roman"/>
          <w:sz w:val="20"/>
        </w:rPr>
      </w:pPr>
      <w:r>
        <w:rPr>
          <w:rFonts w:ascii="Times New Roman" w:hAnsi="Times New Roman"/>
          <w:sz w:val="20"/>
        </w:rPr>
        <w:t>10. </w:t>
      </w:r>
      <w:r>
        <w:rPr>
          <w:rFonts w:ascii="Times New Roman" w:hAnsi="Times New Roman"/>
          <w:i/>
          <w:sz w:val="20"/>
        </w:rPr>
        <w:t>AMENDMENT, SUPPLEMENT AND WAIVER</w:t>
      </w:r>
      <w:r>
        <w:rPr>
          <w:rFonts w:ascii="Times New Roman" w:hAnsi="Times New Roman"/>
          <w:sz w:val="20"/>
        </w:rPr>
        <w:t xml:space="preserve">. Subject to certain exceptions, the Indenture or the 2029 Notes may be amended or supplemented with the consent of the Holders of at least a majority in principal amount of the 2029 Notes then outstanding, including, without limitation, consents obtained in connection with a tender offer or exchange offer for the 2029 Notes, and any existing default or compliance with any provision of the Indenture or the 2029 Notes, may be waived with the consent of the Holders of a majority in principal amount of the then outstanding 2029 Notes, including, without limitation, consents obtained in connection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tender offer or exchange offer for the 2029 Notes. Without the consent of any Holder of a 2029 Note, the Indenture or the 2029 Notes may be amended or supplemented (i) to cure any ambiguity, defect or inconsistency; (ii) to provide for a supplemental indenture as set forth in Article V of the Base Indenture; (iii) to provide for uncertificated Securities in addition to or in place of certificated Securities; (iv) to make any change that does not adversely affect the rights of any Holder; (v) to provide for the issuance of and establish the form and terms and conditions of the Securities of any Series as permitted by the Indenture; (vi) to evidence and provide for the acceptance of appointment under the Indenture by a successor Trustee and to add to or change any of the provisions of the Indenture as shall be necessary to provide for or facilitate the administration of the trusts under the Indenture by more than one Trustee; or (vii) to comply with the requirements of the SEC in order to effect or maintain the qualification of the Indenture under the TIA. </w:t>
      </w:r>
    </w:p>
    <w:p>
      <w:pPr>
        <w:pStyle w:val="TextBody"/>
        <w:bidi w:val="0"/>
        <w:spacing w:before="240" w:after="0"/>
        <w:jc w:val="left"/>
        <w:rPr>
          <w:rFonts w:ascii="Times New Roman" w:hAnsi="Times New Roman"/>
          <w:sz w:val="20"/>
        </w:rPr>
      </w:pPr>
      <w:r>
        <w:rPr>
          <w:rFonts w:ascii="Times New Roman" w:hAnsi="Times New Roman"/>
          <w:sz w:val="20"/>
        </w:rPr>
        <w:t>11. </w:t>
      </w:r>
      <w:r>
        <w:rPr>
          <w:rFonts w:ascii="Times New Roman" w:hAnsi="Times New Roman"/>
          <w:i/>
          <w:sz w:val="20"/>
        </w:rPr>
        <w:t>DEFAULTS AND REMEDIES</w:t>
      </w:r>
      <w:r>
        <w:rPr>
          <w:rFonts w:ascii="Times New Roman" w:hAnsi="Times New Roman"/>
          <w:sz w:val="20"/>
        </w:rPr>
        <w:t xml:space="preserve">. If an Event of Default with respect to the 2029 Notes shall occur and be continuing, the principal of, and any accrued and unpaid interest on, the outstanding 2029 Notes may be declared due and payable in the manner and with the effect provided in the Indenture. </w:t>
      </w:r>
    </w:p>
    <w:p>
      <w:pPr>
        <w:pStyle w:val="TextBody"/>
        <w:bidi w:val="0"/>
        <w:spacing w:before="240" w:after="0"/>
        <w:jc w:val="left"/>
        <w:rPr>
          <w:rFonts w:ascii="Times New Roman" w:hAnsi="Times New Roman"/>
          <w:sz w:val="20"/>
        </w:rPr>
      </w:pPr>
      <w:r>
        <w:rPr>
          <w:rFonts w:ascii="Times New Roman" w:hAnsi="Times New Roman"/>
          <w:sz w:val="20"/>
        </w:rPr>
        <w:t>12. </w:t>
      </w:r>
      <w:r>
        <w:rPr>
          <w:rFonts w:ascii="Times New Roman" w:hAnsi="Times New Roman"/>
          <w:i/>
          <w:sz w:val="20"/>
        </w:rPr>
        <w:t>TRUSTEE DEALINGS WITH COMPANY</w:t>
      </w:r>
      <w:r>
        <w:rPr>
          <w:rFonts w:ascii="Times New Roman" w:hAnsi="Times New Roman"/>
          <w:sz w:val="20"/>
        </w:rPr>
        <w:t xml:space="preserve">. The Trustee, in its individual or any other capacity, may become the owner or pledgee of the 2029 Notes and may otherwise deal with the Company or an Affiliate of the Company with the same rights it would have if it were not Trustee. </w:t>
      </w:r>
    </w:p>
    <w:p>
      <w:pPr>
        <w:pStyle w:val="TextBody"/>
        <w:bidi w:val="0"/>
        <w:spacing w:before="240" w:after="0"/>
        <w:jc w:val="left"/>
        <w:rPr>
          <w:rFonts w:ascii="Times New Roman" w:hAnsi="Times New Roman"/>
          <w:sz w:val="20"/>
        </w:rPr>
      </w:pPr>
      <w:r>
        <w:rPr>
          <w:rFonts w:ascii="Times New Roman" w:hAnsi="Times New Roman"/>
          <w:sz w:val="20"/>
        </w:rPr>
        <w:t>13. </w:t>
      </w:r>
      <w:r>
        <w:rPr>
          <w:rFonts w:ascii="Times New Roman" w:hAnsi="Times New Roman"/>
          <w:i/>
          <w:sz w:val="20"/>
        </w:rPr>
        <w:t>NO RECOURSE AGAINST OTHERS</w:t>
      </w:r>
      <w:r>
        <w:rPr>
          <w:rFonts w:ascii="Times New Roman" w:hAnsi="Times New Roman"/>
          <w:sz w:val="20"/>
        </w:rPr>
        <w:t xml:space="preserve">. A director, officer, employee or stockholder, as such, of the Company will not have any liability for any obligations of the Company under the 2029 Notes or the Indenture or for any claim based on, in respect of, or by reason of, such obligations or their creation. Each Holder by accepting a 2029 Note waives and releases all such liability. The waiver and release are part of the consideration for the issue of the 2029 Notes. </w:t>
      </w:r>
    </w:p>
    <w:p>
      <w:pPr>
        <w:pStyle w:val="TextBody"/>
        <w:bidi w:val="0"/>
        <w:spacing w:before="240" w:after="0"/>
        <w:jc w:val="left"/>
        <w:rPr>
          <w:rFonts w:ascii="Times New Roman" w:hAnsi="Times New Roman"/>
          <w:sz w:val="20"/>
        </w:rPr>
      </w:pPr>
      <w:r>
        <w:rPr>
          <w:rFonts w:ascii="Times New Roman" w:hAnsi="Times New Roman"/>
          <w:sz w:val="20"/>
        </w:rPr>
        <w:t>14. </w:t>
      </w:r>
      <w:r>
        <w:rPr>
          <w:rFonts w:ascii="Times New Roman" w:hAnsi="Times New Roman"/>
          <w:i/>
          <w:sz w:val="20"/>
        </w:rPr>
        <w:t>AUTHENTICATION</w:t>
      </w:r>
      <w:r>
        <w:rPr>
          <w:rFonts w:ascii="Times New Roman" w:hAnsi="Times New Roman"/>
          <w:sz w:val="20"/>
        </w:rPr>
        <w:t xml:space="preserve">. This 2029 Note will not be valid until authenticated by the manual or electronic signature of the Trustee or an authenticating agent. </w:t>
      </w:r>
    </w:p>
    <w:p>
      <w:pPr>
        <w:pStyle w:val="TextBody"/>
        <w:bidi w:val="0"/>
        <w:spacing w:before="240" w:after="0"/>
        <w:jc w:val="left"/>
        <w:rPr>
          <w:rFonts w:ascii="Times New Roman" w:hAnsi="Times New Roman"/>
          <w:sz w:val="20"/>
        </w:rPr>
      </w:pPr>
      <w:r>
        <w:rPr>
          <w:rFonts w:ascii="Times New Roman" w:hAnsi="Times New Roman"/>
          <w:sz w:val="20"/>
        </w:rPr>
        <w:t>15. </w:t>
      </w:r>
      <w:r>
        <w:rPr>
          <w:rFonts w:ascii="Times New Roman" w:hAnsi="Times New Roman"/>
          <w:i/>
          <w:sz w:val="20"/>
        </w:rPr>
        <w:t>ABBREVIATIONS</w:t>
      </w:r>
      <w:r>
        <w:rPr>
          <w:rFonts w:ascii="Times New Roman" w:hAnsi="Times New Roman"/>
          <w:sz w:val="20"/>
        </w:rPr>
        <w:t xml:space="preserve">. Customary abbreviations may be used in the name of a Holder or an assignee, such as: TEN COM (= tenants in common), TEN ENT (= tenants by the entireties), JT TEN (= joint tenants with right of survivorship and not as tenants in common), CUST (= Custodian), and U/G/M/A (= Uniform Gifts to Minors Act). </w:t>
      </w:r>
    </w:p>
    <w:p>
      <w:pPr>
        <w:pStyle w:val="TextBody"/>
        <w:bidi w:val="0"/>
        <w:spacing w:before="240" w:after="0"/>
        <w:jc w:val="left"/>
        <w:rPr>
          <w:rFonts w:ascii="Times New Roman" w:hAnsi="Times New Roman"/>
          <w:sz w:val="20"/>
        </w:rPr>
      </w:pPr>
      <w:r>
        <w:rPr>
          <w:rFonts w:ascii="Times New Roman" w:hAnsi="Times New Roman"/>
          <w:sz w:val="20"/>
        </w:rPr>
        <w:t>16. </w:t>
      </w:r>
      <w:r>
        <w:rPr>
          <w:rFonts w:ascii="Times New Roman" w:hAnsi="Times New Roman"/>
          <w:i/>
          <w:sz w:val="20"/>
        </w:rPr>
        <w:t>CUSIP NUMBERS</w:t>
      </w:r>
      <w:r>
        <w:rPr>
          <w:rFonts w:ascii="Times New Roman" w:hAnsi="Times New Roman"/>
          <w:sz w:val="20"/>
        </w:rPr>
        <w:t xml:space="preserve">. The Company has caused CUSIP numbers to be printed on the 2029 Notes and the Trustee shall use CUSIP numbers in notices of redemption as a convenience to Holders. No representation is made as to the correctness of such numbers either as printed on the 2029 Notes or as contained in any notice of redemption and reliance may be placed only on the other elements of identification printed on the 2029 Notes, and any such redemption shall not be affected by any defect in or omission of such numbers. The Company will furnish to any Holder upon written request and without charge a copy of the Base Indenture and the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Requests may be made to: Analog Devices, Inc., One Analog Way, Wilmington, Massachusetts 01887, Attention: Chief Legal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ASSIGNMENT FORM </w:t>
      </w:r>
    </w:p>
    <w:p>
      <w:pPr>
        <w:pStyle w:val="TextBody"/>
        <w:bidi w:val="0"/>
        <w:spacing w:before="240" w:after="0"/>
        <w:jc w:val="left"/>
        <w:rPr>
          <w:rFonts w:ascii="Times New Roman" w:hAnsi="Times New Roman"/>
          <w:sz w:val="20"/>
        </w:rPr>
      </w:pPr>
      <w:r>
        <w:rPr>
          <w:rFonts w:ascii="Times New Roman" w:hAnsi="Times New Roman"/>
          <w:sz w:val="20"/>
        </w:rPr>
        <w:t xml:space="preserve">To assign this Note, fill in the form below: </w:t>
      </w:r>
    </w:p>
    <w:p>
      <w:pPr>
        <w:pStyle w:val="TextBody"/>
        <w:bidi w:val="0"/>
        <w:spacing w:before="240" w:after="0"/>
        <w:jc w:val="left"/>
        <w:rPr>
          <w:rFonts w:ascii="Times New Roman" w:hAnsi="Times New Roman"/>
          <w:sz w:val="20"/>
        </w:rPr>
      </w:pPr>
      <w:r>
        <w:rPr>
          <w:rFonts w:ascii="Times New Roman" w:hAnsi="Times New Roman"/>
          <w:sz w:val="20"/>
        </w:rPr>
        <w:t xml:space="preserve">(I) or (we) assign and transfer this Note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20"/>
              <w:jc w:val="center"/>
              <w:rPr>
                <w:rFonts w:ascii="Times New Roman" w:hAnsi="Times New Roman"/>
                <w:sz w:val="20"/>
              </w:rPr>
            </w:pPr>
            <w:r>
              <w:rPr>
                <w:rFonts w:ascii="Times New Roman" w:hAnsi="Times New Roman"/>
                <w:sz w:val="20"/>
              </w:rPr>
              <w:t>(Insert assignee’s legal name)</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20"/>
              <w:jc w:val="center"/>
              <w:rPr>
                <w:rFonts w:ascii="Times New Roman" w:hAnsi="Times New Roman"/>
                <w:sz w:val="20"/>
              </w:rPr>
            </w:pPr>
            <w:r>
              <w:rPr>
                <w:rFonts w:ascii="Times New Roman" w:hAnsi="Times New Roman"/>
                <w:sz w:val="20"/>
              </w:rPr>
              <w:t>(Insert assignee’s soc. sec. or tax I.D. no.)</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20"/>
              <w:jc w:val="center"/>
              <w:rPr>
                <w:rFonts w:ascii="Times New Roman" w:hAnsi="Times New Roman"/>
                <w:sz w:val="20"/>
              </w:rPr>
            </w:pPr>
            <w:r>
              <w:rPr>
                <w:rFonts w:ascii="Times New Roman" w:hAnsi="Times New Roman"/>
                <w:sz w:val="20"/>
              </w:rPr>
              <w:t>(Print or type assignee’s name, address and zip code)</w:t>
            </w:r>
          </w:p>
        </w:tc>
      </w:tr>
    </w:tbl>
    <w:p>
      <w:pPr>
        <w:pStyle w:val="TextBody"/>
        <w:bidi w:val="0"/>
        <w:spacing w:before="240" w:after="0"/>
        <w:jc w:val="left"/>
        <w:rPr>
          <w:rFonts w:ascii="Times New Roman" w:hAnsi="Times New Roman"/>
          <w:sz w:val="20"/>
        </w:rPr>
      </w:pPr>
      <w:r>
        <w:rPr>
          <w:rFonts w:ascii="Times New Roman" w:hAnsi="Times New Roman"/>
          <w:sz w:val="20"/>
        </w:rPr>
        <w:t xml:space="preserve">and irrevocably appoint _____________________________________________ to transfer this Note on the books of the Company. The agent may substitute another to act for him </w:t>
      </w:r>
    </w:p>
    <w:p>
      <w:pPr>
        <w:pStyle w:val="TextBody"/>
        <w:bidi w:val="0"/>
        <w:spacing w:before="240" w:after="0"/>
        <w:jc w:val="left"/>
        <w:rPr>
          <w:rFonts w:ascii="Times New Roman" w:hAnsi="Times New Roman"/>
          <w:sz w:val="20"/>
        </w:rPr>
      </w:pPr>
      <w:r>
        <w:rPr>
          <w:rFonts w:ascii="Times New Roman" w:hAnsi="Times New Roman"/>
          <w:sz w:val="20"/>
        </w:rPr>
        <w:t xml:space="preserve">Date: _______________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Your Signature:</w:t>
            </w:r>
          </w:p>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(sign exactly as your name appears on the face of this Note)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Tax Identification No:</w:t>
            </w:r>
          </w:p>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Signature Guarantee:</w:t>
            </w:r>
          </w:p>
          <w:p>
            <w:pPr>
              <w:pStyle w:val="TableContents"/>
              <w:pBdr>
                <w:bottom w:val="single" w:sz="2" w:space="1" w:color="000000"/>
              </w:pBdr>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Signatures must be guaranteed by an “eligible guarantor institution” meeting the requirements of the Registrar, which requirements include membership or participation in the Security Transfer Agent Medallion Program (“</w:t>
      </w:r>
      <w:r>
        <w:rPr>
          <w:rFonts w:ascii="Times New Roman" w:hAnsi="Times New Roman"/>
          <w:b/>
          <w:i/>
          <w:sz w:val="20"/>
        </w:rPr>
        <w:t>STAMP</w:t>
      </w:r>
      <w:r>
        <w:rPr>
          <w:rFonts w:ascii="Times New Roman" w:hAnsi="Times New Roman"/>
          <w:sz w:val="20"/>
        </w:rPr>
        <w:t xml:space="preserve">”) or such other “signature guarantee program” as may be determined by the Registrar in addition to, or in substitution for, STAMP, all in accordance with the Securities Exchange Act of 1934,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OPTION OF HOLDER TO ELECT PURCHASE </w:t>
      </w:r>
    </w:p>
    <w:p>
      <w:pPr>
        <w:pStyle w:val="TextBody"/>
        <w:bidi w:val="0"/>
        <w:spacing w:before="240" w:after="0"/>
        <w:jc w:val="left"/>
        <w:rPr>
          <w:rFonts w:ascii="Times New Roman" w:hAnsi="Times New Roman"/>
          <w:sz w:val="20"/>
        </w:rPr>
      </w:pPr>
      <w:r>
        <w:rPr>
          <w:rFonts w:ascii="Times New Roman" w:hAnsi="Times New Roman"/>
          <w:sz w:val="20"/>
        </w:rPr>
        <w:t xml:space="preserve">If you want to elect to have this 2029 Note purchased by the Company pursuant to Section 4.1 of the Supplemental Indenture, check the box below: </w:t>
      </w:r>
    </w:p>
    <w:p>
      <w:pPr>
        <w:pStyle w:val="TextBody"/>
        <w:bidi w:val="0"/>
        <w:spacing w:before="240" w:after="0"/>
        <w:jc w:val="left"/>
        <w:rPr/>
      </w:pPr>
      <w:r>
        <w:rPr/>
        <w:t xml:space="preserve">☐ </w:t>
      </w:r>
      <w:r>
        <w:rPr>
          <w:rFonts w:ascii="Times New Roman" w:hAnsi="Times New Roman"/>
          <w:sz w:val="20"/>
        </w:rPr>
        <w:t xml:space="preserve">Section 4.1 </w:t>
      </w:r>
    </w:p>
    <w:p>
      <w:pPr>
        <w:pStyle w:val="TextBody"/>
        <w:bidi w:val="0"/>
        <w:spacing w:before="240" w:after="0"/>
        <w:jc w:val="left"/>
        <w:rPr>
          <w:rFonts w:ascii="Times New Roman" w:hAnsi="Times New Roman"/>
          <w:sz w:val="20"/>
        </w:rPr>
      </w:pPr>
      <w:r>
        <w:rPr>
          <w:rFonts w:ascii="Times New Roman" w:hAnsi="Times New Roman"/>
          <w:sz w:val="20"/>
        </w:rPr>
        <w:t xml:space="preserve">If you want to elect to have only part of this 2029 Note purchased by the Company pursuant to Section 4.1 of the Supplemental Indenture, state the amount you elect to have purchased ($2,000 or integral multiples of $1,000 in excess thereof; provided that the unrepurchased portion of this 2029 Note must be in a minimum principal amount of $2,000): </w:t>
      </w:r>
    </w:p>
    <w:p>
      <w:pPr>
        <w:pStyle w:val="TextBody"/>
        <w:bidi w:val="0"/>
        <w:spacing w:before="240" w:after="0"/>
        <w:jc w:val="left"/>
        <w:rPr>
          <w:rFonts w:ascii="Times New Roman" w:hAnsi="Times New Roman"/>
          <w:sz w:val="20"/>
        </w:rPr>
      </w:pPr>
      <w:r>
        <w:rPr>
          <w:rFonts w:ascii="Times New Roman" w:hAnsi="Times New Roman"/>
          <w:sz w:val="20"/>
        </w:rPr>
        <w:t xml:space="preserve">$________________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Date: _______________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Your Signature:</w:t>
            </w:r>
          </w:p>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(sign exactly as your name appears on the face of this Note)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Tax Identification No:</w:t>
            </w:r>
          </w:p>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Signature Guarantee:</w:t>
            </w:r>
          </w:p>
          <w:p>
            <w:pPr>
              <w:pStyle w:val="TableContents"/>
              <w:pBdr>
                <w:bottom w:val="single" w:sz="2" w:space="1" w:color="000000"/>
              </w:pBdr>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Signatures must be guaranteed by an “eligible guarantor institution” meeting the requirements of the Registrar, which requirements include membership or participation in the Security Transfer Agent Medallion Program (“</w:t>
      </w:r>
      <w:r>
        <w:rPr>
          <w:rFonts w:ascii="Times New Roman" w:hAnsi="Times New Roman"/>
          <w:b/>
          <w:i/>
          <w:sz w:val="20"/>
        </w:rPr>
        <w:t>STAMP</w:t>
      </w:r>
      <w:r>
        <w:rPr>
          <w:rFonts w:ascii="Times New Roman" w:hAnsi="Times New Roman"/>
          <w:sz w:val="20"/>
        </w:rPr>
        <w:t xml:space="preserve">”) or such other “signature guarantee program” as may be determined by the Registrar in addition to, or in substitution for, STAMP, all in accordance with the Securities Exchange Act of 1934,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GLOBAL 2031 NOTE </w:t>
      </w:r>
    </w:p>
    <w:p>
      <w:pPr>
        <w:pStyle w:val="TextBody"/>
        <w:bidi w:val="0"/>
        <w:spacing w:before="240" w:after="0"/>
        <w:jc w:val="center"/>
        <w:rPr>
          <w:rFonts w:ascii="Times New Roman" w:hAnsi="Times New Roman"/>
          <w:sz w:val="20"/>
        </w:rPr>
      </w:pPr>
      <w:r>
        <w:rPr>
          <w:rFonts w:ascii="Times New Roman" w:hAnsi="Times New Roman"/>
          <w:sz w:val="20"/>
        </w:rPr>
        <w:t xml:space="preserve">(Face of Global 2031 Note) </w:t>
      </w:r>
    </w:p>
    <w:p>
      <w:pPr>
        <w:pStyle w:val="TextBody"/>
        <w:bidi w:val="0"/>
        <w:spacing w:before="240" w:after="0"/>
        <w:jc w:val="left"/>
        <w:rPr>
          <w:rFonts w:ascii="Times New Roman" w:hAnsi="Times New Roman"/>
          <w:sz w:val="20"/>
        </w:rPr>
      </w:pPr>
      <w:r>
        <w:rPr>
          <w:rFonts w:ascii="Times New Roman" w:hAnsi="Times New Roman"/>
          <w:sz w:val="20"/>
        </w:rPr>
        <w:t xml:space="preserve">THIS GLOBAL NOTE IS HELD BY THE DEPOSITARY (AS DEFINED IN THE SUPPLEMENTAL INDENTURE HEREINAFTER REFERRED TO GOVERNING THIS NOTE) OR ITS NOMINEE IN CUSTODY FOR THE BENEFIT OF THE BENEFICIAL OWNERS HEREOF, AND IS NOT TRANSFERABLE TO ANY PERSON UNDER ANY CIRCUMSTANCES EXCEPT THAT (I) THE TRUSTEE MAY MAKE SUCH NOTATIONS HEREON AS MAY BE REQUIRED PURSUANT TO SECTION 2.2 OF THE SUPPLEMENTAL INDENTURE, (II) THIS GLOBAL NOTE MAY BE EXCHANGED IN WHOLE BUT NOT IN PART PURSUANT TO SECTION 2.2(a) OF THE SUPPLEMENTAL INDENTURE, (III) THIS GLOBAL NOTE MAY BE DELIVERED TO THE TRUSTEE FOR CANCELLATION PURSUANT TO SECTION 2.12 OF THE BASE INDENTURE HEREINAFTER REFERRED TO AND (IV) THIS GLOBAL NOTE MAY BE TRANSFERRED TO A SUCCESSOR DEPOSITARY WITH THE PRIOR WRITTEN CONSENT OF THE COMPANY HEREINAFTER REFERRED TO. </w:t>
      </w:r>
    </w:p>
    <w:p>
      <w:pPr>
        <w:pStyle w:val="TextBody"/>
        <w:bidi w:val="0"/>
        <w:spacing w:before="240" w:after="0"/>
        <w:jc w:val="left"/>
        <w:rPr>
          <w:rFonts w:ascii="Times New Roman" w:hAnsi="Times New Roman"/>
          <w:sz w:val="20"/>
        </w:rPr>
      </w:pPr>
      <w:r>
        <w:rPr>
          <w:rFonts w:ascii="Times New Roman" w:hAnsi="Times New Roman"/>
          <w:sz w:val="20"/>
        </w:rPr>
        <w:t>THIS GLOBAL NOTE IS A GLOBAL NOTE WITHIN THE MEANING OF THE SUPPLEMENTAL INDENTURE HEREINAFTER REFERRED TO AND IS REGISTERED IN THE NAME OF THE DEPOSITARY OR A NOMINEE OF THE DEPOSITARY. THIS GLOBAL NOTE IS EXCHANGEABLE FOR NOTES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 UNLESS THIS CERTIFICATE IS PRESENTED BY AN AUTHORIZED REPRESENTATIVE OF THE DEPOSITORY TRUST COMPANY (55 WATER STREET, NEW YORK, NEW YORK) (“</w:t>
      </w:r>
      <w:r>
        <w:rPr>
          <w:rFonts w:ascii="Times New Roman" w:hAnsi="Times New Roman"/>
          <w:b/>
          <w:i/>
          <w:sz w:val="20"/>
        </w:rPr>
        <w:t>DTC</w:t>
      </w:r>
      <w:r>
        <w:rPr>
          <w:rFonts w:ascii="Times New Roman" w:hAnsi="Times New Roman"/>
          <w:sz w:val="20"/>
        </w:rPr>
        <w:t xml:space="preserve">”)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CUSIP: 032654 BH7 </w:t>
      </w:r>
    </w:p>
    <w:p>
      <w:pPr>
        <w:pStyle w:val="TextBody"/>
        <w:bidi w:val="0"/>
        <w:spacing w:before="0" w:after="0"/>
        <w:jc w:val="right"/>
        <w:rPr>
          <w:rFonts w:ascii="Times New Roman" w:hAnsi="Times New Roman"/>
          <w:sz w:val="20"/>
        </w:rPr>
      </w:pPr>
      <w:r>
        <w:rPr>
          <w:rFonts w:ascii="Times New Roman" w:hAnsi="Times New Roman"/>
          <w:sz w:val="20"/>
        </w:rPr>
        <w:t xml:space="preserve">ISIN: US032654BH77 </w:t>
      </w:r>
    </w:p>
    <w:p>
      <w:pPr>
        <w:pStyle w:val="TextBody"/>
        <w:bidi w:val="0"/>
        <w:spacing w:before="240" w:after="0"/>
        <w:jc w:val="center"/>
        <w:rPr>
          <w:rFonts w:ascii="Times New Roman" w:hAnsi="Times New Roman"/>
          <w:sz w:val="20"/>
        </w:rPr>
      </w:pPr>
      <w:r>
        <w:rPr>
          <w:rFonts w:ascii="Times New Roman" w:hAnsi="Times New Roman"/>
          <w:sz w:val="20"/>
        </w:rPr>
        <w:t xml:space="preserve">ANALOG DEVICES, INC. </w:t>
      </w:r>
    </w:p>
    <w:p>
      <w:pPr>
        <w:pStyle w:val="TextBody"/>
        <w:bidi w:val="0"/>
        <w:spacing w:before="0" w:after="0"/>
        <w:jc w:val="center"/>
        <w:rPr>
          <w:rFonts w:ascii="Times New Roman" w:hAnsi="Times New Roman"/>
          <w:sz w:val="20"/>
        </w:rPr>
      </w:pPr>
      <w:r>
        <w:rPr>
          <w:rFonts w:ascii="Times New Roman" w:hAnsi="Times New Roman"/>
          <w:sz w:val="20"/>
        </w:rPr>
        <w:t xml:space="preserve">5.350% Senior Note due October 1, 2031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56"/>
        <w:gridCol w:w="121"/>
        <w:gridCol w:w="4728"/>
      </w:tblGrid>
      <w:tr>
        <w:trPr/>
        <w:tc>
          <w:tcPr>
            <w:tcW w:w="535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728" w:type="dxa"/>
            <w:tcBorders/>
            <w:vAlign w:val="center"/>
          </w:tcPr>
          <w:p>
            <w:pPr>
              <w:pStyle w:val="TableContents"/>
              <w:bidi w:val="0"/>
              <w:spacing w:before="0" w:after="283"/>
              <w:jc w:val="left"/>
              <w:rPr>
                <w:sz w:val="4"/>
                <w:szCs w:val="4"/>
              </w:rPr>
            </w:pPr>
            <w:r>
              <w:rPr>
                <w:sz w:val="4"/>
                <w:szCs w:val="4"/>
              </w:rPr>
            </w:r>
          </w:p>
        </w:tc>
      </w:tr>
      <w:tr>
        <w:trPr/>
        <w:tc>
          <w:tcPr>
            <w:tcW w:w="5356" w:type="dxa"/>
            <w:tcBorders/>
          </w:tcPr>
          <w:p>
            <w:pPr>
              <w:pStyle w:val="TableContents"/>
              <w:bidi w:val="0"/>
              <w:spacing w:before="0" w:after="283"/>
              <w:jc w:val="left"/>
              <w:rPr/>
            </w:pPr>
            <w:r>
              <w:rPr/>
              <w:t>No.</w:t>
            </w:r>
            <w:r>
              <w:rPr>
                <w:u w:val="single"/>
              </w:rPr>
              <w:t>        </w:t>
            </w:r>
          </w:p>
        </w:tc>
        <w:tc>
          <w:tcPr>
            <w:tcW w:w="121" w:type="dxa"/>
            <w:tcBorders/>
            <w:vAlign w:val="bottom"/>
          </w:tcPr>
          <w:p>
            <w:pPr>
              <w:pStyle w:val="TableContents"/>
              <w:bidi w:val="0"/>
              <w:spacing w:before="0" w:after="283"/>
              <w:jc w:val="left"/>
              <w:rPr/>
            </w:pPr>
            <w:r>
              <w:rPr/>
              <w:t>  </w:t>
            </w:r>
          </w:p>
        </w:tc>
        <w:tc>
          <w:tcPr>
            <w:tcW w:w="4728" w:type="dxa"/>
            <w:tcBorders/>
          </w:tcPr>
          <w:p>
            <w:pPr>
              <w:pStyle w:val="TableContents"/>
              <w:bidi w:val="0"/>
              <w:spacing w:before="0" w:after="283"/>
              <w:jc w:val="right"/>
              <w:rPr/>
            </w:pPr>
            <w:r>
              <w:rPr/>
              <w:t>$</w:t>
            </w:r>
            <w:r>
              <w:rPr>
                <w:u w:val="single"/>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Analog Devices, Inc., a Massachusetts corporation, promises to pay to CEDE &amp; CO. or registered assigns, the principal sum of $    on October 1, 2031. </w:t>
      </w:r>
    </w:p>
    <w:p>
      <w:pPr>
        <w:pStyle w:val="TextBody"/>
        <w:bidi w:val="0"/>
        <w:spacing w:before="360" w:after="0"/>
        <w:jc w:val="left"/>
        <w:rPr>
          <w:rFonts w:ascii="Times New Roman" w:hAnsi="Times New Roman"/>
          <w:sz w:val="20"/>
        </w:rPr>
      </w:pPr>
      <w:r>
        <w:rPr>
          <w:rFonts w:ascii="Times New Roman" w:hAnsi="Times New Roman"/>
          <w:sz w:val="20"/>
        </w:rPr>
        <w:t xml:space="preserve">Interest Payment Dates: April 1 and October 1 </w:t>
      </w:r>
    </w:p>
    <w:p>
      <w:pPr>
        <w:pStyle w:val="TextBody"/>
        <w:bidi w:val="0"/>
        <w:spacing w:before="360" w:after="0"/>
        <w:jc w:val="left"/>
        <w:rPr>
          <w:rFonts w:ascii="Times New Roman" w:hAnsi="Times New Roman"/>
          <w:sz w:val="20"/>
        </w:rPr>
      </w:pPr>
      <w:r>
        <w:rPr>
          <w:rFonts w:ascii="Times New Roman" w:hAnsi="Times New Roman"/>
          <w:sz w:val="20"/>
        </w:rPr>
        <w:t xml:space="preserve">Record Dates: March 15 and September 15 </w:t>
      </w:r>
    </w:p>
    <w:p>
      <w:pPr>
        <w:pStyle w:val="TextBody"/>
        <w:bidi w:val="0"/>
        <w:spacing w:before="120" w:after="0"/>
        <w:jc w:val="left"/>
        <w:rPr>
          <w:rFonts w:ascii="Times New Roman" w:hAnsi="Times New Roman"/>
          <w:sz w:val="20"/>
        </w:rPr>
      </w:pPr>
      <w:r>
        <w:rPr>
          <w:rFonts w:ascii="Times New Roman" w:hAnsi="Times New Roman"/>
          <w:sz w:val="20"/>
        </w:rPr>
        <w:t xml:space="preserve">Date: _______________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62"/>
        <w:gridCol w:w="157"/>
        <w:gridCol w:w="3063"/>
      </w:tblGrid>
      <w:tr>
        <w:trPr/>
        <w:tc>
          <w:tcPr>
            <w:tcW w:w="862"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306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ANALOG DEVICES, INC.</w:t>
            </w:r>
          </w:p>
        </w:tc>
      </w:tr>
      <w:tr>
        <w:trPr>
          <w:trHeight w:val="240" w:hRule="atLeast"/>
        </w:trPr>
        <w:tc>
          <w:tcPr>
            <w:tcW w:w="862" w:type="dxa"/>
            <w:tcBorders/>
            <w:vAlign w:val="center"/>
          </w:tcPr>
          <w:p>
            <w:pPr>
              <w:pStyle w:val="TableContents"/>
              <w:bidi w:val="0"/>
              <w:spacing w:before="0" w:after="283"/>
              <w:jc w:val="left"/>
              <w:rPr>
                <w:sz w:val="4"/>
                <w:szCs w:val="4"/>
              </w:rPr>
            </w:pPr>
            <w:r>
              <w:rPr>
                <w:sz w:val="4"/>
                <w:szCs w:val="4"/>
              </w:rPr>
            </w:r>
          </w:p>
        </w:tc>
        <w:tc>
          <w:tcPr>
            <w:tcW w:w="3220" w:type="dxa"/>
            <w:gridSpan w:val="2"/>
            <w:tcBorders/>
            <w:vAlign w:val="center"/>
          </w:tcPr>
          <w:p>
            <w:pPr>
              <w:pStyle w:val="TableContents"/>
              <w:bidi w:val="0"/>
              <w:spacing w:before="0" w:after="283"/>
              <w:jc w:val="left"/>
              <w:rPr>
                <w:sz w:val="4"/>
                <w:szCs w:val="4"/>
              </w:rPr>
            </w:pPr>
            <w:r>
              <w:rPr>
                <w:sz w:val="4"/>
                <w:szCs w:val="4"/>
              </w:rPr>
            </w:r>
          </w:p>
        </w:tc>
      </w:tr>
      <w:tr>
        <w:trPr/>
        <w:tc>
          <w:tcPr>
            <w:tcW w:w="862" w:type="dxa"/>
            <w:tcBorders/>
          </w:tcPr>
          <w:p>
            <w:pPr>
              <w:pStyle w:val="TableContents"/>
              <w:bidi w:val="0"/>
              <w:spacing w:before="0" w:after="283"/>
              <w:jc w:val="left"/>
              <w:rPr/>
            </w:pPr>
            <w:r>
              <w:rPr/>
              <w:t>By:</w:t>
            </w:r>
          </w:p>
        </w:tc>
        <w:tc>
          <w:tcPr>
            <w:tcW w:w="157" w:type="dxa"/>
            <w:tcBorders/>
            <w:vAlign w:val="bottom"/>
          </w:tcPr>
          <w:p>
            <w:pPr>
              <w:pStyle w:val="TableContents"/>
              <w:bidi w:val="0"/>
              <w:spacing w:before="0" w:after="283"/>
              <w:jc w:val="left"/>
              <w:rPr/>
            </w:pPr>
            <w:r>
              <w:rPr/>
              <w:t> </w:t>
            </w:r>
          </w:p>
        </w:tc>
        <w:tc>
          <w:tcPr>
            <w:tcW w:w="3063"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TRUSTEE’S CERTIFICATE OF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This is one of the Notes referred to in the within-mentioned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Dated: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BANK OF NEW YORK MELLON TRUST COMPANY, N.A. as Trustee</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pBdr>
                <w:bottom w:val="single" w:sz="2" w:space="1" w:color="000000"/>
              </w:pBdr>
              <w:bidi w:val="0"/>
              <w:spacing w:before="0" w:after="20"/>
              <w:jc w:val="left"/>
              <w:rPr/>
            </w:pPr>
            <w:r>
              <w:rPr/>
              <w:t> </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(Back of Global 2031 Note) </w:t>
      </w:r>
    </w:p>
    <w:p>
      <w:pPr>
        <w:pStyle w:val="TextBody"/>
        <w:bidi w:val="0"/>
        <w:spacing w:before="240" w:after="0"/>
        <w:jc w:val="center"/>
        <w:rPr>
          <w:rFonts w:ascii="Times New Roman" w:hAnsi="Times New Roman"/>
          <w:sz w:val="20"/>
        </w:rPr>
      </w:pPr>
      <w:r>
        <w:rPr>
          <w:rFonts w:ascii="Times New Roman" w:hAnsi="Times New Roman"/>
          <w:sz w:val="20"/>
        </w:rPr>
        <w:t xml:space="preserve">ANALOG DEVICES, INC. </w:t>
      </w:r>
    </w:p>
    <w:p>
      <w:pPr>
        <w:pStyle w:val="TextBody"/>
        <w:bidi w:val="0"/>
        <w:spacing w:before="0" w:after="0"/>
        <w:jc w:val="center"/>
        <w:rPr>
          <w:rFonts w:ascii="Times New Roman" w:hAnsi="Times New Roman"/>
          <w:sz w:val="20"/>
        </w:rPr>
      </w:pPr>
      <w:r>
        <w:rPr>
          <w:rFonts w:ascii="Times New Roman" w:hAnsi="Times New Roman"/>
          <w:sz w:val="20"/>
        </w:rPr>
        <w:t xml:space="preserve">5.350% Senior Note due October 1, 2031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herein have the meanings assigned to them in the Indenture referred to below unless otherwise indicated. </w:t>
      </w:r>
    </w:p>
    <w:p>
      <w:pPr>
        <w:pStyle w:val="TextBody"/>
        <w:bidi w:val="0"/>
        <w:spacing w:before="240" w:after="0"/>
        <w:jc w:val="left"/>
        <w:rPr>
          <w:rFonts w:ascii="Times New Roman" w:hAnsi="Times New Roman"/>
          <w:sz w:val="20"/>
        </w:rPr>
      </w:pPr>
      <w:r>
        <w:rPr>
          <w:rFonts w:ascii="Times New Roman" w:hAnsi="Times New Roman"/>
          <w:sz w:val="20"/>
        </w:rPr>
        <w:t>1. </w:t>
      </w:r>
      <w:r>
        <w:rPr>
          <w:rFonts w:ascii="Times New Roman" w:hAnsi="Times New Roman"/>
          <w:i/>
          <w:sz w:val="20"/>
        </w:rPr>
        <w:t>INTEREST</w:t>
      </w:r>
      <w:r>
        <w:rPr>
          <w:rFonts w:ascii="Times New Roman" w:hAnsi="Times New Roman"/>
          <w:sz w:val="20"/>
        </w:rPr>
        <w:t>. Analog Devices, Inc., a Massachusetts corporation (the “</w:t>
      </w:r>
      <w:r>
        <w:rPr>
          <w:rFonts w:ascii="Times New Roman" w:hAnsi="Times New Roman"/>
          <w:b/>
          <w:i/>
          <w:sz w:val="20"/>
        </w:rPr>
        <w:t>Company</w:t>
      </w:r>
      <w:r>
        <w:rPr>
          <w:rFonts w:ascii="Times New Roman" w:hAnsi="Times New Roman"/>
          <w:sz w:val="20"/>
        </w:rPr>
        <w:t>”), promises to pay interest on the principal amount of this 2031 Note at 5.350% per annum from the date hereof until maturity. The Company will pay interest on the 2031 Notes semi-annually in arrears on April 1 and October 1 of each year, commencing April 1, 2027, or if any such day is not a Business Day, on the next succeeding Business Day, and no additional interest will accrue on the amount so payable in respect of such 2031 Notes for that period (each an “</w:t>
      </w:r>
      <w:r>
        <w:rPr>
          <w:rFonts w:ascii="Times New Roman" w:hAnsi="Times New Roman"/>
          <w:b/>
          <w:i/>
          <w:sz w:val="20"/>
        </w:rPr>
        <w:t>Interest Payment Date</w:t>
      </w:r>
      <w:r>
        <w:rPr>
          <w:rFonts w:ascii="Times New Roman" w:hAnsi="Times New Roman"/>
          <w:sz w:val="20"/>
        </w:rPr>
        <w:t>”). Interest on the 2031 Notes will accrue from the most recent date to which interest has been paid or provided for or, if no interest has been paid or provided for, from September 17, 2026; </w:t>
      </w:r>
      <w:r>
        <w:rPr>
          <w:rFonts w:ascii="Times New Roman" w:hAnsi="Times New Roman"/>
          <w:i/>
          <w:sz w:val="20"/>
        </w:rPr>
        <w:t>provided</w:t>
      </w:r>
      <w:r>
        <w:rPr>
          <w:rFonts w:ascii="Times New Roman" w:hAnsi="Times New Roman"/>
          <w:sz w:val="20"/>
        </w:rPr>
        <w:t xml:space="preserve"> that if there is no existing Default in the payment of interest, and if this 2031 Note is authenticated between a record date referred to on the face hereof and the next succeeding Interest Payment Date, interest will accrue from such next succeeding Interest Payment Date. The Company will pay interest (including post-petition interest in any proceeding under any Bankruptcy Law to the extent allowable) on overdue principal at the rate equal to the then applicable interest rate on the 2031 Notes to the extent lawful; it will pay interest (including post-petition interest in any proceeding under any Bankruptcy Law to the extent allowable) on overdue installments of interest at the same rate to the extent lawful. Interest on the 2031 Notes will be computed on the basis of a 360-day year of twelve 30-day months. </w:t>
      </w:r>
    </w:p>
    <w:p>
      <w:pPr>
        <w:pStyle w:val="TextBody"/>
        <w:bidi w:val="0"/>
        <w:spacing w:before="240" w:after="0"/>
        <w:jc w:val="left"/>
        <w:rPr>
          <w:rFonts w:ascii="Times New Roman" w:hAnsi="Times New Roman"/>
          <w:sz w:val="20"/>
        </w:rPr>
      </w:pPr>
      <w:r>
        <w:rPr>
          <w:rFonts w:ascii="Times New Roman" w:hAnsi="Times New Roman"/>
          <w:sz w:val="20"/>
        </w:rPr>
        <w:t>2. </w:t>
      </w:r>
      <w:r>
        <w:rPr>
          <w:rFonts w:ascii="Times New Roman" w:hAnsi="Times New Roman"/>
          <w:i/>
          <w:sz w:val="20"/>
        </w:rPr>
        <w:t>METHOD OF PAYMENT</w:t>
      </w:r>
      <w:r>
        <w:rPr>
          <w:rFonts w:ascii="Times New Roman" w:hAnsi="Times New Roman"/>
          <w:sz w:val="20"/>
        </w:rPr>
        <w:t>. The Company will pay interest on the 2031 Notes (except defaulted interest) to the persons who are registered Holders of 2031 Notes at the close of business on the March 15 or September 15 (whether or not a Business Day) next preceding the applicable Interest Payment Date, even if such 2031 Notes are canceled after such record date and on or before such Interest Payment Date, except as provided in Section 2.13 of the Base Indenture with respect to defaulted interest. Principal and interest on the 2031 Notes will be payable at the office or agency of the Paying Agent and Registrar within the City and State of New York or, at the option of the Company, payment of interest may be made by check mailed to the Holders of the 2031 Notes at their respective addresses set forth in the register of Holders of 2031 Notes; </w:t>
      </w:r>
      <w:r>
        <w:rPr>
          <w:rFonts w:ascii="Times New Roman" w:hAnsi="Times New Roman"/>
          <w:i/>
          <w:sz w:val="20"/>
        </w:rPr>
        <w:t>provided</w:t>
      </w:r>
      <w:r>
        <w:rPr>
          <w:rFonts w:ascii="Times New Roman" w:hAnsi="Times New Roman"/>
          <w:sz w:val="20"/>
        </w:rPr>
        <w:t xml:space="preserve"> that payment by wire transfer of immediately available funds will be required with respect to principal of and interest on all Global Notes and all other 2031 Notes the Holders of which will have provided wire transfer instructions to the Company or the Paying Agent at least 15 calendar days prior to the applicable payment date. Such payment will be in such coin or currency of the United States of America as at the time of payment is legal tender for payment of public and private debts. </w:t>
      </w:r>
    </w:p>
    <w:p>
      <w:pPr>
        <w:pStyle w:val="TextBody"/>
        <w:bidi w:val="0"/>
        <w:spacing w:before="240" w:after="0"/>
        <w:jc w:val="left"/>
        <w:rPr>
          <w:rFonts w:ascii="Times New Roman" w:hAnsi="Times New Roman"/>
          <w:sz w:val="20"/>
        </w:rPr>
      </w:pPr>
      <w:r>
        <w:rPr>
          <w:rFonts w:ascii="Times New Roman" w:hAnsi="Times New Roman"/>
          <w:sz w:val="20"/>
        </w:rPr>
        <w:t>3. </w:t>
      </w:r>
      <w:r>
        <w:rPr>
          <w:rFonts w:ascii="Times New Roman" w:hAnsi="Times New Roman"/>
          <w:i/>
          <w:sz w:val="20"/>
        </w:rPr>
        <w:t>PAYING AGENT AND REGISTRAR</w:t>
      </w:r>
      <w:r>
        <w:rPr>
          <w:rFonts w:ascii="Times New Roman" w:hAnsi="Times New Roman"/>
          <w:sz w:val="20"/>
        </w:rPr>
        <w:t xml:space="preserve">. Initially, The Bank of New York Mellon Trust Company, N.A., the Trustee under the Indenture, will act as Paying Agent and Registrar. The Company may change any Paying Agent or Registrar without notice to any Holder. The Company or any of its Subsidiaries may act in any such capacity.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4. </w:t>
      </w:r>
      <w:r>
        <w:rPr>
          <w:rFonts w:ascii="Times New Roman" w:hAnsi="Times New Roman"/>
          <w:i/>
          <w:sz w:val="20"/>
        </w:rPr>
        <w:t>INDENTURE</w:t>
      </w:r>
      <w:r>
        <w:rPr>
          <w:rFonts w:ascii="Times New Roman" w:hAnsi="Times New Roman"/>
          <w:sz w:val="20"/>
        </w:rPr>
        <w:t>. This 2031 Note is one of a duly authenticated Series of securities of the Company issued and to be issued in one or more Series under an indenture (the “</w:t>
      </w:r>
      <w:r>
        <w:rPr>
          <w:rFonts w:ascii="Times New Roman" w:hAnsi="Times New Roman"/>
          <w:b/>
          <w:i/>
          <w:sz w:val="20"/>
        </w:rPr>
        <w:t>Base Indenture</w:t>
      </w:r>
      <w:r>
        <w:rPr>
          <w:rFonts w:ascii="Times New Roman" w:hAnsi="Times New Roman"/>
          <w:sz w:val="20"/>
        </w:rPr>
        <w:t>”), dated as of June 3, 2013, between the Company and the Trustee, as amended by the Supplemental Indenture, dated as of September 17, 2026, between the Company and the Trustee (the “</w:t>
      </w:r>
      <w:r>
        <w:rPr>
          <w:rFonts w:ascii="Times New Roman" w:hAnsi="Times New Roman"/>
          <w:b/>
          <w:i/>
          <w:sz w:val="20"/>
        </w:rPr>
        <w:t>Supplemental Indenture</w:t>
      </w:r>
      <w:r>
        <w:rPr>
          <w:rFonts w:ascii="Times New Roman" w:hAnsi="Times New Roman"/>
          <w:sz w:val="20"/>
        </w:rPr>
        <w:t>” and, together with the Base Indenture, the “</w:t>
      </w:r>
      <w:r>
        <w:rPr>
          <w:rFonts w:ascii="Times New Roman" w:hAnsi="Times New Roman"/>
          <w:b/>
          <w:i/>
          <w:sz w:val="20"/>
        </w:rPr>
        <w:t>Indenture</w:t>
      </w:r>
      <w:r>
        <w:rPr>
          <w:rFonts w:ascii="Times New Roman" w:hAnsi="Times New Roman"/>
          <w:sz w:val="20"/>
        </w:rPr>
        <w:t xml:space="preserve">”). The terms of the 2031 Notes include those stated in the Indenture and those made part of the Indenture by reference to the TIA. The 2031 Notes are subject to all such terms, and Holders are referred to the Indenture and the TIA for a statement of such terms. To the extent any provision of this 2031 Note conflicts with the express provisions of the Indenture, the provisions of the Indenture will govern and be controlling, and to the extent any provision of the Base Indenture conflicts with the express provisions of the Supplemental Indenture, the provisions of the Supplemental Indenture will govern and be controlling. The Company will be entitled to issue Additional 2031 Notes pursuant to Section 2.3 of the Supplemental Indenture. </w:t>
      </w:r>
    </w:p>
    <w:p>
      <w:pPr>
        <w:pStyle w:val="TextBody"/>
        <w:bidi w:val="0"/>
        <w:spacing w:before="240" w:after="0"/>
        <w:jc w:val="left"/>
        <w:rPr>
          <w:rFonts w:ascii="Times New Roman" w:hAnsi="Times New Roman"/>
          <w:sz w:val="20"/>
        </w:rPr>
      </w:pPr>
      <w:r>
        <w:rPr>
          <w:rFonts w:ascii="Times New Roman" w:hAnsi="Times New Roman"/>
          <w:sz w:val="20"/>
        </w:rPr>
        <w:t>5. </w:t>
      </w:r>
      <w:r>
        <w:rPr>
          <w:rFonts w:ascii="Times New Roman" w:hAnsi="Times New Roman"/>
          <w:i/>
          <w:sz w:val="20"/>
        </w:rPr>
        <w:t>OPTIONAL REDEMPTION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At any time prior to September 1, 2031 (the “</w:t>
      </w:r>
      <w:r>
        <w:rPr>
          <w:rFonts w:ascii="Times New Roman" w:hAnsi="Times New Roman"/>
          <w:i/>
          <w:sz w:val="20"/>
        </w:rPr>
        <w:t>Par Call Date</w:t>
      </w:r>
      <w:r>
        <w:rPr>
          <w:rFonts w:ascii="Times New Roman" w:hAnsi="Times New Roman"/>
          <w:sz w:val="20"/>
        </w:rPr>
        <w:t xml:space="preserve">”), the Company will have the right, at its option, to redeem the 2031 Notes, in whole or in part, at any time and from time to time, at a redemption price (expressed as a percentage of principal amount and rounded to three decimal places) equal to the greater of: </w:t>
      </w:r>
    </w:p>
    <w:p>
      <w:pPr>
        <w:pStyle w:val="TextBody"/>
        <w:bidi w:val="0"/>
        <w:spacing w:before="240" w:after="0"/>
        <w:jc w:val="left"/>
        <w:rPr>
          <w:rFonts w:ascii="Times New Roman" w:hAnsi="Times New Roman"/>
          <w:sz w:val="20"/>
        </w:rPr>
      </w:pPr>
      <w:r>
        <w:rPr>
          <w:rFonts w:ascii="Times New Roman" w:hAnsi="Times New Roman"/>
          <w:sz w:val="20"/>
        </w:rPr>
        <w:t xml:space="preserve">(I) (i) the sum of the present values of the remaining scheduled payments of principal and interest thereon discounted to the redemption date (assuming the 2031 Notes matured on the Par Call Date) on a semi-annual basis (assuming a 360-day year consisting of twelve 30-day months) at the Treasury Rate plus 10 basis points less (ii) interest accrued to the date of redemption, and </w:t>
      </w:r>
    </w:p>
    <w:p>
      <w:pPr>
        <w:pStyle w:val="TextBody"/>
        <w:bidi w:val="0"/>
        <w:spacing w:before="240" w:after="0"/>
        <w:jc w:val="left"/>
        <w:rPr>
          <w:rFonts w:ascii="Times New Roman" w:hAnsi="Times New Roman"/>
          <w:sz w:val="20"/>
        </w:rPr>
      </w:pPr>
      <w:r>
        <w:rPr>
          <w:rFonts w:ascii="Times New Roman" w:hAnsi="Times New Roman"/>
          <w:sz w:val="20"/>
        </w:rPr>
        <w:t xml:space="preserve">(II) 100% of the principal amount of the 2031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Par Call Date, the Company will have the right, at its option, to redeem the 2031 Notes, in whole or in part, at any time and from time to time, at a redemption price equal to 100% of the principal amount of the 2031 Notes being redeemed plus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The Company’s actions and determinations in determining the redemption price shall be conclusive and binding for all purposes, absent manifest error. The Trustee shall not be obligated to calculate or verify any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will be mailed or electronically delivered (or otherwise transmitted in accordance with the depositary’s procedures) at least 10 days but not more than 60 days before the redemption date to each holder of 2031 Notes to be redeemed.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case of a partial redemption, selection of the 2031 Notes for redemption will be made pro rata, by lot or by such other method as the Trustee in its sole discretion deems appropriate and fair. No 2031 Notes of a principal amount of $2,000 or less will be redeemed in part. If any note is to be redeemed in part only, the notice of redemption that relates to such 2031 Note will state the portion of the principal amount of the 2031 Note to be redeemed. A new 2031 Note in a principal amount equal to the unredeemed portion of the 2031 Note will be issued in the name of the holder of the 2031 Note upon surrender for cancellation of the original 2031 Note. For so long as the 2031 Notes are held by DTC (or another Depositary), the redemption of the 2031 Notes shall be done in accordance with the policies and procedures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Unless the Company defaults in payment of the redemption price, on and after the redemption date, interest will cease to accrue on the 2031 Notes or portions thereof called for redemption. </w:t>
      </w:r>
    </w:p>
    <w:p>
      <w:pPr>
        <w:pStyle w:val="TextBody"/>
        <w:bidi w:val="0"/>
        <w:spacing w:before="240" w:after="0"/>
        <w:jc w:val="left"/>
        <w:rPr>
          <w:rFonts w:ascii="Times New Roman" w:hAnsi="Times New Roman"/>
          <w:sz w:val="20"/>
        </w:rPr>
      </w:pPr>
      <w:r>
        <w:rPr>
          <w:rFonts w:ascii="Times New Roman" w:hAnsi="Times New Roman"/>
          <w:sz w:val="20"/>
        </w:rPr>
        <w:t>6. </w:t>
      </w:r>
      <w:r>
        <w:rPr>
          <w:rFonts w:ascii="Times New Roman" w:hAnsi="Times New Roman"/>
          <w:i/>
          <w:sz w:val="20"/>
        </w:rPr>
        <w:t>MANDATORY REDEMPTION.</w:t>
      </w:r>
      <w:r>
        <w:rPr>
          <w:rFonts w:ascii="Times New Roman" w:hAnsi="Times New Roman"/>
          <w:sz w:val="20"/>
        </w:rPr>
        <w:t xml:space="preserve"> The Company is not required to make any mandatory redemption or sinking fund payments with respect to the 2031 Notes. </w:t>
      </w:r>
    </w:p>
    <w:p>
      <w:pPr>
        <w:pStyle w:val="TextBody"/>
        <w:bidi w:val="0"/>
        <w:spacing w:before="240" w:after="0"/>
        <w:jc w:val="left"/>
        <w:rPr>
          <w:rFonts w:ascii="Times New Roman" w:hAnsi="Times New Roman"/>
          <w:sz w:val="20"/>
        </w:rPr>
      </w:pPr>
      <w:r>
        <w:rPr>
          <w:rFonts w:ascii="Times New Roman" w:hAnsi="Times New Roman"/>
          <w:sz w:val="20"/>
        </w:rPr>
        <w:t>7. </w:t>
      </w:r>
      <w:r>
        <w:rPr>
          <w:rFonts w:ascii="Times New Roman" w:hAnsi="Times New Roman"/>
          <w:i/>
          <w:sz w:val="20"/>
        </w:rPr>
        <w:t>OFFER TO PURCHASE UPON CHANGE OF CONTROL</w:t>
      </w:r>
      <w:r>
        <w:rPr>
          <w:rFonts w:ascii="Times New Roman" w:hAnsi="Times New Roman"/>
          <w:sz w:val="20"/>
        </w:rPr>
        <w:t>. If a Change of Control Triggering Event occurs with respect to the 2031 Notes, unless the Company has exercised its option to redeem the 2031 Notes in full pursuant to Section 3.1 of the Supplemental Indenture or has defeased the 2031 Notes or satisfied and discharged the 2031 Notes, the Company shall be required to make an offer (a “</w:t>
      </w:r>
      <w:r>
        <w:rPr>
          <w:rFonts w:ascii="Times New Roman" w:hAnsi="Times New Roman"/>
          <w:b/>
          <w:i/>
          <w:sz w:val="20"/>
        </w:rPr>
        <w:t>Change of Control Offer</w:t>
      </w:r>
      <w:r>
        <w:rPr>
          <w:rFonts w:ascii="Times New Roman" w:hAnsi="Times New Roman"/>
          <w:sz w:val="20"/>
        </w:rPr>
        <w:t xml:space="preserve">”) to each Holder of the 2031 Notes to repurchase all or any part (equal to $2,000 and in integral multiples of $1,000 in excess thereof; provided that the unrepurchased portion of a 2031 Note must be in a minimum principal amount of $2,000) of that Holder’s 2031 Notes pursuant to the terms set forth in the Indenture. In a Change of Control Offer, the Company shall be required to offer payment in cash equal to 101% of the aggregate principal amount of the 2031 Notes repurchased, plus accrued and unpaid interest, if any, on the 2031 Notes repurchased to the date of repurchase. </w:t>
      </w:r>
    </w:p>
    <w:p>
      <w:pPr>
        <w:pStyle w:val="TextBody"/>
        <w:bidi w:val="0"/>
        <w:spacing w:before="240" w:after="0"/>
        <w:jc w:val="left"/>
        <w:rPr>
          <w:rFonts w:ascii="Times New Roman" w:hAnsi="Times New Roman"/>
          <w:sz w:val="20"/>
        </w:rPr>
      </w:pPr>
      <w:r>
        <w:rPr>
          <w:rFonts w:ascii="Times New Roman" w:hAnsi="Times New Roman"/>
          <w:sz w:val="20"/>
        </w:rPr>
        <w:t>8. </w:t>
      </w:r>
      <w:r>
        <w:rPr>
          <w:rFonts w:ascii="Times New Roman" w:hAnsi="Times New Roman"/>
          <w:i/>
          <w:sz w:val="20"/>
        </w:rPr>
        <w:t>DENOMINATIONS, TRANSFER, EXCHANGE</w:t>
      </w:r>
      <w:r>
        <w:rPr>
          <w:rFonts w:ascii="Times New Roman" w:hAnsi="Times New Roman"/>
          <w:sz w:val="20"/>
        </w:rPr>
        <w:t xml:space="preserve">. The 2031 Notes are in registered form without coupons in denominations of $2,000 and integral multiples of $1,000 in excess thereof. 2031 Notes may be transferred or exchanged as provided in the Indenture. The Registrar and the Trustee may require a Holder, among other things, to furnish appropriate endorsements and transfer documents and the Company or the Trustee may require a Holder to pay any taxes and fees required by law or permitted by the Indenture. The Company need not exchange or transfer any 2031 Note or portion of a 2031 Note selected for redemption, except for the unredeemed portion of any 2031 Note being redeemed in part. Also, the Company need not exchange or register the transfer of any 2031 Notes for a period of 15 days before the day of any selection of 2031 Notes being redeemed or during the period between a record date and the corresponding Interest Payment Date. </w:t>
      </w:r>
    </w:p>
    <w:p>
      <w:pPr>
        <w:pStyle w:val="TextBody"/>
        <w:bidi w:val="0"/>
        <w:spacing w:before="240" w:after="0"/>
        <w:jc w:val="left"/>
        <w:rPr>
          <w:rFonts w:ascii="Times New Roman" w:hAnsi="Times New Roman"/>
          <w:sz w:val="20"/>
        </w:rPr>
      </w:pPr>
      <w:r>
        <w:rPr>
          <w:rFonts w:ascii="Times New Roman" w:hAnsi="Times New Roman"/>
          <w:sz w:val="20"/>
        </w:rPr>
        <w:t>9. </w:t>
      </w:r>
      <w:r>
        <w:rPr>
          <w:rFonts w:ascii="Times New Roman" w:hAnsi="Times New Roman"/>
          <w:i/>
          <w:sz w:val="20"/>
        </w:rPr>
        <w:t>PERSONS DEEMED OWNERS</w:t>
      </w:r>
      <w:r>
        <w:rPr>
          <w:rFonts w:ascii="Times New Roman" w:hAnsi="Times New Roman"/>
          <w:sz w:val="20"/>
        </w:rPr>
        <w:t xml:space="preserve">. Subject to the record date provisions hereof, the registered Holder of a 2031 Note may be treated as its owner for all purposes. </w:t>
      </w:r>
    </w:p>
    <w:p>
      <w:pPr>
        <w:pStyle w:val="TextBody"/>
        <w:bidi w:val="0"/>
        <w:spacing w:before="240" w:after="0"/>
        <w:jc w:val="left"/>
        <w:rPr>
          <w:rFonts w:ascii="Times New Roman" w:hAnsi="Times New Roman"/>
          <w:sz w:val="20"/>
        </w:rPr>
      </w:pPr>
      <w:r>
        <w:rPr>
          <w:rFonts w:ascii="Times New Roman" w:hAnsi="Times New Roman"/>
          <w:sz w:val="20"/>
        </w:rPr>
        <w:t>10. </w:t>
      </w:r>
      <w:r>
        <w:rPr>
          <w:rFonts w:ascii="Times New Roman" w:hAnsi="Times New Roman"/>
          <w:i/>
          <w:sz w:val="20"/>
        </w:rPr>
        <w:t>AMENDMENT, SUPPLEMENT AND WAIVER</w:t>
      </w:r>
      <w:r>
        <w:rPr>
          <w:rFonts w:ascii="Times New Roman" w:hAnsi="Times New Roman"/>
          <w:sz w:val="20"/>
        </w:rPr>
        <w:t xml:space="preserve">. Subject to certain exceptions, the Indenture or the 2031 Notes may be amended or supplemented with the consent of the Holders of at least a majority in principal amount of the 2031 Notes then outstanding, including, without limitation, consents obtained in connection with a tender offer or exchange offer for the 2031 Notes, and any existing default or compliance with any provision of the Indenture or the 2031 Notes, may be waived with the consent of the Holders of a majority in principal amount of the then outstanding 2031 Notes, including, without limitation, consents obtained in connection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tender offer or exchange offer for the 2031 Notes. Without the consent of any Holder of a 2031 Note, the Indenture or the 2031 Notes may be amended or supplemented (i) to cure any ambiguity, defect or inconsistency; (ii) to provide for a supplemental indenture as set forth in Article V of the Base Indenture; (iii) to provide for uncertificated Securities in addition to or in place of certificated Securities; (iv) to make any change that does not adversely affect the rights of any Holder; (v) to provide for the issuance of and establish the form and terms and conditions of the Securities of any Series as permitted by the Indenture; (vi) to evidence and provide for the acceptance of appointment under the Indenture by a successor Trustee and to add to or change any of the provisions of the Indenture as shall be necessary to provide for or facilitate the administration of the trusts under the Indenture by more than one Trustee; or (vii) to comply with the requirements of the SEC in order to effect or maintain the qualification of the Indenture under the TIA. </w:t>
      </w:r>
    </w:p>
    <w:p>
      <w:pPr>
        <w:pStyle w:val="TextBody"/>
        <w:bidi w:val="0"/>
        <w:spacing w:before="240" w:after="0"/>
        <w:jc w:val="left"/>
        <w:rPr>
          <w:rFonts w:ascii="Times New Roman" w:hAnsi="Times New Roman"/>
          <w:sz w:val="20"/>
        </w:rPr>
      </w:pPr>
      <w:r>
        <w:rPr>
          <w:rFonts w:ascii="Times New Roman" w:hAnsi="Times New Roman"/>
          <w:sz w:val="20"/>
        </w:rPr>
        <w:t>11. </w:t>
      </w:r>
      <w:r>
        <w:rPr>
          <w:rFonts w:ascii="Times New Roman" w:hAnsi="Times New Roman"/>
          <w:i/>
          <w:sz w:val="20"/>
        </w:rPr>
        <w:t>DEFAULTS AND REMEDIES</w:t>
      </w:r>
      <w:r>
        <w:rPr>
          <w:rFonts w:ascii="Times New Roman" w:hAnsi="Times New Roman"/>
          <w:sz w:val="20"/>
        </w:rPr>
        <w:t xml:space="preserve">. If an Event of Default with respect to the 2031 Notes shall occur and be continuing, the principal of, and any accrued and unpaid interest on, the outstanding 2031 Notes may be declared due and payable in the manner and with the effect provided in the Indenture. </w:t>
      </w:r>
    </w:p>
    <w:p>
      <w:pPr>
        <w:pStyle w:val="TextBody"/>
        <w:bidi w:val="0"/>
        <w:spacing w:before="240" w:after="0"/>
        <w:jc w:val="left"/>
        <w:rPr>
          <w:rFonts w:ascii="Times New Roman" w:hAnsi="Times New Roman"/>
          <w:sz w:val="20"/>
        </w:rPr>
      </w:pPr>
      <w:r>
        <w:rPr>
          <w:rFonts w:ascii="Times New Roman" w:hAnsi="Times New Roman"/>
          <w:sz w:val="20"/>
        </w:rPr>
        <w:t>12. </w:t>
      </w:r>
      <w:r>
        <w:rPr>
          <w:rFonts w:ascii="Times New Roman" w:hAnsi="Times New Roman"/>
          <w:i/>
          <w:sz w:val="20"/>
        </w:rPr>
        <w:t>TRUSTEE DEALINGS WITH COMPANY</w:t>
      </w:r>
      <w:r>
        <w:rPr>
          <w:rFonts w:ascii="Times New Roman" w:hAnsi="Times New Roman"/>
          <w:sz w:val="20"/>
        </w:rPr>
        <w:t xml:space="preserve">. The Trustee, in its individual or any other capacity, may become the owner or pledgee of the 2031 Notes and may otherwise deal with the Company or an Affiliate of the Company with the same rights it would have if it were not Trustee. </w:t>
      </w:r>
    </w:p>
    <w:p>
      <w:pPr>
        <w:pStyle w:val="TextBody"/>
        <w:bidi w:val="0"/>
        <w:spacing w:before="240" w:after="0"/>
        <w:jc w:val="left"/>
        <w:rPr>
          <w:rFonts w:ascii="Times New Roman" w:hAnsi="Times New Roman"/>
          <w:sz w:val="20"/>
        </w:rPr>
      </w:pPr>
      <w:r>
        <w:rPr>
          <w:rFonts w:ascii="Times New Roman" w:hAnsi="Times New Roman"/>
          <w:sz w:val="20"/>
        </w:rPr>
        <w:t>13. </w:t>
      </w:r>
      <w:r>
        <w:rPr>
          <w:rFonts w:ascii="Times New Roman" w:hAnsi="Times New Roman"/>
          <w:i/>
          <w:sz w:val="20"/>
        </w:rPr>
        <w:t>NO RECOURSE AGAINST OTHERS</w:t>
      </w:r>
      <w:r>
        <w:rPr>
          <w:rFonts w:ascii="Times New Roman" w:hAnsi="Times New Roman"/>
          <w:sz w:val="20"/>
        </w:rPr>
        <w:t xml:space="preserve">. A director, officer, employee or stockholder, as such, of the Company will not have any liability for any obligations of the Company under the 2031 Notes or the Indenture or for any claim based on, in respect of, or by reason of, such obligations or their creation. Each Holder by accepting a 2031 Note waives and releases all such liability. The waiver and release are part of the consideration for the issue of the 2031 Notes. </w:t>
      </w:r>
    </w:p>
    <w:p>
      <w:pPr>
        <w:pStyle w:val="TextBody"/>
        <w:bidi w:val="0"/>
        <w:spacing w:before="240" w:after="0"/>
        <w:jc w:val="left"/>
        <w:rPr>
          <w:rFonts w:ascii="Times New Roman" w:hAnsi="Times New Roman"/>
          <w:sz w:val="20"/>
        </w:rPr>
      </w:pPr>
      <w:r>
        <w:rPr>
          <w:rFonts w:ascii="Times New Roman" w:hAnsi="Times New Roman"/>
          <w:sz w:val="20"/>
        </w:rPr>
        <w:t>14. </w:t>
      </w:r>
      <w:r>
        <w:rPr>
          <w:rFonts w:ascii="Times New Roman" w:hAnsi="Times New Roman"/>
          <w:i/>
          <w:sz w:val="20"/>
        </w:rPr>
        <w:t>AUTHENTICATION</w:t>
      </w:r>
      <w:r>
        <w:rPr>
          <w:rFonts w:ascii="Times New Roman" w:hAnsi="Times New Roman"/>
          <w:sz w:val="20"/>
        </w:rPr>
        <w:t xml:space="preserve">. This 2031 Note will not be valid until authenticated by the manual or electronic signature of the Trustee or an authenticating agent. </w:t>
      </w:r>
    </w:p>
    <w:p>
      <w:pPr>
        <w:pStyle w:val="TextBody"/>
        <w:bidi w:val="0"/>
        <w:spacing w:before="240" w:after="0"/>
        <w:jc w:val="left"/>
        <w:rPr>
          <w:rFonts w:ascii="Times New Roman" w:hAnsi="Times New Roman"/>
          <w:sz w:val="20"/>
        </w:rPr>
      </w:pPr>
      <w:r>
        <w:rPr>
          <w:rFonts w:ascii="Times New Roman" w:hAnsi="Times New Roman"/>
          <w:sz w:val="20"/>
        </w:rPr>
        <w:t>15. </w:t>
      </w:r>
      <w:r>
        <w:rPr>
          <w:rFonts w:ascii="Times New Roman" w:hAnsi="Times New Roman"/>
          <w:i/>
          <w:sz w:val="20"/>
        </w:rPr>
        <w:t>ABBREVIATIONS</w:t>
      </w:r>
      <w:r>
        <w:rPr>
          <w:rFonts w:ascii="Times New Roman" w:hAnsi="Times New Roman"/>
          <w:sz w:val="20"/>
        </w:rPr>
        <w:t xml:space="preserve">. Customary abbreviations may be used in the name of a Holder or an assignee, such as: TEN COM (= tenants in common), TEN ENT (= tenants by the entireties), JT TEN (= joint tenants with right of survivorship and not as tenants in common), CUST (= Custodian), and U/G/M/A (= Uniform Gifts to Minors Act). </w:t>
      </w:r>
    </w:p>
    <w:p>
      <w:pPr>
        <w:pStyle w:val="TextBody"/>
        <w:bidi w:val="0"/>
        <w:spacing w:before="240" w:after="0"/>
        <w:jc w:val="left"/>
        <w:rPr>
          <w:rFonts w:ascii="Times New Roman" w:hAnsi="Times New Roman"/>
          <w:sz w:val="20"/>
        </w:rPr>
      </w:pPr>
      <w:r>
        <w:rPr>
          <w:rFonts w:ascii="Times New Roman" w:hAnsi="Times New Roman"/>
          <w:sz w:val="20"/>
        </w:rPr>
        <w:t>16. </w:t>
      </w:r>
      <w:r>
        <w:rPr>
          <w:rFonts w:ascii="Times New Roman" w:hAnsi="Times New Roman"/>
          <w:i/>
          <w:sz w:val="20"/>
        </w:rPr>
        <w:t>CUSIP NUMBERS</w:t>
      </w:r>
      <w:r>
        <w:rPr>
          <w:rFonts w:ascii="Times New Roman" w:hAnsi="Times New Roman"/>
          <w:sz w:val="20"/>
        </w:rPr>
        <w:t xml:space="preserve">. The Company has caused CUSIP numbers to be printed on the 2031 Notes and the Trustee shall use CUSIP numbers in notices of redemption as a convenience to Holders. No representation is made as to the correctness of such numbers either as printed on the 2031 Notes or as contained in any notice of redemption and reliance may be placed only on the other elements of identification printed on the 2031 Notes, and any such redemption shall not be affected by any defect in or omission of such numbers. The Company will furnish to any Holder upon written request and without charge a copy of the Base Indenture and the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Requests may be made to: Analog Devices, Inc., One Analog Way, Wilmington, Massachusetts 01887, Attention: Chief Legal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ASSIGNMENT FORM </w:t>
      </w:r>
    </w:p>
    <w:p>
      <w:pPr>
        <w:pStyle w:val="TextBody"/>
        <w:bidi w:val="0"/>
        <w:spacing w:before="240" w:after="0"/>
        <w:jc w:val="left"/>
        <w:rPr>
          <w:rFonts w:ascii="Times New Roman" w:hAnsi="Times New Roman"/>
          <w:sz w:val="20"/>
        </w:rPr>
      </w:pPr>
      <w:r>
        <w:rPr>
          <w:rFonts w:ascii="Times New Roman" w:hAnsi="Times New Roman"/>
          <w:sz w:val="20"/>
        </w:rPr>
        <w:t xml:space="preserve">To assign this Note, fill in the form below: </w:t>
      </w:r>
    </w:p>
    <w:p>
      <w:pPr>
        <w:pStyle w:val="TextBody"/>
        <w:bidi w:val="0"/>
        <w:spacing w:before="240" w:after="0"/>
        <w:jc w:val="left"/>
        <w:rPr>
          <w:rFonts w:ascii="Times New Roman" w:hAnsi="Times New Roman"/>
          <w:sz w:val="20"/>
        </w:rPr>
      </w:pPr>
      <w:r>
        <w:rPr>
          <w:rFonts w:ascii="Times New Roman" w:hAnsi="Times New Roman"/>
          <w:sz w:val="20"/>
        </w:rPr>
        <w:t xml:space="preserve">(I) or (we) assign and transfer this Note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2" w:space="0" w:color="000000"/>
            </w:tcBorders>
            <w:tcMar>
              <w:top w:w="28"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(Insert assignee’s legal name)</w:t>
            </w:r>
          </w:p>
          <w:p>
            <w:pPr>
              <w:pStyle w:val="TableContents"/>
              <w:bidi w:val="0"/>
              <w:spacing w:before="0" w:after="20"/>
              <w:jc w:val="left"/>
              <w:rPr/>
            </w:pPr>
            <w:r>
              <w:rPr/>
              <w:t> </w:t>
            </w:r>
          </w:p>
        </w:tc>
      </w:tr>
      <w:tr>
        <w:trPr/>
        <w:tc>
          <w:tcPr>
            <w:tcW w:w="10205" w:type="dxa"/>
            <w:tcBorders>
              <w:top w:val="single" w:sz="2" w:space="0" w:color="000000"/>
            </w:tcBorders>
            <w:tcMar>
              <w:top w:w="28"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(Insert assignee’s soc. sec. or tax I.D. no.)</w:t>
            </w:r>
          </w:p>
          <w:p>
            <w:pPr>
              <w:pStyle w:val="TableContents"/>
              <w:bidi w:val="0"/>
              <w:spacing w:before="0" w:after="20"/>
              <w:jc w:val="left"/>
              <w:rPr/>
            </w:pPr>
            <w:r>
              <w:rPr/>
              <w:t> </w:t>
            </w:r>
          </w:p>
        </w:tc>
      </w:tr>
      <w:tr>
        <w:trPr/>
        <w:tc>
          <w:tcPr>
            <w:tcW w:w="10205" w:type="dxa"/>
            <w:tcBorders>
              <w:top w:val="single" w:sz="2" w:space="0" w:color="000000"/>
            </w:tcBorders>
            <w:tcMar>
              <w:top w:w="28" w:type="dxa"/>
            </w:tcMar>
            <w:vAlign w:val="bottom"/>
          </w:tcPr>
          <w:p>
            <w:pPr>
              <w:pStyle w:val="TableContents"/>
              <w:bidi w:val="0"/>
              <w:spacing w:before="0" w:after="283"/>
              <w:jc w:val="center"/>
              <w:rPr/>
            </w:pPr>
            <w:r>
              <w:rPr/>
              <w:t>(Print or type assignee’s name, address and zip code)</w:t>
            </w:r>
          </w:p>
        </w:tc>
      </w:tr>
    </w:tbl>
    <w:p>
      <w:pPr>
        <w:pStyle w:val="TextBody"/>
        <w:bidi w:val="0"/>
        <w:spacing w:before="240" w:after="0"/>
        <w:jc w:val="left"/>
        <w:rPr>
          <w:rFonts w:ascii="Times New Roman" w:hAnsi="Times New Roman"/>
          <w:sz w:val="20"/>
        </w:rPr>
      </w:pPr>
      <w:r>
        <w:rPr>
          <w:rFonts w:ascii="Times New Roman" w:hAnsi="Times New Roman"/>
          <w:sz w:val="20"/>
        </w:rPr>
        <w:t xml:space="preserve">and irrevocably appoint _____________________________________________ to transfer this Note on the books of the Company. The agent may substitute another to act for him </w:t>
      </w:r>
    </w:p>
    <w:p>
      <w:pPr>
        <w:pStyle w:val="TextBody"/>
        <w:bidi w:val="0"/>
        <w:spacing w:before="240" w:after="0"/>
        <w:jc w:val="left"/>
        <w:rPr>
          <w:rFonts w:ascii="Times New Roman" w:hAnsi="Times New Roman"/>
          <w:sz w:val="20"/>
        </w:rPr>
      </w:pPr>
      <w:r>
        <w:rPr>
          <w:rFonts w:ascii="Times New Roman" w:hAnsi="Times New Roman"/>
          <w:sz w:val="20"/>
        </w:rPr>
        <w:t xml:space="preserve">Date: _______________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3"/>
        <w:gridCol w:w="101"/>
        <w:gridCol w:w="5001"/>
      </w:tblGrid>
      <w:tr>
        <w:trPr/>
        <w:tc>
          <w:tcPr>
            <w:tcW w:w="510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c>
          <w:tcPr>
            <w:tcW w:w="510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0"/>
              <w:jc w:val="left"/>
              <w:rPr>
                <w:rFonts w:ascii="Times New Roman" w:hAnsi="Times New Roman"/>
                <w:sz w:val="20"/>
              </w:rPr>
            </w:pPr>
            <w:r>
              <w:rPr>
                <w:rFonts w:ascii="Times New Roman" w:hAnsi="Times New Roman"/>
                <w:sz w:val="20"/>
              </w:rPr>
              <w:t>Your Signature:</w:t>
            </w:r>
          </w:p>
          <w:p>
            <w:pPr>
              <w:pStyle w:val="TableContents"/>
              <w:bidi w:val="0"/>
              <w:spacing w:before="0" w:after="20"/>
              <w:jc w:val="left"/>
              <w:rPr>
                <w:rFonts w:ascii="Times New Roman" w:hAnsi="Times New Roman"/>
                <w:sz w:val="20"/>
              </w:rPr>
            </w:pPr>
            <w:r>
              <w:rPr>
                <w:rFonts w:ascii="Times New Roman" w:hAnsi="Times New Roman"/>
                <w:sz w:val="20"/>
              </w:rPr>
              <w:t>______________________________</w:t>
            </w:r>
          </w:p>
        </w:tc>
      </w:tr>
      <w:tr>
        <w:trPr/>
        <w:tc>
          <w:tcPr>
            <w:tcW w:w="510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pPr>
            <w:r>
              <w:rPr/>
              <w:t>  </w:t>
            </w:r>
            <w:r>
              <w:rPr/>
              <w:t>(sign exactly as your name appears on the face of this Note)</w:t>
            </w:r>
          </w:p>
        </w:tc>
      </w:tr>
      <w:tr>
        <w:trPr>
          <w:trHeight w:val="240" w:hRule="atLeast"/>
        </w:trPr>
        <w:tc>
          <w:tcPr>
            <w:tcW w:w="5103" w:type="dxa"/>
            <w:tcBorders/>
            <w:vAlign w:val="center"/>
          </w:tcPr>
          <w:p>
            <w:pPr>
              <w:pStyle w:val="TableContents"/>
              <w:bidi w:val="0"/>
              <w:spacing w:before="0" w:after="283"/>
              <w:jc w:val="left"/>
              <w:rPr>
                <w:sz w:val="4"/>
                <w:szCs w:val="4"/>
              </w:rPr>
            </w:pPr>
            <w:r>
              <w:rPr>
                <w:sz w:val="4"/>
                <w:szCs w:val="4"/>
              </w:rPr>
            </w:r>
          </w:p>
        </w:tc>
        <w:tc>
          <w:tcPr>
            <w:tcW w:w="5102" w:type="dxa"/>
            <w:gridSpan w:val="2"/>
            <w:tcBorders/>
            <w:vAlign w:val="center"/>
          </w:tcPr>
          <w:p>
            <w:pPr>
              <w:pStyle w:val="TableContents"/>
              <w:bidi w:val="0"/>
              <w:spacing w:before="0" w:after="283"/>
              <w:jc w:val="left"/>
              <w:rPr>
                <w:sz w:val="4"/>
                <w:szCs w:val="4"/>
              </w:rPr>
            </w:pPr>
            <w:r>
              <w:rPr>
                <w:sz w:val="4"/>
                <w:szCs w:val="4"/>
              </w:rPr>
            </w:r>
          </w:p>
        </w:tc>
      </w:tr>
      <w:tr>
        <w:trPr/>
        <w:tc>
          <w:tcPr>
            <w:tcW w:w="510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0"/>
              <w:jc w:val="left"/>
              <w:rPr>
                <w:rFonts w:ascii="Times New Roman" w:hAnsi="Times New Roman"/>
                <w:sz w:val="20"/>
              </w:rPr>
            </w:pPr>
            <w:r>
              <w:rPr>
                <w:rFonts w:ascii="Times New Roman" w:hAnsi="Times New Roman"/>
                <w:sz w:val="20"/>
              </w:rPr>
              <w:t>Tax Identification No:</w:t>
            </w:r>
          </w:p>
          <w:p>
            <w:pPr>
              <w:pStyle w:val="TableContents"/>
              <w:bidi w:val="0"/>
              <w:spacing w:before="0" w:after="20"/>
              <w:jc w:val="left"/>
              <w:rPr>
                <w:rFonts w:ascii="Times New Roman" w:hAnsi="Times New Roman"/>
                <w:sz w:val="20"/>
              </w:rPr>
            </w:pPr>
            <w:r>
              <w:rPr>
                <w:rFonts w:ascii="Times New Roman" w:hAnsi="Times New Roman"/>
                <w:sz w:val="20"/>
              </w:rPr>
              <w:t>_________________________</w:t>
            </w:r>
          </w:p>
        </w:tc>
      </w:tr>
      <w:tr>
        <w:trPr>
          <w:trHeight w:val="240" w:hRule="atLeast"/>
        </w:trPr>
        <w:tc>
          <w:tcPr>
            <w:tcW w:w="5103" w:type="dxa"/>
            <w:tcBorders/>
            <w:vAlign w:val="center"/>
          </w:tcPr>
          <w:p>
            <w:pPr>
              <w:pStyle w:val="TableContents"/>
              <w:bidi w:val="0"/>
              <w:spacing w:before="0" w:after="283"/>
              <w:jc w:val="left"/>
              <w:rPr>
                <w:sz w:val="4"/>
                <w:szCs w:val="4"/>
              </w:rPr>
            </w:pPr>
            <w:r>
              <w:rPr>
                <w:sz w:val="4"/>
                <w:szCs w:val="4"/>
              </w:rPr>
            </w:r>
          </w:p>
        </w:tc>
        <w:tc>
          <w:tcPr>
            <w:tcW w:w="5102" w:type="dxa"/>
            <w:gridSpan w:val="2"/>
            <w:tcBorders/>
            <w:vAlign w:val="center"/>
          </w:tcPr>
          <w:p>
            <w:pPr>
              <w:pStyle w:val="TableContents"/>
              <w:bidi w:val="0"/>
              <w:spacing w:before="0" w:after="283"/>
              <w:jc w:val="left"/>
              <w:rPr>
                <w:sz w:val="4"/>
                <w:szCs w:val="4"/>
              </w:rPr>
            </w:pPr>
            <w:r>
              <w:rPr>
                <w:sz w:val="4"/>
                <w:szCs w:val="4"/>
              </w:rPr>
            </w:r>
          </w:p>
        </w:tc>
      </w:tr>
      <w:tr>
        <w:trPr/>
        <w:tc>
          <w:tcPr>
            <w:tcW w:w="510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0"/>
              <w:jc w:val="left"/>
              <w:rPr>
                <w:rFonts w:ascii="Times New Roman" w:hAnsi="Times New Roman"/>
                <w:sz w:val="20"/>
              </w:rPr>
            </w:pPr>
            <w:r>
              <w:rPr>
                <w:rFonts w:ascii="Times New Roman" w:hAnsi="Times New Roman"/>
                <w:sz w:val="20"/>
              </w:rPr>
              <w:t>Signature Guarantee:</w:t>
            </w:r>
          </w:p>
          <w:p>
            <w:pPr>
              <w:pStyle w:val="TableContents"/>
              <w:bidi w:val="0"/>
              <w:spacing w:before="0" w:after="20"/>
              <w:jc w:val="left"/>
              <w:rPr>
                <w:rFonts w:ascii="Times New Roman" w:hAnsi="Times New Roman"/>
                <w:sz w:val="20"/>
              </w:rPr>
            </w:pPr>
            <w:r>
              <w:rPr>
                <w:rFonts w:ascii="Times New Roman" w:hAnsi="Times New Roman"/>
                <w:sz w:val="20"/>
              </w:rPr>
              <w:t>_________________________</w:t>
            </w:r>
          </w:p>
        </w:tc>
      </w:tr>
    </w:tbl>
    <w:p>
      <w:pPr>
        <w:pStyle w:val="TextBody"/>
        <w:bidi w:val="0"/>
        <w:spacing w:before="240" w:after="0"/>
        <w:jc w:val="left"/>
        <w:rPr>
          <w:rFonts w:ascii="Times New Roman" w:hAnsi="Times New Roman"/>
          <w:sz w:val="20"/>
        </w:rPr>
      </w:pPr>
      <w:r>
        <w:rPr>
          <w:rFonts w:ascii="Times New Roman" w:hAnsi="Times New Roman"/>
          <w:sz w:val="20"/>
        </w:rPr>
        <w:t>Signatures must be guaranteed by an “eligible guarantor institution” meeting the requirements of the Registrar, which requirements include membership or participation in the Security Transfer Agent Medallion Program (“</w:t>
      </w:r>
      <w:r>
        <w:rPr>
          <w:rFonts w:ascii="Times New Roman" w:hAnsi="Times New Roman"/>
          <w:b/>
          <w:i/>
          <w:sz w:val="20"/>
        </w:rPr>
        <w:t>STAMP</w:t>
      </w:r>
      <w:r>
        <w:rPr>
          <w:rFonts w:ascii="Times New Roman" w:hAnsi="Times New Roman"/>
          <w:sz w:val="20"/>
        </w:rPr>
        <w:t xml:space="preserve">”) or such other “signature guarantee program” as may be determined by the Registrar in addition to, or in substitution for, STAMP, all in accordance with the Securities Exchange Act of 1934,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OPTION OF HOLDER TO ELECT PURCHASE </w:t>
      </w:r>
    </w:p>
    <w:p>
      <w:pPr>
        <w:pStyle w:val="TextBody"/>
        <w:bidi w:val="0"/>
        <w:spacing w:before="240" w:after="0"/>
        <w:jc w:val="left"/>
        <w:rPr>
          <w:rFonts w:ascii="Times New Roman" w:hAnsi="Times New Roman"/>
          <w:sz w:val="20"/>
        </w:rPr>
      </w:pPr>
      <w:r>
        <w:rPr>
          <w:rFonts w:ascii="Times New Roman" w:hAnsi="Times New Roman"/>
          <w:sz w:val="20"/>
        </w:rPr>
        <w:t xml:space="preserve">If you want to elect to have this 2031 Note purchased by the Company pursuant to Section 4.1 of the Supplemental Indenture, check the box below: </w:t>
      </w:r>
    </w:p>
    <w:p>
      <w:pPr>
        <w:pStyle w:val="TextBody"/>
        <w:bidi w:val="0"/>
        <w:spacing w:before="240" w:after="0"/>
        <w:jc w:val="left"/>
        <w:rPr/>
      </w:pPr>
      <w:r>
        <w:rPr/>
        <w:t xml:space="preserve">☐ </w:t>
      </w:r>
      <w:r>
        <w:rPr>
          <w:rFonts w:ascii="Times New Roman" w:hAnsi="Times New Roman"/>
          <w:sz w:val="20"/>
        </w:rPr>
        <w:t xml:space="preserve">Section 4.1 </w:t>
      </w:r>
    </w:p>
    <w:p>
      <w:pPr>
        <w:pStyle w:val="TextBody"/>
        <w:bidi w:val="0"/>
        <w:spacing w:before="240" w:after="0"/>
        <w:jc w:val="left"/>
        <w:rPr>
          <w:rFonts w:ascii="Times New Roman" w:hAnsi="Times New Roman"/>
          <w:sz w:val="20"/>
        </w:rPr>
      </w:pPr>
      <w:r>
        <w:rPr>
          <w:rFonts w:ascii="Times New Roman" w:hAnsi="Times New Roman"/>
          <w:sz w:val="20"/>
        </w:rPr>
        <w:t xml:space="preserve">If you want to elect to have only part of this 2031 Note purchased by the Company pursuant to Section 4.1 of the Supplemental Indenture, state the amount you elect to have purchased ($2,000 or integral multiples of $1,000 in excess thereof; provided that the unrepurchased portion of this 2031 Note must be in a minimum principal amount of $2,000): </w:t>
      </w:r>
    </w:p>
    <w:p>
      <w:pPr>
        <w:pStyle w:val="TextBody"/>
        <w:bidi w:val="0"/>
        <w:spacing w:before="240" w:after="0"/>
        <w:jc w:val="left"/>
        <w:rPr>
          <w:rFonts w:ascii="Times New Roman" w:hAnsi="Times New Roman"/>
          <w:sz w:val="20"/>
        </w:rPr>
      </w:pPr>
      <w:r>
        <w:rPr>
          <w:rFonts w:ascii="Times New Roman" w:hAnsi="Times New Roman"/>
          <w:sz w:val="20"/>
        </w:rPr>
        <w:t xml:space="preserve">$________________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Date: _______________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3"/>
        <w:gridCol w:w="101"/>
        <w:gridCol w:w="5001"/>
      </w:tblGrid>
      <w:tr>
        <w:trPr/>
        <w:tc>
          <w:tcPr>
            <w:tcW w:w="510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c>
          <w:tcPr>
            <w:tcW w:w="510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0"/>
              <w:jc w:val="left"/>
              <w:rPr>
                <w:rFonts w:ascii="Times New Roman" w:hAnsi="Times New Roman"/>
                <w:sz w:val="20"/>
              </w:rPr>
            </w:pPr>
            <w:r>
              <w:rPr>
                <w:rFonts w:ascii="Times New Roman" w:hAnsi="Times New Roman"/>
                <w:sz w:val="20"/>
              </w:rPr>
              <w:t>Your Signature:</w:t>
            </w:r>
          </w:p>
          <w:p>
            <w:pPr>
              <w:pStyle w:val="TableContents"/>
              <w:bidi w:val="0"/>
              <w:spacing w:before="0" w:after="20"/>
              <w:jc w:val="left"/>
              <w:rPr>
                <w:rFonts w:ascii="Times New Roman" w:hAnsi="Times New Roman"/>
                <w:sz w:val="20"/>
              </w:rPr>
            </w:pPr>
            <w:r>
              <w:rPr>
                <w:rFonts w:ascii="Times New Roman" w:hAnsi="Times New Roman"/>
                <w:sz w:val="20"/>
              </w:rPr>
              <w:t>______________________________</w:t>
            </w:r>
          </w:p>
        </w:tc>
      </w:tr>
      <w:tr>
        <w:trPr/>
        <w:tc>
          <w:tcPr>
            <w:tcW w:w="510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pPr>
            <w:r>
              <w:rPr/>
              <w:t>  </w:t>
            </w:r>
            <w:r>
              <w:rPr/>
              <w:t>(sign exactly as your name appears on the face of this Note)</w:t>
            </w:r>
          </w:p>
        </w:tc>
      </w:tr>
      <w:tr>
        <w:trPr>
          <w:trHeight w:val="240" w:hRule="atLeast"/>
        </w:trPr>
        <w:tc>
          <w:tcPr>
            <w:tcW w:w="5103" w:type="dxa"/>
            <w:tcBorders/>
            <w:vAlign w:val="center"/>
          </w:tcPr>
          <w:p>
            <w:pPr>
              <w:pStyle w:val="TableContents"/>
              <w:bidi w:val="0"/>
              <w:spacing w:before="0" w:after="283"/>
              <w:jc w:val="left"/>
              <w:rPr>
                <w:sz w:val="4"/>
                <w:szCs w:val="4"/>
              </w:rPr>
            </w:pPr>
            <w:r>
              <w:rPr>
                <w:sz w:val="4"/>
                <w:szCs w:val="4"/>
              </w:rPr>
            </w:r>
          </w:p>
        </w:tc>
        <w:tc>
          <w:tcPr>
            <w:tcW w:w="5102" w:type="dxa"/>
            <w:gridSpan w:val="2"/>
            <w:tcBorders/>
            <w:vAlign w:val="center"/>
          </w:tcPr>
          <w:p>
            <w:pPr>
              <w:pStyle w:val="TableContents"/>
              <w:bidi w:val="0"/>
              <w:spacing w:before="0" w:after="283"/>
              <w:jc w:val="left"/>
              <w:rPr>
                <w:sz w:val="4"/>
                <w:szCs w:val="4"/>
              </w:rPr>
            </w:pPr>
            <w:r>
              <w:rPr>
                <w:sz w:val="4"/>
                <w:szCs w:val="4"/>
              </w:rPr>
            </w:r>
          </w:p>
        </w:tc>
      </w:tr>
      <w:tr>
        <w:trPr/>
        <w:tc>
          <w:tcPr>
            <w:tcW w:w="510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0"/>
              <w:jc w:val="left"/>
              <w:rPr>
                <w:rFonts w:ascii="Times New Roman" w:hAnsi="Times New Roman"/>
                <w:sz w:val="20"/>
              </w:rPr>
            </w:pPr>
            <w:r>
              <w:rPr>
                <w:rFonts w:ascii="Times New Roman" w:hAnsi="Times New Roman"/>
                <w:sz w:val="20"/>
              </w:rPr>
              <w:t>Tax Identification No:</w:t>
            </w:r>
          </w:p>
          <w:p>
            <w:pPr>
              <w:pStyle w:val="TableContents"/>
              <w:bidi w:val="0"/>
              <w:spacing w:before="0" w:after="20"/>
              <w:jc w:val="left"/>
              <w:rPr>
                <w:rFonts w:ascii="Times New Roman" w:hAnsi="Times New Roman"/>
                <w:sz w:val="20"/>
              </w:rPr>
            </w:pPr>
            <w:r>
              <w:rPr>
                <w:rFonts w:ascii="Times New Roman" w:hAnsi="Times New Roman"/>
                <w:sz w:val="20"/>
              </w:rPr>
              <w:t>_________________________</w:t>
            </w:r>
          </w:p>
        </w:tc>
      </w:tr>
      <w:tr>
        <w:trPr>
          <w:trHeight w:val="240" w:hRule="atLeast"/>
        </w:trPr>
        <w:tc>
          <w:tcPr>
            <w:tcW w:w="5103" w:type="dxa"/>
            <w:tcBorders/>
            <w:vAlign w:val="center"/>
          </w:tcPr>
          <w:p>
            <w:pPr>
              <w:pStyle w:val="TableContents"/>
              <w:bidi w:val="0"/>
              <w:spacing w:before="0" w:after="283"/>
              <w:jc w:val="left"/>
              <w:rPr>
                <w:sz w:val="4"/>
                <w:szCs w:val="4"/>
              </w:rPr>
            </w:pPr>
            <w:r>
              <w:rPr>
                <w:sz w:val="4"/>
                <w:szCs w:val="4"/>
              </w:rPr>
            </w:r>
          </w:p>
        </w:tc>
        <w:tc>
          <w:tcPr>
            <w:tcW w:w="5102" w:type="dxa"/>
            <w:gridSpan w:val="2"/>
            <w:tcBorders/>
            <w:vAlign w:val="center"/>
          </w:tcPr>
          <w:p>
            <w:pPr>
              <w:pStyle w:val="TableContents"/>
              <w:bidi w:val="0"/>
              <w:spacing w:before="0" w:after="283"/>
              <w:jc w:val="left"/>
              <w:rPr>
                <w:sz w:val="4"/>
                <w:szCs w:val="4"/>
              </w:rPr>
            </w:pPr>
            <w:r>
              <w:rPr>
                <w:sz w:val="4"/>
                <w:szCs w:val="4"/>
              </w:rPr>
            </w:r>
          </w:p>
        </w:tc>
      </w:tr>
      <w:tr>
        <w:trPr/>
        <w:tc>
          <w:tcPr>
            <w:tcW w:w="5103"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0"/>
              <w:jc w:val="left"/>
              <w:rPr>
                <w:rFonts w:ascii="Times New Roman" w:hAnsi="Times New Roman"/>
                <w:sz w:val="20"/>
              </w:rPr>
            </w:pPr>
            <w:r>
              <w:rPr>
                <w:rFonts w:ascii="Times New Roman" w:hAnsi="Times New Roman"/>
                <w:sz w:val="20"/>
              </w:rPr>
              <w:t>Signature Guarantee:</w:t>
            </w:r>
          </w:p>
          <w:p>
            <w:pPr>
              <w:pStyle w:val="TableContents"/>
              <w:bidi w:val="0"/>
              <w:spacing w:before="0" w:after="20"/>
              <w:jc w:val="left"/>
              <w:rPr>
                <w:rFonts w:ascii="Times New Roman" w:hAnsi="Times New Roman"/>
                <w:sz w:val="20"/>
              </w:rPr>
            </w:pPr>
            <w:r>
              <w:rPr>
                <w:rFonts w:ascii="Times New Roman" w:hAnsi="Times New Roman"/>
                <w:sz w:val="20"/>
              </w:rPr>
              <w:t>_________________________</w:t>
            </w:r>
          </w:p>
        </w:tc>
      </w:tr>
    </w:tbl>
    <w:p>
      <w:pPr>
        <w:pStyle w:val="TextBody"/>
        <w:bidi w:val="0"/>
        <w:spacing w:before="240" w:after="0"/>
        <w:jc w:val="left"/>
        <w:rPr>
          <w:rFonts w:ascii="Times New Roman" w:hAnsi="Times New Roman"/>
          <w:sz w:val="20"/>
        </w:rPr>
      </w:pPr>
      <w:r>
        <w:rPr>
          <w:rFonts w:ascii="Times New Roman" w:hAnsi="Times New Roman"/>
          <w:sz w:val="20"/>
        </w:rPr>
        <w:t>Signatures must be guaranteed by an “eligible guarantor institution” meeting the requirements of the Registrar, which requirements include membership or participation in the Security Transfer Agent Medallion Program (“</w:t>
      </w:r>
      <w:r>
        <w:rPr>
          <w:rFonts w:ascii="Times New Roman" w:hAnsi="Times New Roman"/>
          <w:b/>
          <w:i/>
          <w:sz w:val="20"/>
        </w:rPr>
        <w:t>STAMP</w:t>
      </w:r>
      <w:r>
        <w:rPr>
          <w:rFonts w:ascii="Times New Roman" w:hAnsi="Times New Roman"/>
          <w:sz w:val="20"/>
        </w:rPr>
        <w:t xml:space="preserve">”) or such other “signature guarantee program” as may be determined by the Registrar in addition to, or in substitution for, STAMP, all in accordance with the Securities Exchange Act of 1934,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C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GLOBAL 2033 NOTE </w:t>
      </w:r>
    </w:p>
    <w:p>
      <w:pPr>
        <w:pStyle w:val="TextBody"/>
        <w:bidi w:val="0"/>
        <w:spacing w:before="240" w:after="0"/>
        <w:jc w:val="center"/>
        <w:rPr>
          <w:rFonts w:ascii="Times New Roman" w:hAnsi="Times New Roman"/>
          <w:sz w:val="20"/>
        </w:rPr>
      </w:pPr>
      <w:r>
        <w:rPr>
          <w:rFonts w:ascii="Times New Roman" w:hAnsi="Times New Roman"/>
          <w:sz w:val="20"/>
        </w:rPr>
        <w:t xml:space="preserve">(Face of Global 2033 Note) </w:t>
      </w:r>
    </w:p>
    <w:p>
      <w:pPr>
        <w:pStyle w:val="TextBody"/>
        <w:bidi w:val="0"/>
        <w:spacing w:before="240" w:after="0"/>
        <w:jc w:val="left"/>
        <w:rPr>
          <w:rFonts w:ascii="Times New Roman" w:hAnsi="Times New Roman"/>
          <w:sz w:val="20"/>
        </w:rPr>
      </w:pPr>
      <w:r>
        <w:rPr>
          <w:rFonts w:ascii="Times New Roman" w:hAnsi="Times New Roman"/>
          <w:sz w:val="20"/>
        </w:rPr>
        <w:t xml:space="preserve">THIS GLOBAL NOTE IS HELD BY THE DEPOSITARY (AS DEFINED IN THE SUPPLEMENTAL INDENTURE HEREINAFTER REFERRED TO GOVERNING THIS NOTE) OR ITS NOMINEE IN CUSTODY FOR THE BENEFIT OF THE BENEFICIAL OWNERS HEREOF, AND IS NOT TRANSFERABLE TO ANY PERSON UNDER ANY CIRCUMSTANCES EXCEPT THAT (I) THE TRUSTEE MAY MAKE SUCH NOTATIONS HEREON AS MAY BE REQUIRED PURSUANT TO SECTION 2.2 OF THE SUPPLEMENTAL INDENTURE, (II) THIS GLOBAL NOTE MAY BE EXCHANGED IN WHOLE BUT NOT IN PART PURSUANT TO SECTION 2.2(a) OF THE SUPPLEMENTAL INDENTURE, (III) THIS GLOBAL NOTE MAY BE DELIVERED TO THE TRUSTEE FOR CANCELLATION PURSUANT TO SECTION 2.12 OF THE BASE INDENTURE HEREINAFTER REFERRED TO AND (IV) THIS GLOBAL NOTE MAY BE TRANSFERRED TO A SUCCESSOR DEPOSITARY WITH THE PRIOR WRITTEN CONSENT OF THE COMPANY HEREINAFTER REFERRED TO. </w:t>
      </w:r>
    </w:p>
    <w:p>
      <w:pPr>
        <w:pStyle w:val="TextBody"/>
        <w:bidi w:val="0"/>
        <w:spacing w:before="240" w:after="0"/>
        <w:jc w:val="left"/>
        <w:rPr>
          <w:rFonts w:ascii="Times New Roman" w:hAnsi="Times New Roman"/>
          <w:sz w:val="20"/>
        </w:rPr>
      </w:pPr>
      <w:r>
        <w:rPr>
          <w:rFonts w:ascii="Times New Roman" w:hAnsi="Times New Roman"/>
          <w:sz w:val="20"/>
        </w:rPr>
        <w:t>THIS GLOBAL NOTE IS A GLOBAL NOTE WITHIN THE MEANING OF THE SUPPLEMENTAL INDENTURE HEREINAFTER REFERRED TO AND IS REGISTERED IN THE NAME OF THE DEPOSITARY OR A NOMINEE OF THE DEPOSITARY. THIS GLOBAL NOTE IS EXCHANGEABLE FOR NOTES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 UNLESS THIS CERTIFICATE IS PRESENTED BY AN AUTHORIZED REPRESENTATIVE OF THE DEPOSITORY TRUST COMPANY (55 WATER STREET, NEW YORK, NEW YORK) (“</w:t>
      </w:r>
      <w:r>
        <w:rPr>
          <w:rFonts w:ascii="Times New Roman" w:hAnsi="Times New Roman"/>
          <w:b/>
          <w:i/>
          <w:sz w:val="20"/>
        </w:rPr>
        <w:t>DTC</w:t>
      </w:r>
      <w:r>
        <w:rPr>
          <w:rFonts w:ascii="Times New Roman" w:hAnsi="Times New Roman"/>
          <w:sz w:val="20"/>
        </w:rPr>
        <w:t xml:space="preserve">”)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CUSIP: 032654 BJ3 </w:t>
      </w:r>
    </w:p>
    <w:p>
      <w:pPr>
        <w:pStyle w:val="TextBody"/>
        <w:bidi w:val="0"/>
        <w:spacing w:before="0" w:after="0"/>
        <w:jc w:val="right"/>
        <w:rPr>
          <w:rFonts w:ascii="Times New Roman" w:hAnsi="Times New Roman"/>
          <w:sz w:val="20"/>
        </w:rPr>
      </w:pPr>
      <w:r>
        <w:rPr>
          <w:rFonts w:ascii="Times New Roman" w:hAnsi="Times New Roman"/>
          <w:sz w:val="20"/>
        </w:rPr>
        <w:t xml:space="preserve">ISIN: US032654BJ34 </w:t>
      </w:r>
    </w:p>
    <w:p>
      <w:pPr>
        <w:pStyle w:val="TextBody"/>
        <w:bidi w:val="0"/>
        <w:spacing w:before="240" w:after="0"/>
        <w:jc w:val="center"/>
        <w:rPr>
          <w:rFonts w:ascii="Times New Roman" w:hAnsi="Times New Roman"/>
          <w:sz w:val="20"/>
        </w:rPr>
      </w:pPr>
      <w:r>
        <w:rPr>
          <w:rFonts w:ascii="Times New Roman" w:hAnsi="Times New Roman"/>
          <w:sz w:val="20"/>
        </w:rPr>
        <w:t xml:space="preserve">ANALOG DEVICES, INC. </w:t>
      </w:r>
    </w:p>
    <w:p>
      <w:pPr>
        <w:pStyle w:val="TextBody"/>
        <w:bidi w:val="0"/>
        <w:spacing w:before="0" w:after="0"/>
        <w:jc w:val="center"/>
        <w:rPr>
          <w:rFonts w:ascii="Times New Roman" w:hAnsi="Times New Roman"/>
          <w:sz w:val="20"/>
        </w:rPr>
      </w:pPr>
      <w:r>
        <w:rPr>
          <w:rFonts w:ascii="Times New Roman" w:hAnsi="Times New Roman"/>
          <w:sz w:val="20"/>
        </w:rPr>
        <w:t xml:space="preserve">5.600% Senior Note due October 1, 2033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924"/>
        <w:gridCol w:w="125"/>
        <w:gridCol w:w="1156"/>
      </w:tblGrid>
      <w:tr>
        <w:trPr/>
        <w:tc>
          <w:tcPr>
            <w:tcW w:w="8924"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8924" w:type="dxa"/>
            <w:tcBorders/>
          </w:tcPr>
          <w:p>
            <w:pPr>
              <w:pStyle w:val="TableContents"/>
              <w:bidi w:val="0"/>
              <w:spacing w:before="0" w:after="283"/>
              <w:jc w:val="left"/>
              <w:rPr/>
            </w:pPr>
            <w:r>
              <w:rPr/>
              <w:t>No.</w:t>
            </w:r>
            <w:r>
              <w:rPr>
                <w:u w:val="single"/>
              </w:rPr>
              <w:t>     </w:t>
            </w:r>
          </w:p>
        </w:tc>
        <w:tc>
          <w:tcPr>
            <w:tcW w:w="125" w:type="dxa"/>
            <w:tcBorders/>
            <w:vAlign w:val="bottom"/>
          </w:tcPr>
          <w:p>
            <w:pPr>
              <w:pStyle w:val="TableContents"/>
              <w:bidi w:val="0"/>
              <w:spacing w:before="0" w:after="283"/>
              <w:jc w:val="left"/>
              <w:rPr/>
            </w:pPr>
            <w:r>
              <w:rPr/>
              <w:t>  </w:t>
            </w:r>
          </w:p>
        </w:tc>
        <w:tc>
          <w:tcPr>
            <w:tcW w:w="1156" w:type="dxa"/>
            <w:tcBorders/>
          </w:tcPr>
          <w:p>
            <w:pPr>
              <w:pStyle w:val="TableContents"/>
              <w:bidi w:val="0"/>
              <w:spacing w:before="0" w:after="283"/>
              <w:jc w:val="left"/>
              <w:rPr/>
            </w:pPr>
            <w:r>
              <w:rPr/>
              <w:t>$</w:t>
            </w:r>
            <w:r>
              <w:rPr>
                <w:u w:val="single"/>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Analog Devices, Inc., a Massachusetts corporation, promises to pay to CEDE &amp; CO. or registered assigns, the principal sum of $     on October 1, 2033. </w:t>
      </w:r>
    </w:p>
    <w:p>
      <w:pPr>
        <w:pStyle w:val="TextBody"/>
        <w:bidi w:val="0"/>
        <w:spacing w:before="240" w:after="0"/>
        <w:jc w:val="left"/>
        <w:rPr>
          <w:rFonts w:ascii="Times New Roman" w:hAnsi="Times New Roman"/>
          <w:sz w:val="20"/>
        </w:rPr>
      </w:pPr>
      <w:r>
        <w:rPr>
          <w:rFonts w:ascii="Times New Roman" w:hAnsi="Times New Roman"/>
          <w:sz w:val="20"/>
        </w:rPr>
        <w:t xml:space="preserve">Interest Payment Dates: April 1 and October 1 </w:t>
      </w:r>
    </w:p>
    <w:p>
      <w:pPr>
        <w:pStyle w:val="TextBody"/>
        <w:bidi w:val="0"/>
        <w:spacing w:before="240" w:after="0"/>
        <w:jc w:val="left"/>
        <w:rPr>
          <w:rFonts w:ascii="Times New Roman" w:hAnsi="Times New Roman"/>
          <w:sz w:val="20"/>
        </w:rPr>
      </w:pPr>
      <w:r>
        <w:rPr>
          <w:rFonts w:ascii="Times New Roman" w:hAnsi="Times New Roman"/>
          <w:sz w:val="20"/>
        </w:rPr>
        <w:t xml:space="preserve">Record Dates: March 15 and September 15 </w:t>
      </w:r>
    </w:p>
    <w:p>
      <w:pPr>
        <w:pStyle w:val="TextBody"/>
        <w:bidi w:val="0"/>
        <w:spacing w:before="240" w:after="0"/>
        <w:jc w:val="left"/>
        <w:rPr>
          <w:rFonts w:ascii="Times New Roman" w:hAnsi="Times New Roman"/>
          <w:sz w:val="20"/>
        </w:rPr>
      </w:pPr>
      <w:r>
        <w:rPr>
          <w:rFonts w:ascii="Times New Roman" w:hAnsi="Times New Roman"/>
          <w:sz w:val="20"/>
        </w:rPr>
        <w:t xml:space="preserve">Date: _______________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5"/>
        <w:gridCol w:w="139"/>
        <w:gridCol w:w="3248"/>
      </w:tblGrid>
      <w:tr>
        <w:trPr/>
        <w:tc>
          <w:tcPr>
            <w:tcW w:w="695"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324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ANALOG DEVICES, INC.</w:t>
            </w:r>
          </w:p>
        </w:tc>
      </w:tr>
      <w:tr>
        <w:trPr>
          <w:trHeight w:val="240" w:hRule="atLeast"/>
        </w:trPr>
        <w:tc>
          <w:tcPr>
            <w:tcW w:w="695" w:type="dxa"/>
            <w:tcBorders/>
            <w:vAlign w:val="center"/>
          </w:tcPr>
          <w:p>
            <w:pPr>
              <w:pStyle w:val="TableContents"/>
              <w:bidi w:val="0"/>
              <w:spacing w:before="0" w:after="283"/>
              <w:jc w:val="left"/>
              <w:rPr>
                <w:sz w:val="4"/>
                <w:szCs w:val="4"/>
              </w:rPr>
            </w:pPr>
            <w:r>
              <w:rPr>
                <w:sz w:val="4"/>
                <w:szCs w:val="4"/>
              </w:rPr>
            </w:r>
          </w:p>
        </w:tc>
        <w:tc>
          <w:tcPr>
            <w:tcW w:w="3387"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39" w:type="dxa"/>
            <w:tcBorders/>
            <w:vAlign w:val="bottom"/>
          </w:tcPr>
          <w:p>
            <w:pPr>
              <w:pStyle w:val="TableContents"/>
              <w:bidi w:val="0"/>
              <w:spacing w:before="0" w:after="283"/>
              <w:jc w:val="left"/>
              <w:rPr/>
            </w:pPr>
            <w:r>
              <w:rPr/>
              <w:t> </w:t>
            </w:r>
          </w:p>
        </w:tc>
        <w:tc>
          <w:tcPr>
            <w:tcW w:w="3248"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TRUSTEE’S CERTIFICATE OF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This is one of the Notes referred to in the within-mentioned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Dated: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BANK OF NEW YORK MELLON TRUST COMPANY, N.A. as Trustee</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pBdr>
                <w:bottom w:val="single" w:sz="2" w:space="1" w:color="000000"/>
              </w:pBdr>
              <w:bidi w:val="0"/>
              <w:spacing w:before="0" w:after="20"/>
              <w:jc w:val="left"/>
              <w:rPr/>
            </w:pPr>
            <w:r>
              <w:rPr/>
              <w:t> </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(Back of Global 2033 Note) </w:t>
      </w:r>
    </w:p>
    <w:p>
      <w:pPr>
        <w:pStyle w:val="TextBody"/>
        <w:bidi w:val="0"/>
        <w:spacing w:before="240" w:after="0"/>
        <w:jc w:val="center"/>
        <w:rPr>
          <w:rFonts w:ascii="Times New Roman" w:hAnsi="Times New Roman"/>
          <w:sz w:val="20"/>
        </w:rPr>
      </w:pPr>
      <w:r>
        <w:rPr>
          <w:rFonts w:ascii="Times New Roman" w:hAnsi="Times New Roman"/>
          <w:sz w:val="20"/>
        </w:rPr>
        <w:t xml:space="preserve">ANALOG DEVICES, INC. </w:t>
      </w:r>
    </w:p>
    <w:p>
      <w:pPr>
        <w:pStyle w:val="TextBody"/>
        <w:bidi w:val="0"/>
        <w:spacing w:before="0" w:after="0"/>
        <w:jc w:val="center"/>
        <w:rPr>
          <w:rFonts w:ascii="Times New Roman" w:hAnsi="Times New Roman"/>
          <w:sz w:val="20"/>
        </w:rPr>
      </w:pPr>
      <w:r>
        <w:rPr>
          <w:rFonts w:ascii="Times New Roman" w:hAnsi="Times New Roman"/>
          <w:sz w:val="20"/>
        </w:rPr>
        <w:t xml:space="preserve">5.600% Senior Note due October 1, 2033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herein have the meanings assigned to them in the Indenture referred to below unless otherwise indicated. </w:t>
      </w:r>
    </w:p>
    <w:p>
      <w:pPr>
        <w:pStyle w:val="TextBody"/>
        <w:bidi w:val="0"/>
        <w:spacing w:before="240" w:after="0"/>
        <w:jc w:val="left"/>
        <w:rPr>
          <w:rFonts w:ascii="Times New Roman" w:hAnsi="Times New Roman"/>
          <w:sz w:val="20"/>
        </w:rPr>
      </w:pPr>
      <w:r>
        <w:rPr>
          <w:rFonts w:ascii="Times New Roman" w:hAnsi="Times New Roman"/>
          <w:sz w:val="20"/>
        </w:rPr>
        <w:t>1. </w:t>
      </w:r>
      <w:r>
        <w:rPr>
          <w:rFonts w:ascii="Times New Roman" w:hAnsi="Times New Roman"/>
          <w:i/>
          <w:sz w:val="20"/>
        </w:rPr>
        <w:t>INTEREST</w:t>
      </w:r>
      <w:r>
        <w:rPr>
          <w:rFonts w:ascii="Times New Roman" w:hAnsi="Times New Roman"/>
          <w:sz w:val="20"/>
        </w:rPr>
        <w:t>. Analog Devices, Inc., a Massachusetts corporation (the “</w:t>
      </w:r>
      <w:r>
        <w:rPr>
          <w:rFonts w:ascii="Times New Roman" w:hAnsi="Times New Roman"/>
          <w:b/>
          <w:i/>
          <w:sz w:val="20"/>
        </w:rPr>
        <w:t>Company</w:t>
      </w:r>
      <w:r>
        <w:rPr>
          <w:rFonts w:ascii="Times New Roman" w:hAnsi="Times New Roman"/>
          <w:sz w:val="20"/>
        </w:rPr>
        <w:t>”), promises to pay interest on the principal amount of this 2033 Note at 5.600% per annum from the date hereof until maturity. The Company will pay interest on the 2033 Notes semi-annually in arrears on April 1 and October 1 of each year, commencing April 1, 2027, or if any such day is not a Business Day, on the next succeeding Business Day, and no additional interest will accrue on the amount so payable in respect of such 2033 Notes for that period (each an “</w:t>
      </w:r>
      <w:r>
        <w:rPr>
          <w:rFonts w:ascii="Times New Roman" w:hAnsi="Times New Roman"/>
          <w:b/>
          <w:i/>
          <w:sz w:val="20"/>
        </w:rPr>
        <w:t>Interest Payment Date</w:t>
      </w:r>
      <w:r>
        <w:rPr>
          <w:rFonts w:ascii="Times New Roman" w:hAnsi="Times New Roman"/>
          <w:sz w:val="20"/>
        </w:rPr>
        <w:t>”). Interest on the 2033 Notes will accrue from the most recent date to which interest has been paid or provided for or, if no interest has been paid or provided for, from September 17, 2026; </w:t>
      </w:r>
      <w:r>
        <w:rPr>
          <w:rFonts w:ascii="Times New Roman" w:hAnsi="Times New Roman"/>
          <w:i/>
          <w:sz w:val="20"/>
        </w:rPr>
        <w:t>provided</w:t>
      </w:r>
      <w:r>
        <w:rPr>
          <w:rFonts w:ascii="Times New Roman" w:hAnsi="Times New Roman"/>
          <w:sz w:val="20"/>
        </w:rPr>
        <w:t xml:space="preserve"> that if there is no existing Default in the payment of interest, and if this 2033 Note is authenticated between a record date referred to on the face hereof and the next succeeding Interest Payment Date, interest will accrue from such next succeeding Interest Payment Date. The Company will pay interest (including post-petition interest in any proceeding under any Bankruptcy Law to the extent allowable) on overdue principal at the rate equal to the then applicable interest rate on the 2033 Notes to the extent lawful; it will pay interest (including post-petition interest in any proceeding under any Bankruptcy Law to the extent allowable) on overdue installments of interest at the same rate to the extent lawful. Interest on the 2033 Notes will be computed on the basis of a 360-day year of twelve 30-day months. </w:t>
      </w:r>
    </w:p>
    <w:p>
      <w:pPr>
        <w:pStyle w:val="TextBody"/>
        <w:bidi w:val="0"/>
        <w:spacing w:before="240" w:after="0"/>
        <w:jc w:val="left"/>
        <w:rPr>
          <w:rFonts w:ascii="Times New Roman" w:hAnsi="Times New Roman"/>
          <w:sz w:val="20"/>
        </w:rPr>
      </w:pPr>
      <w:r>
        <w:rPr>
          <w:rFonts w:ascii="Times New Roman" w:hAnsi="Times New Roman"/>
          <w:sz w:val="20"/>
        </w:rPr>
        <w:t>2. </w:t>
      </w:r>
      <w:r>
        <w:rPr>
          <w:rFonts w:ascii="Times New Roman" w:hAnsi="Times New Roman"/>
          <w:i/>
          <w:sz w:val="20"/>
        </w:rPr>
        <w:t>METHOD OF PAYMENT</w:t>
      </w:r>
      <w:r>
        <w:rPr>
          <w:rFonts w:ascii="Times New Roman" w:hAnsi="Times New Roman"/>
          <w:sz w:val="20"/>
        </w:rPr>
        <w:t>. The Company will pay interest on the 2033 Notes (except defaulted interest) to the persons who are registered Holders of 2033 Notes at the close of business on the March 15 or September 15 (whether or not a Business Day) next preceding the applicable Interest Payment Date, even if such 2033 Notes are canceled after such record date and on or before such Interest Payment Date, except as provided in Section 2.13 of the Base Indenture with respect to defaulted interest. Principal and interest on the 2033 Notes will be payable at the office or agency of the Paying Agent and Registrar within the City and State of New York or, at the option of the Company, payment of interest may be made by check mailed to the Holders of the 2033 Notes at their respective addresses set forth in the register of Holders of 2033 Notes; </w:t>
      </w:r>
      <w:r>
        <w:rPr>
          <w:rFonts w:ascii="Times New Roman" w:hAnsi="Times New Roman"/>
          <w:i/>
          <w:sz w:val="20"/>
        </w:rPr>
        <w:t>provided</w:t>
      </w:r>
      <w:r>
        <w:rPr>
          <w:rFonts w:ascii="Times New Roman" w:hAnsi="Times New Roman"/>
          <w:sz w:val="20"/>
        </w:rPr>
        <w:t xml:space="preserve"> that payment by wire transfer of immediately available funds will be required with respect to principal of and interest on all Global Notes and all other 2033 Notes the Holders of which will have provided wire transfer instructions to the Company or the Paying Agent at least 15 calendar days prior to the applicable payment date. Such payment will be in such coin or currency of the United States of America as at the time of payment is legal tender for payment of public and private debts. </w:t>
      </w:r>
    </w:p>
    <w:p>
      <w:pPr>
        <w:pStyle w:val="TextBody"/>
        <w:bidi w:val="0"/>
        <w:spacing w:before="240" w:after="0"/>
        <w:jc w:val="left"/>
        <w:rPr>
          <w:rFonts w:ascii="Times New Roman" w:hAnsi="Times New Roman"/>
          <w:sz w:val="20"/>
        </w:rPr>
      </w:pPr>
      <w:r>
        <w:rPr>
          <w:rFonts w:ascii="Times New Roman" w:hAnsi="Times New Roman"/>
          <w:sz w:val="20"/>
        </w:rPr>
        <w:t>3. </w:t>
      </w:r>
      <w:r>
        <w:rPr>
          <w:rFonts w:ascii="Times New Roman" w:hAnsi="Times New Roman"/>
          <w:i/>
          <w:sz w:val="20"/>
        </w:rPr>
        <w:t>PAYING AGENT AND REGISTRAR</w:t>
      </w:r>
      <w:r>
        <w:rPr>
          <w:rFonts w:ascii="Times New Roman" w:hAnsi="Times New Roman"/>
          <w:sz w:val="20"/>
        </w:rPr>
        <w:t xml:space="preserve">. Initially, The Bank of New York Mellon Trust Company, N.A., the Trustee under the Indenture, will act as Paying Agent and Registrar. The Company may change any Paying Agent or Registrar without notice to any Holder. The Company or any of its Subsidiaries may act in any such capacity.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4. </w:t>
      </w:r>
      <w:r>
        <w:rPr>
          <w:rFonts w:ascii="Times New Roman" w:hAnsi="Times New Roman"/>
          <w:i/>
          <w:sz w:val="20"/>
        </w:rPr>
        <w:t>INDENTURE</w:t>
      </w:r>
      <w:r>
        <w:rPr>
          <w:rFonts w:ascii="Times New Roman" w:hAnsi="Times New Roman"/>
          <w:sz w:val="20"/>
        </w:rPr>
        <w:t>. This 2033 Note is one of a duly authenticated Series of securities of the Company issued and to be issued in one or more Series under an indenture (the “</w:t>
      </w:r>
      <w:r>
        <w:rPr>
          <w:rFonts w:ascii="Times New Roman" w:hAnsi="Times New Roman"/>
          <w:b/>
          <w:i/>
          <w:sz w:val="20"/>
        </w:rPr>
        <w:t>Base Indenture</w:t>
      </w:r>
      <w:r>
        <w:rPr>
          <w:rFonts w:ascii="Times New Roman" w:hAnsi="Times New Roman"/>
          <w:sz w:val="20"/>
        </w:rPr>
        <w:t>”), dated as of June 3, 2013, between the Company and the Trustee, as amended by the Supplemental Indenture, dated as of September 17, 2026, between the Company and the Trustee (the “</w:t>
      </w:r>
      <w:r>
        <w:rPr>
          <w:rFonts w:ascii="Times New Roman" w:hAnsi="Times New Roman"/>
          <w:b/>
          <w:i/>
          <w:sz w:val="20"/>
        </w:rPr>
        <w:t>Supplemental Indenture</w:t>
      </w:r>
      <w:r>
        <w:rPr>
          <w:rFonts w:ascii="Times New Roman" w:hAnsi="Times New Roman"/>
          <w:sz w:val="20"/>
        </w:rPr>
        <w:t>” and, together with the Base Indenture, the “</w:t>
      </w:r>
      <w:r>
        <w:rPr>
          <w:rFonts w:ascii="Times New Roman" w:hAnsi="Times New Roman"/>
          <w:b/>
          <w:i/>
          <w:sz w:val="20"/>
        </w:rPr>
        <w:t>Indenture</w:t>
      </w:r>
      <w:r>
        <w:rPr>
          <w:rFonts w:ascii="Times New Roman" w:hAnsi="Times New Roman"/>
          <w:sz w:val="20"/>
        </w:rPr>
        <w:t xml:space="preserve">”). The terms of the 2033 Notes include those stated in the Indenture and those made part of the Indenture by reference to the TIA. The 2033 Notes are subject to all such terms, and Holders are referred to the Indenture and the TIA for a statement of such terms. To the extent any provision of this 2033 Note conflicts with the express provisions of the Indenture, the provisions of the Indenture will govern and be controlling, and to the extent any provision of the Base Indenture conflicts with the express provisions of the Supplemental Indenture, the provisions of the Supplemental Indenture will govern and be controlling. The Company will be entitled to issue Additional 2033 Notes pursuant to Section 2.3 of the Supplemental Indenture. </w:t>
      </w:r>
    </w:p>
    <w:p>
      <w:pPr>
        <w:pStyle w:val="TextBody"/>
        <w:bidi w:val="0"/>
        <w:spacing w:before="240" w:after="0"/>
        <w:jc w:val="left"/>
        <w:rPr>
          <w:rFonts w:ascii="Times New Roman" w:hAnsi="Times New Roman"/>
          <w:sz w:val="20"/>
        </w:rPr>
      </w:pPr>
      <w:r>
        <w:rPr>
          <w:rFonts w:ascii="Times New Roman" w:hAnsi="Times New Roman"/>
          <w:sz w:val="20"/>
        </w:rPr>
        <w:t>5. </w:t>
      </w:r>
      <w:r>
        <w:rPr>
          <w:rFonts w:ascii="Times New Roman" w:hAnsi="Times New Roman"/>
          <w:i/>
          <w:sz w:val="20"/>
        </w:rPr>
        <w:t>OPTIONAL REDEMPTION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At any time prior to August 1, 2033 (the “</w:t>
      </w:r>
      <w:r>
        <w:rPr>
          <w:rFonts w:ascii="Times New Roman" w:hAnsi="Times New Roman"/>
          <w:i/>
          <w:sz w:val="20"/>
        </w:rPr>
        <w:t>Par Call Date</w:t>
      </w:r>
      <w:r>
        <w:rPr>
          <w:rFonts w:ascii="Times New Roman" w:hAnsi="Times New Roman"/>
          <w:sz w:val="20"/>
        </w:rPr>
        <w:t xml:space="preserve">”), the Company will have the right, at its option, to redeem the 2033 Notes, in whole or in part, at any time and from time to time, at a redemption price (expressed as a percentage of principal amount and rounded to three decimal places) equal to the greater of: </w:t>
      </w:r>
    </w:p>
    <w:p>
      <w:pPr>
        <w:pStyle w:val="TextBody"/>
        <w:bidi w:val="0"/>
        <w:spacing w:before="240" w:after="0"/>
        <w:jc w:val="left"/>
        <w:rPr>
          <w:rFonts w:ascii="Times New Roman" w:hAnsi="Times New Roman"/>
          <w:sz w:val="20"/>
        </w:rPr>
      </w:pPr>
      <w:r>
        <w:rPr>
          <w:rFonts w:ascii="Times New Roman" w:hAnsi="Times New Roman"/>
          <w:sz w:val="20"/>
        </w:rPr>
        <w:t xml:space="preserve">(I) (i) the sum of the present values of the remaining scheduled payments of principal and interest thereon discounted to the redemption date (assuming the 2033 Notes matured on the Par Call Date) on a semi-annual basis (assuming a 360-day year consisting of twelve 30-day months) at the Treasury Rate plus 15 basis points less (ii) interest accrued to the date of redemption, and </w:t>
      </w:r>
    </w:p>
    <w:p>
      <w:pPr>
        <w:pStyle w:val="TextBody"/>
        <w:bidi w:val="0"/>
        <w:spacing w:before="240" w:after="0"/>
        <w:jc w:val="left"/>
        <w:rPr>
          <w:rFonts w:ascii="Times New Roman" w:hAnsi="Times New Roman"/>
          <w:sz w:val="20"/>
        </w:rPr>
      </w:pPr>
      <w:r>
        <w:rPr>
          <w:rFonts w:ascii="Times New Roman" w:hAnsi="Times New Roman"/>
          <w:sz w:val="20"/>
        </w:rPr>
        <w:t xml:space="preserve">(II) 100% of the principal amount of the 2033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Par Call Date, the Company will have the right, at its option, to redeem the 2033 Notes, in whole or in part, at any time and from time to time, at a redemption price equal to 100% of the principal amount of the 2033 Notes being redeemed plus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The Company’s actions and determinations in determining the redemption price shall be conclusive and binding for all purposes, absent manifest error. The Trustee shall not be obligated to calculate or verify any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will be mailed or electronically delivered (or otherwise transmitted in accordance with the depositary’s procedures) at least 10 days but not more than 60 days before the redemption date to each holder of 2033 Notes to be redeemed.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case of a partial redemption, selection of the 2033 Notes for redemption will be made pro rata, by lot or by such other method as the Trustee in its sole discretion deems appropriate and fair. No 2033 Notes of a principal amount of $2,000 or less will be redeemed in part. If any note is to be redeemed in part only, the notice of redemption that relates to such 2033 Note will state the portion of the principal amount of the 2033 Note to be redeemed. A new 2033 Note in a principal amount equal to the unredeemed portion of the 2033 Note will be issued in the name of the holder of the 2033 Note upon surrender for cancellation of the original 2033 Note. For so long as the 2033 Notes are held by DTC (or another Depositary), the redemption of the 2033 Notes shall be done in accordance with the policies and procedures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Unless the Company defaults in payment of the redemption price, on and after the redemption date, interest will cease to accrue on the 2033 Notes or portions thereof called for redemption. </w:t>
      </w:r>
    </w:p>
    <w:p>
      <w:pPr>
        <w:pStyle w:val="TextBody"/>
        <w:bidi w:val="0"/>
        <w:spacing w:before="240" w:after="0"/>
        <w:jc w:val="left"/>
        <w:rPr>
          <w:rFonts w:ascii="Times New Roman" w:hAnsi="Times New Roman"/>
          <w:sz w:val="20"/>
        </w:rPr>
      </w:pPr>
      <w:r>
        <w:rPr>
          <w:rFonts w:ascii="Times New Roman" w:hAnsi="Times New Roman"/>
          <w:sz w:val="20"/>
        </w:rPr>
        <w:t>6. </w:t>
      </w:r>
      <w:r>
        <w:rPr>
          <w:rFonts w:ascii="Times New Roman" w:hAnsi="Times New Roman"/>
          <w:i/>
          <w:sz w:val="20"/>
        </w:rPr>
        <w:t>MANDATORY REDEMPTION.</w:t>
      </w:r>
      <w:r>
        <w:rPr>
          <w:rFonts w:ascii="Times New Roman" w:hAnsi="Times New Roman"/>
          <w:sz w:val="20"/>
        </w:rPr>
        <w:t xml:space="preserve"> The Company is not required to make any mandatory redemption or sinking fund payments with respect to the 2033 Notes. </w:t>
      </w:r>
    </w:p>
    <w:p>
      <w:pPr>
        <w:pStyle w:val="TextBody"/>
        <w:bidi w:val="0"/>
        <w:spacing w:before="240" w:after="0"/>
        <w:jc w:val="left"/>
        <w:rPr>
          <w:rFonts w:ascii="Times New Roman" w:hAnsi="Times New Roman"/>
          <w:sz w:val="20"/>
        </w:rPr>
      </w:pPr>
      <w:r>
        <w:rPr>
          <w:rFonts w:ascii="Times New Roman" w:hAnsi="Times New Roman"/>
          <w:sz w:val="20"/>
        </w:rPr>
        <w:t>7. </w:t>
      </w:r>
      <w:r>
        <w:rPr>
          <w:rFonts w:ascii="Times New Roman" w:hAnsi="Times New Roman"/>
          <w:i/>
          <w:sz w:val="20"/>
        </w:rPr>
        <w:t>OFFER TO PURCHASE UPON CHANGE OF CONTROL</w:t>
      </w:r>
      <w:r>
        <w:rPr>
          <w:rFonts w:ascii="Times New Roman" w:hAnsi="Times New Roman"/>
          <w:sz w:val="20"/>
        </w:rPr>
        <w:t>. If a Change of Control Triggering Event occurs with respect to the 2033 Notes, unless the Company has exercised its option to redeem the 2033 Notes in full pursuant to Section 3.1 of the Supplemental Indenture or has defeased the 2033 Notes or satisfied and discharged the 2033 Notes, the Company shall be required to make an offer (a “</w:t>
      </w:r>
      <w:r>
        <w:rPr>
          <w:rFonts w:ascii="Times New Roman" w:hAnsi="Times New Roman"/>
          <w:b/>
          <w:i/>
          <w:sz w:val="20"/>
        </w:rPr>
        <w:t>Change of Control Offer</w:t>
      </w:r>
      <w:r>
        <w:rPr>
          <w:rFonts w:ascii="Times New Roman" w:hAnsi="Times New Roman"/>
          <w:sz w:val="20"/>
        </w:rPr>
        <w:t xml:space="preserve">”) to each Holder of the 2033 Notes to repurchase all or any part (equal to $2,000 and in integral multiples of $1,000 in excess thereof; provided that the unrepurchased portion of a 2033 Note must be in a minimum principal amount of $2,000) of that Holder’s 2033 Notes pursuant to the terms set forth in the Indenture. In a Change of Control Offer, the Company shall be required to offer payment in cash equal to 101% of the aggregate principal amount of the 2033 Notes repurchased, plus accrued and unpaid interest, if any, on the 2033 Notes repurchased to the date of repurchase. </w:t>
      </w:r>
    </w:p>
    <w:p>
      <w:pPr>
        <w:pStyle w:val="TextBody"/>
        <w:bidi w:val="0"/>
        <w:spacing w:before="240" w:after="0"/>
        <w:jc w:val="left"/>
        <w:rPr>
          <w:rFonts w:ascii="Times New Roman" w:hAnsi="Times New Roman"/>
          <w:sz w:val="20"/>
        </w:rPr>
      </w:pPr>
      <w:r>
        <w:rPr>
          <w:rFonts w:ascii="Times New Roman" w:hAnsi="Times New Roman"/>
          <w:sz w:val="20"/>
        </w:rPr>
        <w:t>8. </w:t>
      </w:r>
      <w:r>
        <w:rPr>
          <w:rFonts w:ascii="Times New Roman" w:hAnsi="Times New Roman"/>
          <w:i/>
          <w:sz w:val="20"/>
        </w:rPr>
        <w:t>DENOMINATIONS, TRANSFER, EXCHANGE</w:t>
      </w:r>
      <w:r>
        <w:rPr>
          <w:rFonts w:ascii="Times New Roman" w:hAnsi="Times New Roman"/>
          <w:sz w:val="20"/>
        </w:rPr>
        <w:t xml:space="preserve">. The 2033 Notes are in registered form without coupons in denominations of $2,000 and integral multiples of $1,000 in excess thereof. 2033 Notes may be transferred or exchanged as provided in the Indenture. The Registrar and the Trustee may require a Holder, among other things, to furnish appropriate endorsements and transfer documents and the Company or the Trustee may require a Holder to pay any taxes and fees required by law or permitted by the Indenture. The Company need not exchange or transfer any 2033 Note or portion of a 2033 Note selected for redemption, except for the unredeemed portion of any 2033 Note being redeemed in part. Also, the Company need not exchange or register the transfer of any 2033 Notes for a period of 15 days before the day of any selection of 2033 Notes being redeemed or during the period between a record date and the corresponding Interest Payment Date. </w:t>
      </w:r>
    </w:p>
    <w:p>
      <w:pPr>
        <w:pStyle w:val="TextBody"/>
        <w:bidi w:val="0"/>
        <w:spacing w:before="240" w:after="0"/>
        <w:jc w:val="left"/>
        <w:rPr>
          <w:rFonts w:ascii="Times New Roman" w:hAnsi="Times New Roman"/>
          <w:sz w:val="20"/>
        </w:rPr>
      </w:pPr>
      <w:r>
        <w:rPr>
          <w:rFonts w:ascii="Times New Roman" w:hAnsi="Times New Roman"/>
          <w:sz w:val="20"/>
        </w:rPr>
        <w:t>9. </w:t>
      </w:r>
      <w:r>
        <w:rPr>
          <w:rFonts w:ascii="Times New Roman" w:hAnsi="Times New Roman"/>
          <w:i/>
          <w:sz w:val="20"/>
        </w:rPr>
        <w:t>PERSONS DEEMED OWNERS</w:t>
      </w:r>
      <w:r>
        <w:rPr>
          <w:rFonts w:ascii="Times New Roman" w:hAnsi="Times New Roman"/>
          <w:sz w:val="20"/>
        </w:rPr>
        <w:t xml:space="preserve">. Subject to the record date provisions hereof, the registered Holder of a 2033 Note may be treated as its owner for all purposes. </w:t>
      </w:r>
    </w:p>
    <w:p>
      <w:pPr>
        <w:pStyle w:val="TextBody"/>
        <w:bidi w:val="0"/>
        <w:spacing w:before="240" w:after="0"/>
        <w:jc w:val="left"/>
        <w:rPr>
          <w:rFonts w:ascii="Times New Roman" w:hAnsi="Times New Roman"/>
          <w:sz w:val="20"/>
        </w:rPr>
      </w:pPr>
      <w:r>
        <w:rPr>
          <w:rFonts w:ascii="Times New Roman" w:hAnsi="Times New Roman"/>
          <w:sz w:val="20"/>
        </w:rPr>
        <w:t>10. </w:t>
      </w:r>
      <w:r>
        <w:rPr>
          <w:rFonts w:ascii="Times New Roman" w:hAnsi="Times New Roman"/>
          <w:i/>
          <w:sz w:val="20"/>
        </w:rPr>
        <w:t>AMENDMENT, SUPPLEMENT AND WAIVER</w:t>
      </w:r>
      <w:r>
        <w:rPr>
          <w:rFonts w:ascii="Times New Roman" w:hAnsi="Times New Roman"/>
          <w:sz w:val="20"/>
        </w:rPr>
        <w:t xml:space="preserve">. Subject to certain exceptions, the Indenture or the 2033 Notes may be amended or supplemented with the consent of the Holders of at least a majority in principal amount of the 2033 Notes then outstanding, including, without limitation, consents obtained in connection with a tender offer or exchange offer for the 2033 Notes, and any existing default or compliance with any provision of the Indenture or the 2033 Notes, may be waived with the consent of the Holders of a majority in principal amount of the then outstanding 2033 Notes, including, without limitation, consents obtained in connection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tender offer or exchange offer for the 2033 Notes. Without the consent of any Holder of a 2033 Note, the Indenture or the 2033 Notes may be amended or supplemented (i) to cure any ambiguity, defect or inconsistency; (ii) to provide for a supplemental indenture as set forth in Article V of the Base Indenture; (iii) to provide for uncertificated Securities in addition to or in place of certificated Securities; (iv) to make any change that does not adversely affect the rights of any Holder; (v) to provide for the issuance of and establish the form and terms and conditions of the Securities of any Series as permitted by the Indenture; (vi) to evidence and provide for the acceptance of appointment under the Indenture by a successor Trustee and to add to or change any of the provisions of the Indenture as shall be necessary to provide for or facilitate the administration of the trusts under the Indenture by more than one Trustee; or (vii) to comply with the requirements of the SEC in order to effect or maintain the qualification of the Indenture under the TIA. </w:t>
      </w:r>
    </w:p>
    <w:p>
      <w:pPr>
        <w:pStyle w:val="TextBody"/>
        <w:bidi w:val="0"/>
        <w:spacing w:before="240" w:after="0"/>
        <w:jc w:val="left"/>
        <w:rPr>
          <w:rFonts w:ascii="Times New Roman" w:hAnsi="Times New Roman"/>
          <w:sz w:val="20"/>
        </w:rPr>
      </w:pPr>
      <w:r>
        <w:rPr>
          <w:rFonts w:ascii="Times New Roman" w:hAnsi="Times New Roman"/>
          <w:sz w:val="20"/>
        </w:rPr>
        <w:t>11. </w:t>
      </w:r>
      <w:r>
        <w:rPr>
          <w:rFonts w:ascii="Times New Roman" w:hAnsi="Times New Roman"/>
          <w:i/>
          <w:sz w:val="20"/>
        </w:rPr>
        <w:t>DEFAULTS AND REMEDIES</w:t>
      </w:r>
      <w:r>
        <w:rPr>
          <w:rFonts w:ascii="Times New Roman" w:hAnsi="Times New Roman"/>
          <w:sz w:val="20"/>
        </w:rPr>
        <w:t xml:space="preserve">. If an Event of Default with respect to the 2033 Notes shall occur and be continuing, the principal of, and any accrued and unpaid interest on, the outstanding 2033 Notes may be declared due and payable in the manner and with the effect provided in the Indenture. </w:t>
      </w:r>
    </w:p>
    <w:p>
      <w:pPr>
        <w:pStyle w:val="TextBody"/>
        <w:bidi w:val="0"/>
        <w:spacing w:before="240" w:after="0"/>
        <w:jc w:val="left"/>
        <w:rPr>
          <w:rFonts w:ascii="Times New Roman" w:hAnsi="Times New Roman"/>
          <w:sz w:val="20"/>
        </w:rPr>
      </w:pPr>
      <w:r>
        <w:rPr>
          <w:rFonts w:ascii="Times New Roman" w:hAnsi="Times New Roman"/>
          <w:sz w:val="20"/>
        </w:rPr>
        <w:t>12. </w:t>
      </w:r>
      <w:r>
        <w:rPr>
          <w:rFonts w:ascii="Times New Roman" w:hAnsi="Times New Roman"/>
          <w:i/>
          <w:sz w:val="20"/>
        </w:rPr>
        <w:t>TRUSTEE DEALINGS WITH COMPANY</w:t>
      </w:r>
      <w:r>
        <w:rPr>
          <w:rFonts w:ascii="Times New Roman" w:hAnsi="Times New Roman"/>
          <w:sz w:val="20"/>
        </w:rPr>
        <w:t xml:space="preserve">. The Trustee, in its individual or any other capacity, may become the owner or pledgee of the 2033 Notes and may otherwise deal with the Company or an Affiliate of the Company with the same rights it would have if it were not Trustee. </w:t>
      </w:r>
    </w:p>
    <w:p>
      <w:pPr>
        <w:pStyle w:val="TextBody"/>
        <w:bidi w:val="0"/>
        <w:spacing w:before="240" w:after="0"/>
        <w:jc w:val="left"/>
        <w:rPr>
          <w:rFonts w:ascii="Times New Roman" w:hAnsi="Times New Roman"/>
          <w:sz w:val="20"/>
        </w:rPr>
      </w:pPr>
      <w:r>
        <w:rPr>
          <w:rFonts w:ascii="Times New Roman" w:hAnsi="Times New Roman"/>
          <w:sz w:val="20"/>
        </w:rPr>
        <w:t>13. </w:t>
      </w:r>
      <w:r>
        <w:rPr>
          <w:rFonts w:ascii="Times New Roman" w:hAnsi="Times New Roman"/>
          <w:i/>
          <w:sz w:val="20"/>
        </w:rPr>
        <w:t>NO RECOURSE AGAINST OTHERS</w:t>
      </w:r>
      <w:r>
        <w:rPr>
          <w:rFonts w:ascii="Times New Roman" w:hAnsi="Times New Roman"/>
          <w:sz w:val="20"/>
        </w:rPr>
        <w:t xml:space="preserve">. A director, officer, employee or stockholder, as such, of the Company will not have any liability for any obligations of the Company under the 2033 Notes or the Indenture or for any claim based on, in respect of, or by reason of, such obligations or their creation. Each Holder by accepting a 2033 Note waives and releases all such liability. The waiver and release are part of the consideration for the issue of the 2033 Notes. </w:t>
      </w:r>
    </w:p>
    <w:p>
      <w:pPr>
        <w:pStyle w:val="TextBody"/>
        <w:bidi w:val="0"/>
        <w:spacing w:before="240" w:after="0"/>
        <w:jc w:val="left"/>
        <w:rPr>
          <w:rFonts w:ascii="Times New Roman" w:hAnsi="Times New Roman"/>
          <w:sz w:val="20"/>
        </w:rPr>
      </w:pPr>
      <w:r>
        <w:rPr>
          <w:rFonts w:ascii="Times New Roman" w:hAnsi="Times New Roman"/>
          <w:sz w:val="20"/>
        </w:rPr>
        <w:t>14. </w:t>
      </w:r>
      <w:r>
        <w:rPr>
          <w:rFonts w:ascii="Times New Roman" w:hAnsi="Times New Roman"/>
          <w:i/>
          <w:sz w:val="20"/>
        </w:rPr>
        <w:t>AUTHENTICATION</w:t>
      </w:r>
      <w:r>
        <w:rPr>
          <w:rFonts w:ascii="Times New Roman" w:hAnsi="Times New Roman"/>
          <w:sz w:val="20"/>
        </w:rPr>
        <w:t xml:space="preserve">. This 2033 Note will not be valid until authenticated by the manual or electronic signature of the Trustee or an authenticating agent. </w:t>
      </w:r>
    </w:p>
    <w:p>
      <w:pPr>
        <w:pStyle w:val="TextBody"/>
        <w:bidi w:val="0"/>
        <w:spacing w:before="240" w:after="0"/>
        <w:jc w:val="left"/>
        <w:rPr>
          <w:rFonts w:ascii="Times New Roman" w:hAnsi="Times New Roman"/>
          <w:sz w:val="20"/>
        </w:rPr>
      </w:pPr>
      <w:r>
        <w:rPr>
          <w:rFonts w:ascii="Times New Roman" w:hAnsi="Times New Roman"/>
          <w:sz w:val="20"/>
        </w:rPr>
        <w:t>15. </w:t>
      </w:r>
      <w:r>
        <w:rPr>
          <w:rFonts w:ascii="Times New Roman" w:hAnsi="Times New Roman"/>
          <w:i/>
          <w:sz w:val="20"/>
        </w:rPr>
        <w:t>ABBREVIATIONS</w:t>
      </w:r>
      <w:r>
        <w:rPr>
          <w:rFonts w:ascii="Times New Roman" w:hAnsi="Times New Roman"/>
          <w:sz w:val="20"/>
        </w:rPr>
        <w:t xml:space="preserve">. Customary abbreviations may be used in the name of a Holder or an assignee, such as: TEN COM (= tenants in common), TEN ENT (= tenants by the entireties), JT TEN (= joint tenants with right of survivorship and not as tenants in common), CUST (= Custodian), and U/G/M/A (= Uniform Gifts to Minors Act). </w:t>
      </w:r>
    </w:p>
    <w:p>
      <w:pPr>
        <w:pStyle w:val="TextBody"/>
        <w:bidi w:val="0"/>
        <w:spacing w:before="240" w:after="0"/>
        <w:jc w:val="left"/>
        <w:rPr>
          <w:rFonts w:ascii="Times New Roman" w:hAnsi="Times New Roman"/>
          <w:sz w:val="20"/>
        </w:rPr>
      </w:pPr>
      <w:r>
        <w:rPr>
          <w:rFonts w:ascii="Times New Roman" w:hAnsi="Times New Roman"/>
          <w:sz w:val="20"/>
        </w:rPr>
        <w:t>16. </w:t>
      </w:r>
      <w:r>
        <w:rPr>
          <w:rFonts w:ascii="Times New Roman" w:hAnsi="Times New Roman"/>
          <w:i/>
          <w:sz w:val="20"/>
        </w:rPr>
        <w:t>CUSIP NUMBERS</w:t>
      </w:r>
      <w:r>
        <w:rPr>
          <w:rFonts w:ascii="Times New Roman" w:hAnsi="Times New Roman"/>
          <w:sz w:val="20"/>
        </w:rPr>
        <w:t xml:space="preserve">. The Company has caused CUSIP numbers to be printed on the 2033 Notes and the Trustee shall use CUSIP numbers in notices of redemption as a convenience to Holders. No representation is made as to the correctness of such numbers either as printed on the 2033 Notes or as contained in any notice of redemption and reliance may be placed only on the other elements of identification printed on the 2033 Notes, and any such redemption shall not be affected by any defect in or omission of such numbers. The Company will furnish to any Holder upon written request and without charge a copy of the Base Indenture and the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Requests may be made to: Analog Devices, Inc., One Analog Way, Wilmington, Massachusetts 01887, Attention: Chief Legal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ASSIGNMENT FORM </w:t>
      </w:r>
    </w:p>
    <w:p>
      <w:pPr>
        <w:pStyle w:val="TextBody"/>
        <w:bidi w:val="0"/>
        <w:spacing w:before="240" w:after="0"/>
        <w:jc w:val="left"/>
        <w:rPr>
          <w:rFonts w:ascii="Times New Roman" w:hAnsi="Times New Roman"/>
          <w:sz w:val="20"/>
        </w:rPr>
      </w:pPr>
      <w:r>
        <w:rPr>
          <w:rFonts w:ascii="Times New Roman" w:hAnsi="Times New Roman"/>
          <w:sz w:val="20"/>
        </w:rPr>
        <w:t xml:space="preserve">To assign this Note, fill in the form below: </w:t>
      </w:r>
    </w:p>
    <w:p>
      <w:pPr>
        <w:pStyle w:val="TextBody"/>
        <w:bidi w:val="0"/>
        <w:spacing w:before="240" w:after="0"/>
        <w:jc w:val="left"/>
        <w:rPr>
          <w:rFonts w:ascii="Times New Roman" w:hAnsi="Times New Roman"/>
          <w:sz w:val="20"/>
        </w:rPr>
      </w:pPr>
      <w:r>
        <w:rPr>
          <w:rFonts w:ascii="Times New Roman" w:hAnsi="Times New Roman"/>
          <w:sz w:val="20"/>
        </w:rPr>
        <w:t xml:space="preserve">(I) or (we) assign and transfer this Note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20"/>
              <w:jc w:val="center"/>
              <w:rPr>
                <w:rFonts w:ascii="Times New Roman" w:hAnsi="Times New Roman"/>
                <w:sz w:val="20"/>
              </w:rPr>
            </w:pPr>
            <w:r>
              <w:rPr>
                <w:rFonts w:ascii="Times New Roman" w:hAnsi="Times New Roman"/>
                <w:sz w:val="20"/>
              </w:rPr>
              <w:t>(Insert assignee’s legal name)</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20"/>
              <w:jc w:val="center"/>
              <w:rPr>
                <w:rFonts w:ascii="Times New Roman" w:hAnsi="Times New Roman"/>
                <w:sz w:val="20"/>
              </w:rPr>
            </w:pPr>
            <w:r>
              <w:rPr>
                <w:rFonts w:ascii="Times New Roman" w:hAnsi="Times New Roman"/>
                <w:sz w:val="20"/>
              </w:rPr>
              <w:t>(Insert assignee’s soc. sec. or tax I.D. no.)</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20"/>
              <w:jc w:val="center"/>
              <w:rPr>
                <w:rFonts w:ascii="Times New Roman" w:hAnsi="Times New Roman"/>
                <w:sz w:val="20"/>
              </w:rPr>
            </w:pPr>
            <w:r>
              <w:rPr>
                <w:rFonts w:ascii="Times New Roman" w:hAnsi="Times New Roman"/>
                <w:sz w:val="20"/>
              </w:rPr>
              <w:t>(Print or type assignee’s name, address and zip code)</w:t>
            </w:r>
          </w:p>
        </w:tc>
      </w:tr>
    </w:tbl>
    <w:p>
      <w:pPr>
        <w:pStyle w:val="TextBody"/>
        <w:bidi w:val="0"/>
        <w:spacing w:before="240" w:after="0"/>
        <w:jc w:val="left"/>
        <w:rPr>
          <w:rFonts w:ascii="Times New Roman" w:hAnsi="Times New Roman"/>
          <w:sz w:val="20"/>
        </w:rPr>
      </w:pPr>
      <w:r>
        <w:rPr>
          <w:rFonts w:ascii="Times New Roman" w:hAnsi="Times New Roman"/>
          <w:sz w:val="20"/>
        </w:rPr>
        <w:t xml:space="preserve">and irrevocably appoint _____________________________________________ to transfer this Note on the books of the Company. The agent may substitute another to act for him </w:t>
      </w:r>
    </w:p>
    <w:p>
      <w:pPr>
        <w:pStyle w:val="TextBody"/>
        <w:bidi w:val="0"/>
        <w:spacing w:before="240" w:after="0"/>
        <w:jc w:val="left"/>
        <w:rPr>
          <w:rFonts w:ascii="Times New Roman" w:hAnsi="Times New Roman"/>
          <w:sz w:val="20"/>
        </w:rPr>
      </w:pPr>
      <w:r>
        <w:rPr>
          <w:rFonts w:ascii="Times New Roman" w:hAnsi="Times New Roman"/>
          <w:sz w:val="20"/>
        </w:rPr>
        <w:t xml:space="preserve">Date: _______________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Your Signature:</w:t>
              <w:br/>
              <w:t>______________________________</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(sign exactly as your name appears on the face of this Note)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Tax Identification No:</w:t>
              <w:br/>
              <w:t>_________________________</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Signature Guarantee:</w:t>
            </w:r>
          </w:p>
          <w:p>
            <w:pPr>
              <w:pStyle w:val="TableContents"/>
              <w:bidi w:val="0"/>
              <w:spacing w:before="0" w:after="0"/>
              <w:jc w:val="left"/>
              <w:rPr/>
            </w:pPr>
            <w:r>
              <w:rPr/>
              <w:t> </w:t>
            </w:r>
          </w:p>
          <w:p>
            <w:pPr>
              <w:pStyle w:val="TableContents"/>
              <w:bidi w:val="0"/>
              <w:spacing w:before="0" w:after="20"/>
              <w:jc w:val="left"/>
              <w:rPr>
                <w:u w:val="single"/>
              </w:rPr>
            </w:pPr>
            <w:r>
              <w:rPr>
                <w:u w:val="single"/>
              </w:rPr>
              <w:t>             </w:t>
            </w:r>
          </w:p>
        </w:tc>
      </w:tr>
    </w:tbl>
    <w:p>
      <w:pPr>
        <w:pStyle w:val="TextBody"/>
        <w:bidi w:val="0"/>
        <w:spacing w:before="240" w:after="0"/>
        <w:jc w:val="left"/>
        <w:rPr>
          <w:rFonts w:ascii="Times New Roman" w:hAnsi="Times New Roman"/>
          <w:sz w:val="20"/>
        </w:rPr>
      </w:pPr>
      <w:r>
        <w:rPr>
          <w:rFonts w:ascii="Times New Roman" w:hAnsi="Times New Roman"/>
          <w:sz w:val="20"/>
        </w:rPr>
        <w:t>Signatures must be guaranteed by an “eligible guarantor institution” meeting the requirements of the Registrar, which requirements include membership or participation in the Security Transfer Agent Medallion Program (“</w:t>
      </w:r>
      <w:r>
        <w:rPr>
          <w:rFonts w:ascii="Times New Roman" w:hAnsi="Times New Roman"/>
          <w:b/>
          <w:i/>
          <w:sz w:val="20"/>
        </w:rPr>
        <w:t>STAMP</w:t>
      </w:r>
      <w:r>
        <w:rPr>
          <w:rFonts w:ascii="Times New Roman" w:hAnsi="Times New Roman"/>
          <w:sz w:val="20"/>
        </w:rPr>
        <w:t xml:space="preserve">”) or such other “signature guarantee program” as may be determined by the Registrar in addition to, or in substitution for, STAMP, all in accordance with the Securities Exchange Act of 1934,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OPTION OF HOLDER TO ELECT PURCHASE </w:t>
      </w:r>
    </w:p>
    <w:p>
      <w:pPr>
        <w:pStyle w:val="TextBody"/>
        <w:bidi w:val="0"/>
        <w:spacing w:before="240" w:after="0"/>
        <w:jc w:val="left"/>
        <w:rPr>
          <w:rFonts w:ascii="Times New Roman" w:hAnsi="Times New Roman"/>
          <w:sz w:val="20"/>
        </w:rPr>
      </w:pPr>
      <w:r>
        <w:rPr>
          <w:rFonts w:ascii="Times New Roman" w:hAnsi="Times New Roman"/>
          <w:sz w:val="20"/>
        </w:rPr>
        <w:t xml:space="preserve">If you want to elect to have this 2033 Note purchased by the Company pursuant to Section 4.1 of the Supplemental Indenture, check the box below: </w:t>
      </w:r>
    </w:p>
    <w:p>
      <w:pPr>
        <w:pStyle w:val="TextBody"/>
        <w:bidi w:val="0"/>
        <w:spacing w:before="240" w:after="0"/>
        <w:jc w:val="left"/>
        <w:rPr/>
      </w:pPr>
      <w:r>
        <w:rPr/>
        <w:t xml:space="preserve">☐ </w:t>
      </w:r>
      <w:r>
        <w:rPr>
          <w:rFonts w:ascii="Times New Roman" w:hAnsi="Times New Roman"/>
          <w:sz w:val="20"/>
        </w:rPr>
        <w:t xml:space="preserve">Section 4.1 </w:t>
      </w:r>
    </w:p>
    <w:p>
      <w:pPr>
        <w:pStyle w:val="TextBody"/>
        <w:bidi w:val="0"/>
        <w:spacing w:before="240" w:after="0"/>
        <w:jc w:val="left"/>
        <w:rPr>
          <w:rFonts w:ascii="Times New Roman" w:hAnsi="Times New Roman"/>
          <w:sz w:val="20"/>
        </w:rPr>
      </w:pPr>
      <w:r>
        <w:rPr>
          <w:rFonts w:ascii="Times New Roman" w:hAnsi="Times New Roman"/>
          <w:sz w:val="20"/>
        </w:rPr>
        <w:t xml:space="preserve">If you want to elect to have only part of this 2033 Note purchased by the Company pursuant to Section 4.1 of the Supplemental Indenture, state the amount you elect to have purchased ($2,000 or integral multiples of $1,000 in excess thereof; provided that the unrepurchased portion of this 2033 Note must be in a minimum principal amount of $2,000): </w:t>
      </w:r>
    </w:p>
    <w:p>
      <w:pPr>
        <w:pStyle w:val="TextBody"/>
        <w:bidi w:val="0"/>
        <w:spacing w:before="240" w:after="0"/>
        <w:jc w:val="left"/>
        <w:rPr>
          <w:rFonts w:ascii="Times New Roman" w:hAnsi="Times New Roman"/>
          <w:sz w:val="20"/>
        </w:rPr>
      </w:pPr>
      <w:r>
        <w:rPr>
          <w:rFonts w:ascii="Times New Roman" w:hAnsi="Times New Roman"/>
          <w:sz w:val="20"/>
        </w:rPr>
        <w:t xml:space="preserve">$________________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Date: _______________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Your Signature:</w:t>
              <w:br/>
              <w:t>______________________________</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(sign exactly as your name appears on the face of this Note)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Tax Identification No:</w:t>
              <w:br/>
              <w:t>_________________________</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Signature Guarantee:</w:t>
            </w:r>
          </w:p>
          <w:p>
            <w:pPr>
              <w:pStyle w:val="TableContents"/>
              <w:bidi w:val="0"/>
              <w:spacing w:before="0" w:after="0"/>
              <w:jc w:val="left"/>
              <w:rPr/>
            </w:pPr>
            <w:r>
              <w:rPr/>
              <w:t> </w:t>
            </w:r>
          </w:p>
          <w:p>
            <w:pPr>
              <w:pStyle w:val="TableContents"/>
              <w:bidi w:val="0"/>
              <w:spacing w:before="0" w:after="20"/>
              <w:jc w:val="left"/>
              <w:rPr>
                <w:u w:val="single"/>
              </w:rPr>
            </w:pPr>
            <w:r>
              <w:rPr>
                <w:u w:val="single"/>
              </w:rPr>
              <w:t>             </w:t>
            </w:r>
          </w:p>
        </w:tc>
      </w:tr>
    </w:tbl>
    <w:p>
      <w:pPr>
        <w:pStyle w:val="TextBody"/>
        <w:bidi w:val="0"/>
        <w:spacing w:before="240" w:after="0"/>
        <w:jc w:val="left"/>
        <w:rPr>
          <w:rFonts w:ascii="Times New Roman" w:hAnsi="Times New Roman"/>
          <w:sz w:val="20"/>
        </w:rPr>
      </w:pPr>
      <w:r>
        <w:rPr>
          <w:rFonts w:ascii="Times New Roman" w:hAnsi="Times New Roman"/>
          <w:sz w:val="20"/>
        </w:rPr>
        <w:t>Signatures must be guaranteed by an “eligible guarantor institution” meeting the requirements of the Registrar, which requirements include membership or participation in the Security Transfer Agent Medallion Program (“</w:t>
      </w:r>
      <w:r>
        <w:rPr>
          <w:rFonts w:ascii="Times New Roman" w:hAnsi="Times New Roman"/>
          <w:b/>
          <w:i/>
          <w:sz w:val="20"/>
        </w:rPr>
        <w:t>STAMP</w:t>
      </w:r>
      <w:r>
        <w:rPr>
          <w:rFonts w:ascii="Times New Roman" w:hAnsi="Times New Roman"/>
          <w:sz w:val="20"/>
        </w:rPr>
        <w:t xml:space="preserve">”) or such other “signature guarantee program” as may be determined by the Registrar in addition to, or in substitution for, STAMP, all in accordance with the Securities Exchange Act of 1934,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D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GLOBAL 2036 NOTE </w:t>
      </w:r>
    </w:p>
    <w:p>
      <w:pPr>
        <w:pStyle w:val="TextBody"/>
        <w:bidi w:val="0"/>
        <w:spacing w:before="240" w:after="0"/>
        <w:jc w:val="center"/>
        <w:rPr>
          <w:rFonts w:ascii="Times New Roman" w:hAnsi="Times New Roman"/>
          <w:sz w:val="20"/>
        </w:rPr>
      </w:pPr>
      <w:r>
        <w:rPr>
          <w:rFonts w:ascii="Times New Roman" w:hAnsi="Times New Roman"/>
          <w:sz w:val="20"/>
        </w:rPr>
        <w:t xml:space="preserve">(Face of Global 2036 Note) </w:t>
      </w:r>
    </w:p>
    <w:p>
      <w:pPr>
        <w:pStyle w:val="TextBody"/>
        <w:bidi w:val="0"/>
        <w:spacing w:before="240" w:after="0"/>
        <w:jc w:val="left"/>
        <w:rPr>
          <w:rFonts w:ascii="Times New Roman" w:hAnsi="Times New Roman"/>
          <w:sz w:val="20"/>
        </w:rPr>
      </w:pPr>
      <w:r>
        <w:rPr>
          <w:rFonts w:ascii="Times New Roman" w:hAnsi="Times New Roman"/>
          <w:sz w:val="20"/>
        </w:rPr>
        <w:t xml:space="preserve">THIS GLOBAL NOTE IS HELD BY THE DEPOSITARY (AS DEFINED IN THE SUPPLEMENTAL INDENTURE HEREINAFTER REFERRED TO GOVERNING THIS NOTE) OR ITS NOMINEE IN CUSTODY FOR THE BENEFIT OF THE BENEFICIAL OWNERS HEREOF, AND IS NOT TRANSFERABLE TO ANY PERSON UNDER ANY CIRCUMSTANCES EXCEPT THAT (I) THE TRUSTEE MAY MAKE SUCH NOTATIONS HEREON AS MAY BE REQUIRED PURSUANT TO SECTION 2.2 OF THE SUPPLEMENTAL INDENTURE, (II) THIS GLOBAL NOTE MAY BE EXCHANGED IN WHOLE BUT NOT IN PART PURSUANT TO SECTION 2.2(a) OF THE SUPPLEMENTAL INDENTURE, (III) THIS GLOBAL NOTE MAY BE DELIVERED TO THE TRUSTEE FOR CANCELLATION PURSUANT TO SECTION 2.12 OF THE BASE INDENTURE HEREINAFTER REFERRED TO AND (IV) THIS GLOBAL NOTE MAY BE TRANSFERRED TO A SUCCESSOR DEPOSITARY WITH THE PRIOR WRITTEN CONSENT OF THE COMPANY HEREINAFTER REFERRED TO. </w:t>
      </w:r>
    </w:p>
    <w:p>
      <w:pPr>
        <w:pStyle w:val="TextBody"/>
        <w:bidi w:val="0"/>
        <w:spacing w:before="240" w:after="0"/>
        <w:jc w:val="left"/>
        <w:rPr>
          <w:rFonts w:ascii="Times New Roman" w:hAnsi="Times New Roman"/>
          <w:sz w:val="20"/>
        </w:rPr>
      </w:pPr>
      <w:r>
        <w:rPr>
          <w:rFonts w:ascii="Times New Roman" w:hAnsi="Times New Roman"/>
          <w:sz w:val="20"/>
        </w:rPr>
        <w:t>THIS GLOBAL NOTE IS A GLOBAL NOTE WITHIN THE MEANING OF THE SUPPLEMENTAL INDENTURE HEREINAFTER REFERRED TO AND IS REGISTERED IN THE NAME OF THE DEPOSITARY OR A NOMINEE OF THE DEPOSITARY. THIS GLOBAL NOTE IS EXCHANGEABLE FOR NOTES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 UNLESS THIS CERTIFICATE IS PRESENTED BY AN AUTHORIZED REPRESENTATIVE OF THE DEPOSITORY TRUST COMPANY (55 WATER STREET, NEW YORK, NEW YORK) (“</w:t>
      </w:r>
      <w:r>
        <w:rPr>
          <w:rFonts w:ascii="Times New Roman" w:hAnsi="Times New Roman"/>
          <w:b/>
          <w:i/>
          <w:sz w:val="20"/>
        </w:rPr>
        <w:t>DTC</w:t>
      </w:r>
      <w:r>
        <w:rPr>
          <w:rFonts w:ascii="Times New Roman" w:hAnsi="Times New Roman"/>
          <w:sz w:val="20"/>
        </w:rPr>
        <w:t xml:space="preserve">”)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CUSIP: 032654 BK0 </w:t>
      </w:r>
    </w:p>
    <w:p>
      <w:pPr>
        <w:pStyle w:val="TextBody"/>
        <w:bidi w:val="0"/>
        <w:spacing w:before="0" w:after="0"/>
        <w:jc w:val="right"/>
        <w:rPr>
          <w:rFonts w:ascii="Times New Roman" w:hAnsi="Times New Roman"/>
          <w:sz w:val="20"/>
        </w:rPr>
      </w:pPr>
      <w:r>
        <w:rPr>
          <w:rFonts w:ascii="Times New Roman" w:hAnsi="Times New Roman"/>
          <w:sz w:val="20"/>
        </w:rPr>
        <w:t xml:space="preserve">ISIN: US032654BK07 </w:t>
      </w:r>
    </w:p>
    <w:p>
      <w:pPr>
        <w:pStyle w:val="TextBody"/>
        <w:bidi w:val="0"/>
        <w:spacing w:before="240" w:after="0"/>
        <w:jc w:val="center"/>
        <w:rPr>
          <w:rFonts w:ascii="Times New Roman" w:hAnsi="Times New Roman"/>
          <w:sz w:val="20"/>
        </w:rPr>
      </w:pPr>
      <w:r>
        <w:rPr>
          <w:rFonts w:ascii="Times New Roman" w:hAnsi="Times New Roman"/>
          <w:sz w:val="20"/>
        </w:rPr>
        <w:t xml:space="preserve">ANALOG DEVICES, INC. </w:t>
      </w:r>
    </w:p>
    <w:p>
      <w:pPr>
        <w:pStyle w:val="TextBody"/>
        <w:bidi w:val="0"/>
        <w:spacing w:before="0" w:after="0"/>
        <w:jc w:val="center"/>
        <w:rPr>
          <w:rFonts w:ascii="Times New Roman" w:hAnsi="Times New Roman"/>
          <w:sz w:val="20"/>
        </w:rPr>
      </w:pPr>
      <w:r>
        <w:rPr>
          <w:rFonts w:ascii="Times New Roman" w:hAnsi="Times New Roman"/>
          <w:sz w:val="20"/>
        </w:rPr>
        <w:t xml:space="preserve">5.750% Senior Note due October 1, 2036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047"/>
        <w:gridCol w:w="121"/>
        <w:gridCol w:w="1037"/>
      </w:tblGrid>
      <w:tr>
        <w:trPr/>
        <w:tc>
          <w:tcPr>
            <w:tcW w:w="904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r>
      <w:tr>
        <w:trPr/>
        <w:tc>
          <w:tcPr>
            <w:tcW w:w="9047" w:type="dxa"/>
            <w:tcBorders/>
          </w:tcPr>
          <w:p>
            <w:pPr>
              <w:pStyle w:val="TableContents"/>
              <w:bidi w:val="0"/>
              <w:spacing w:before="0" w:after="283"/>
              <w:jc w:val="left"/>
              <w:rPr/>
            </w:pPr>
            <w:r>
              <w:rPr/>
              <w:t>No.</w:t>
            </w:r>
            <w:r>
              <w:rPr>
                <w:u w:val="single"/>
              </w:rPr>
              <w:t>      </w:t>
            </w:r>
          </w:p>
        </w:tc>
        <w:tc>
          <w:tcPr>
            <w:tcW w:w="121" w:type="dxa"/>
            <w:tcBorders/>
            <w:vAlign w:val="bottom"/>
          </w:tcPr>
          <w:p>
            <w:pPr>
              <w:pStyle w:val="TableContents"/>
              <w:bidi w:val="0"/>
              <w:spacing w:before="0" w:after="283"/>
              <w:jc w:val="left"/>
              <w:rPr/>
            </w:pPr>
            <w:r>
              <w:rPr/>
              <w:t>  </w:t>
            </w:r>
          </w:p>
        </w:tc>
        <w:tc>
          <w:tcPr>
            <w:tcW w:w="1037" w:type="dxa"/>
            <w:tcBorders/>
          </w:tcPr>
          <w:p>
            <w:pPr>
              <w:pStyle w:val="TableContents"/>
              <w:bidi w:val="0"/>
              <w:spacing w:before="0" w:after="283"/>
              <w:jc w:val="left"/>
              <w:rPr/>
            </w:pPr>
            <w:r>
              <w:rPr/>
              <w:t>$</w:t>
            </w:r>
            <w:r>
              <w:rPr>
                <w:u w:val="single"/>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Analog Devices, Inc., a Massachusetts corporation, promises to pay to CEDE &amp; CO. or registered assigns, the principal sum of $     on October 1, 2036. </w:t>
      </w:r>
    </w:p>
    <w:p>
      <w:pPr>
        <w:pStyle w:val="TextBody"/>
        <w:bidi w:val="0"/>
        <w:spacing w:before="240" w:after="0"/>
        <w:jc w:val="left"/>
        <w:rPr>
          <w:rFonts w:ascii="Times New Roman" w:hAnsi="Times New Roman"/>
          <w:sz w:val="20"/>
        </w:rPr>
      </w:pPr>
      <w:r>
        <w:rPr>
          <w:rFonts w:ascii="Times New Roman" w:hAnsi="Times New Roman"/>
          <w:sz w:val="20"/>
        </w:rPr>
        <w:t xml:space="preserve">Interest Payment Dates: April 1 and October 1 </w:t>
      </w:r>
    </w:p>
    <w:p>
      <w:pPr>
        <w:pStyle w:val="TextBody"/>
        <w:bidi w:val="0"/>
        <w:spacing w:before="240" w:after="0"/>
        <w:jc w:val="left"/>
        <w:rPr>
          <w:rFonts w:ascii="Times New Roman" w:hAnsi="Times New Roman"/>
          <w:sz w:val="20"/>
        </w:rPr>
      </w:pPr>
      <w:r>
        <w:rPr>
          <w:rFonts w:ascii="Times New Roman" w:hAnsi="Times New Roman"/>
          <w:sz w:val="20"/>
        </w:rPr>
        <w:t xml:space="preserve">Record Dates: March 15 and September 15 </w:t>
      </w:r>
    </w:p>
    <w:p>
      <w:pPr>
        <w:pStyle w:val="TextBody"/>
        <w:bidi w:val="0"/>
        <w:spacing w:before="240" w:after="0"/>
        <w:jc w:val="left"/>
        <w:rPr>
          <w:rFonts w:ascii="Times New Roman" w:hAnsi="Times New Roman"/>
          <w:sz w:val="20"/>
        </w:rPr>
      </w:pPr>
      <w:r>
        <w:rPr>
          <w:rFonts w:ascii="Times New Roman" w:hAnsi="Times New Roman"/>
          <w:sz w:val="20"/>
        </w:rPr>
        <w:t xml:space="preserve">Date: _______________ </w:t>
      </w:r>
    </w:p>
    <w:p>
      <w:pPr>
        <w:pStyle w:val="TextBody"/>
        <w:bidi w:val="0"/>
        <w:spacing w:before="0" w:after="0"/>
        <w:jc w:val="left"/>
        <w:rPr/>
      </w:pPr>
      <w:r>
        <w:rPr/>
        <w:t> </w:t>
      </w:r>
    </w:p>
    <w:tbl>
      <w:tblPr>
        <w:tblW w:w="4580" w:type="dxa"/>
        <w:jc w:val="right"/>
        <w:tblInd w:w="0" w:type="dxa"/>
        <w:tblLayout w:type="fixed"/>
        <w:tblCellMar>
          <w:top w:w="0" w:type="dxa"/>
          <w:left w:w="0" w:type="dxa"/>
          <w:bottom w:w="0" w:type="dxa"/>
          <w:right w:w="0" w:type="dxa"/>
        </w:tblCellMar>
      </w:tblPr>
      <w:tblGrid>
        <w:gridCol w:w="4580"/>
      </w:tblGrid>
      <w:tr>
        <w:trPr/>
        <w:tc>
          <w:tcPr>
            <w:tcW w:w="4580" w:type="dxa"/>
            <w:tcBorders/>
            <w:vAlign w:val="center"/>
          </w:tcPr>
          <w:p>
            <w:pPr>
              <w:pStyle w:val="TableContents"/>
              <w:bidi w:val="0"/>
              <w:spacing w:before="0" w:after="283"/>
              <w:jc w:val="left"/>
              <w:rPr>
                <w:sz w:val="4"/>
                <w:szCs w:val="4"/>
              </w:rPr>
            </w:pPr>
            <w:r>
              <w:rPr>
                <w:sz w:val="4"/>
                <w:szCs w:val="4"/>
              </w:rPr>
            </w:r>
          </w:p>
        </w:tc>
      </w:tr>
      <w:tr>
        <w:trPr/>
        <w:tc>
          <w:tcPr>
            <w:tcW w:w="4580" w:type="dxa"/>
            <w:tcBorders/>
          </w:tcPr>
          <w:p>
            <w:pPr>
              <w:pStyle w:val="TableContents"/>
              <w:bidi w:val="0"/>
              <w:spacing w:before="0" w:after="283"/>
              <w:jc w:val="left"/>
              <w:rPr/>
            </w:pPr>
            <w:r>
              <w:rPr/>
              <w:t>ANALOG DEVICES, INC.</w:t>
            </w:r>
          </w:p>
        </w:tc>
      </w:tr>
      <w:tr>
        <w:trPr>
          <w:trHeight w:val="240" w:hRule="atLeast"/>
        </w:trPr>
        <w:tc>
          <w:tcPr>
            <w:tcW w:w="4580" w:type="dxa"/>
            <w:tcBorders/>
            <w:vAlign w:val="center"/>
          </w:tcPr>
          <w:p>
            <w:pPr>
              <w:pStyle w:val="TableContents"/>
              <w:bidi w:val="0"/>
              <w:spacing w:before="0" w:after="283"/>
              <w:jc w:val="left"/>
              <w:rPr>
                <w:sz w:val="4"/>
                <w:szCs w:val="4"/>
              </w:rPr>
            </w:pPr>
            <w:r>
              <w:rPr>
                <w:sz w:val="4"/>
                <w:szCs w:val="4"/>
              </w:rPr>
            </w:r>
          </w:p>
        </w:tc>
      </w:tr>
      <w:tr>
        <w:trPr/>
        <w:tc>
          <w:tcPr>
            <w:tcW w:w="4580" w:type="dxa"/>
            <w:tcBorders/>
          </w:tcPr>
          <w:p>
            <w:pPr>
              <w:pStyle w:val="TableContents"/>
              <w:bidi w:val="0"/>
              <w:spacing w:before="0" w:after="283"/>
              <w:jc w:val="left"/>
              <w:rPr/>
            </w:pPr>
            <w:r>
              <w:rPr/>
              <w:t>By: </w:t>
            </w:r>
            <w:r>
              <w:rPr>
                <w:u w:val="single"/>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TRUSTEE’S CERTIFICATE OF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This is one of the Notes referred to in the within-mentioned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Dated: </w:t>
      </w:r>
    </w:p>
    <w:p>
      <w:pPr>
        <w:pStyle w:val="TextBody"/>
        <w:bidi w:val="0"/>
        <w:spacing w:before="0" w:after="0"/>
        <w:jc w:val="left"/>
        <w:rPr/>
      </w:pPr>
      <w:r>
        <w:rPr/>
        <w:t> </w:t>
      </w:r>
    </w:p>
    <w:tbl>
      <w:tblPr>
        <w:tblW w:w="2250" w:type="pct"/>
        <w:jc w:val="left"/>
        <w:tblInd w:w="0" w:type="dxa"/>
        <w:tblLayout w:type="fixed"/>
        <w:tblCellMar>
          <w:top w:w="0" w:type="dxa"/>
          <w:left w:w="0" w:type="dxa"/>
          <w:bottom w:w="0" w:type="dxa"/>
          <w:right w:w="0" w:type="dxa"/>
        </w:tblCellMar>
      </w:tblPr>
      <w:tblGrid>
        <w:gridCol w:w="384"/>
        <w:gridCol w:w="60"/>
        <w:gridCol w:w="4148"/>
      </w:tblGrid>
      <w:tr>
        <w:trPr/>
        <w:tc>
          <w:tcPr>
            <w:tcW w:w="38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148" w:type="dxa"/>
            <w:tcBorders/>
            <w:vAlign w:val="center"/>
          </w:tcPr>
          <w:p>
            <w:pPr>
              <w:pStyle w:val="TableContents"/>
              <w:bidi w:val="0"/>
              <w:spacing w:before="0" w:after="283"/>
              <w:jc w:val="left"/>
              <w:rPr>
                <w:sz w:val="4"/>
                <w:szCs w:val="4"/>
              </w:rPr>
            </w:pPr>
            <w:r>
              <w:rPr>
                <w:sz w:val="4"/>
                <w:szCs w:val="4"/>
              </w:rPr>
            </w:r>
          </w:p>
        </w:tc>
      </w:tr>
      <w:tr>
        <w:trPr/>
        <w:tc>
          <w:tcPr>
            <w:tcW w:w="4592" w:type="dxa"/>
            <w:gridSpan w:val="3"/>
            <w:tcBorders/>
          </w:tcPr>
          <w:p>
            <w:pPr>
              <w:pStyle w:val="TableContents"/>
              <w:bidi w:val="0"/>
              <w:spacing w:before="0" w:after="283"/>
              <w:jc w:val="left"/>
              <w:rPr/>
            </w:pPr>
            <w:r>
              <w:rPr/>
              <w:t>THE BANK OF NEW YORK MELLON TRUST COMPANY, N.A. as Trustee</w:t>
            </w:r>
          </w:p>
        </w:tc>
      </w:tr>
      <w:tr>
        <w:trPr>
          <w:trHeight w:val="240" w:hRule="atLeast"/>
        </w:trPr>
        <w:tc>
          <w:tcPr>
            <w:tcW w:w="384" w:type="dxa"/>
            <w:tcBorders/>
            <w:vAlign w:val="center"/>
          </w:tcPr>
          <w:p>
            <w:pPr>
              <w:pStyle w:val="TableContents"/>
              <w:bidi w:val="0"/>
              <w:spacing w:before="0" w:after="283"/>
              <w:jc w:val="left"/>
              <w:rPr>
                <w:sz w:val="4"/>
                <w:szCs w:val="4"/>
              </w:rPr>
            </w:pPr>
            <w:r>
              <w:rPr>
                <w:sz w:val="4"/>
                <w:szCs w:val="4"/>
              </w:rPr>
            </w:r>
          </w:p>
        </w:tc>
        <w:tc>
          <w:tcPr>
            <w:tcW w:w="4208" w:type="dxa"/>
            <w:gridSpan w:val="2"/>
            <w:tcBorders/>
            <w:vAlign w:val="center"/>
          </w:tcPr>
          <w:p>
            <w:pPr>
              <w:pStyle w:val="TableContents"/>
              <w:bidi w:val="0"/>
              <w:spacing w:before="0" w:after="283"/>
              <w:jc w:val="left"/>
              <w:rPr>
                <w:sz w:val="4"/>
                <w:szCs w:val="4"/>
              </w:rPr>
            </w:pPr>
            <w:r>
              <w:rPr>
                <w:sz w:val="4"/>
                <w:szCs w:val="4"/>
              </w:rPr>
            </w:r>
          </w:p>
        </w:tc>
      </w:tr>
      <w:tr>
        <w:trPr/>
        <w:tc>
          <w:tcPr>
            <w:tcW w:w="38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4148" w:type="dxa"/>
            <w:tcBorders/>
          </w:tcPr>
          <w:p>
            <w:pPr>
              <w:pStyle w:val="TableContents"/>
              <w:pBdr>
                <w:bottom w:val="single" w:sz="2" w:space="1" w:color="000000"/>
              </w:pBdr>
              <w:bidi w:val="0"/>
              <w:spacing w:before="0" w:after="20"/>
              <w:jc w:val="left"/>
              <w:rPr/>
            </w:pPr>
            <w:r>
              <w:rPr/>
              <w:t> </w:t>
            </w:r>
          </w:p>
        </w:tc>
      </w:tr>
      <w:tr>
        <w:trPr/>
        <w:tc>
          <w:tcPr>
            <w:tcW w:w="38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148"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(Back of Global 2036 Note) </w:t>
      </w:r>
    </w:p>
    <w:p>
      <w:pPr>
        <w:pStyle w:val="TextBody"/>
        <w:bidi w:val="0"/>
        <w:spacing w:before="240" w:after="0"/>
        <w:jc w:val="center"/>
        <w:rPr>
          <w:rFonts w:ascii="Times New Roman" w:hAnsi="Times New Roman"/>
          <w:sz w:val="20"/>
        </w:rPr>
      </w:pPr>
      <w:r>
        <w:rPr>
          <w:rFonts w:ascii="Times New Roman" w:hAnsi="Times New Roman"/>
          <w:sz w:val="20"/>
        </w:rPr>
        <w:t xml:space="preserve">ANALOG DEVICES, INC. </w:t>
      </w:r>
    </w:p>
    <w:p>
      <w:pPr>
        <w:pStyle w:val="TextBody"/>
        <w:bidi w:val="0"/>
        <w:spacing w:before="0" w:after="0"/>
        <w:jc w:val="center"/>
        <w:rPr>
          <w:rFonts w:ascii="Times New Roman" w:hAnsi="Times New Roman"/>
          <w:sz w:val="20"/>
        </w:rPr>
      </w:pPr>
      <w:r>
        <w:rPr>
          <w:rFonts w:ascii="Times New Roman" w:hAnsi="Times New Roman"/>
          <w:sz w:val="20"/>
        </w:rPr>
        <w:t xml:space="preserve">5.750% Senior Note due October 1, 2036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herein have the meanings assigned to them in the Indenture referred to below unless otherwise indicated. </w:t>
      </w:r>
    </w:p>
    <w:p>
      <w:pPr>
        <w:pStyle w:val="TextBody"/>
        <w:bidi w:val="0"/>
        <w:spacing w:before="240" w:after="0"/>
        <w:jc w:val="left"/>
        <w:rPr>
          <w:rFonts w:ascii="Times New Roman" w:hAnsi="Times New Roman"/>
          <w:sz w:val="20"/>
        </w:rPr>
      </w:pPr>
      <w:r>
        <w:rPr>
          <w:rFonts w:ascii="Times New Roman" w:hAnsi="Times New Roman"/>
          <w:sz w:val="20"/>
        </w:rPr>
        <w:t>1. </w:t>
      </w:r>
      <w:r>
        <w:rPr>
          <w:rFonts w:ascii="Times New Roman" w:hAnsi="Times New Roman"/>
          <w:i/>
          <w:sz w:val="20"/>
        </w:rPr>
        <w:t>INTEREST</w:t>
      </w:r>
      <w:r>
        <w:rPr>
          <w:rFonts w:ascii="Times New Roman" w:hAnsi="Times New Roman"/>
          <w:sz w:val="20"/>
        </w:rPr>
        <w:t>. Analog Devices, Inc., a Massachusetts corporation (the “</w:t>
      </w:r>
      <w:r>
        <w:rPr>
          <w:rFonts w:ascii="Times New Roman" w:hAnsi="Times New Roman"/>
          <w:b/>
          <w:i/>
          <w:sz w:val="20"/>
        </w:rPr>
        <w:t>Company</w:t>
      </w:r>
      <w:r>
        <w:rPr>
          <w:rFonts w:ascii="Times New Roman" w:hAnsi="Times New Roman"/>
          <w:sz w:val="20"/>
        </w:rPr>
        <w:t>”), promises to pay interest on the principal amount of this 2036 Note at 5.750% per annum from the date hereof until maturity. The Company will pay interest on the 2036 Notes semi-annually in arrears on April 1 and October 1 of each year, commencing April 1, 2027, or if any such day is not a Business Day, on the next succeeding Business Day, and no additional interest will accrue on the amount so payable in respect of such 2036 Notes for that period (each an “</w:t>
      </w:r>
      <w:r>
        <w:rPr>
          <w:rFonts w:ascii="Times New Roman" w:hAnsi="Times New Roman"/>
          <w:b/>
          <w:i/>
          <w:sz w:val="20"/>
        </w:rPr>
        <w:t>Interest Payment Date</w:t>
      </w:r>
      <w:r>
        <w:rPr>
          <w:rFonts w:ascii="Times New Roman" w:hAnsi="Times New Roman"/>
          <w:sz w:val="20"/>
        </w:rPr>
        <w:t>”). Interest on the 2036 Notes will accrue from the most recent date to which interest has been paid or provided for or, if no interest has been paid or provided for, from September 17, 2026; </w:t>
      </w:r>
      <w:r>
        <w:rPr>
          <w:rFonts w:ascii="Times New Roman" w:hAnsi="Times New Roman"/>
          <w:i/>
          <w:sz w:val="20"/>
        </w:rPr>
        <w:t>provided</w:t>
      </w:r>
      <w:r>
        <w:rPr>
          <w:rFonts w:ascii="Times New Roman" w:hAnsi="Times New Roman"/>
          <w:sz w:val="20"/>
        </w:rPr>
        <w:t xml:space="preserve"> that if there is no existing Default in the payment of interest, and if this 2036 Note is authenticated between a record date referred to on the face hereof and the next succeeding Interest Payment Date, interest will accrue from such next succeeding Interest Payment Date. The Company will pay interest (including post-petition interest in any proceeding under any Bankruptcy Law to the extent allowable) on overdue principal at the rate equal to the then applicable interest rate on the 2036 Notes to the extent lawful; it will pay interest (including post-petition interest in any proceeding under any Bankruptcy Law to the extent allowable) on overdue installments of interest at the same rate to the extent lawful. Interest on the 2036 Notes will be computed on the basis of a 360-day year of twelve 30-day months. </w:t>
      </w:r>
    </w:p>
    <w:p>
      <w:pPr>
        <w:pStyle w:val="TextBody"/>
        <w:bidi w:val="0"/>
        <w:spacing w:before="240" w:after="0"/>
        <w:jc w:val="left"/>
        <w:rPr>
          <w:rFonts w:ascii="Times New Roman" w:hAnsi="Times New Roman"/>
          <w:sz w:val="20"/>
        </w:rPr>
      </w:pPr>
      <w:r>
        <w:rPr>
          <w:rFonts w:ascii="Times New Roman" w:hAnsi="Times New Roman"/>
          <w:sz w:val="20"/>
        </w:rPr>
        <w:t>2. </w:t>
      </w:r>
      <w:r>
        <w:rPr>
          <w:rFonts w:ascii="Times New Roman" w:hAnsi="Times New Roman"/>
          <w:i/>
          <w:sz w:val="20"/>
        </w:rPr>
        <w:t>METHOD OF PAYMENT</w:t>
      </w:r>
      <w:r>
        <w:rPr>
          <w:rFonts w:ascii="Times New Roman" w:hAnsi="Times New Roman"/>
          <w:sz w:val="20"/>
        </w:rPr>
        <w:t>. The Company will pay interest on the 2036 Notes (except defaulted interest) to the persons who are registered Holders of 2036 Notes at the close of business on the March 15 or September 15 (whether or not a Business Day) next preceding the applicable Interest Payment Date, even if such 2036 Notes are canceled after such record date and on or before such Interest Payment Date, except as provided in Section 2.13 of the Base Indenture with respect to defaulted interest. Principal and interest on the 2036 Notes will be payable at the office or agency of the Paying Agent and Registrar within the City and State of New York or, at the option of the Company, payment of interest may be made by check mailed to the Holders of the 2036 Notes at their respective addresses set forth in the register of Holders of 2036 Notes; </w:t>
      </w:r>
      <w:r>
        <w:rPr>
          <w:rFonts w:ascii="Times New Roman" w:hAnsi="Times New Roman"/>
          <w:i/>
          <w:sz w:val="20"/>
        </w:rPr>
        <w:t>provided</w:t>
      </w:r>
      <w:r>
        <w:rPr>
          <w:rFonts w:ascii="Times New Roman" w:hAnsi="Times New Roman"/>
          <w:sz w:val="20"/>
        </w:rPr>
        <w:t xml:space="preserve"> that payment by wire transfer of immediately available funds will be required with respect to principal of and interest on all Global Notes and all other 2036 Notes the Holders of which will have provided wire transfer instructions to the Company or the Paying Agent at least 15 calendar days prior to the applicable payment date. Such payment will be in such coin or currency of the United States of America as at the time of payment is legal tender for payment of public and private debts. </w:t>
      </w:r>
    </w:p>
    <w:p>
      <w:pPr>
        <w:pStyle w:val="TextBody"/>
        <w:bidi w:val="0"/>
        <w:spacing w:before="240" w:after="0"/>
        <w:jc w:val="left"/>
        <w:rPr>
          <w:rFonts w:ascii="Times New Roman" w:hAnsi="Times New Roman"/>
          <w:sz w:val="20"/>
        </w:rPr>
      </w:pPr>
      <w:r>
        <w:rPr>
          <w:rFonts w:ascii="Times New Roman" w:hAnsi="Times New Roman"/>
          <w:sz w:val="20"/>
        </w:rPr>
        <w:t>3. </w:t>
      </w:r>
      <w:r>
        <w:rPr>
          <w:rFonts w:ascii="Times New Roman" w:hAnsi="Times New Roman"/>
          <w:i/>
          <w:sz w:val="20"/>
        </w:rPr>
        <w:t>PAYING AGENT AND REGISTRAR</w:t>
      </w:r>
      <w:r>
        <w:rPr>
          <w:rFonts w:ascii="Times New Roman" w:hAnsi="Times New Roman"/>
          <w:sz w:val="20"/>
        </w:rPr>
        <w:t xml:space="preserve">. Initially, The Bank of New York Mellon Trust Company, N.A., the Trustee under the Indenture, will act as Paying Agent and Registrar. The Company may change any Paying Agent or Registrar without notice to any Holder. The Company or any of its Subsidiaries may act in any such capacity.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4. </w:t>
      </w:r>
      <w:r>
        <w:rPr>
          <w:rFonts w:ascii="Times New Roman" w:hAnsi="Times New Roman"/>
          <w:i/>
          <w:sz w:val="20"/>
        </w:rPr>
        <w:t>INDENTURE</w:t>
      </w:r>
      <w:r>
        <w:rPr>
          <w:rFonts w:ascii="Times New Roman" w:hAnsi="Times New Roman"/>
          <w:sz w:val="20"/>
        </w:rPr>
        <w:t>. This 2036 Note is one of a duly authenticated Series of securities of the Company issued and to be issued in one or more Series under an indenture (the “</w:t>
      </w:r>
      <w:r>
        <w:rPr>
          <w:rFonts w:ascii="Times New Roman" w:hAnsi="Times New Roman"/>
          <w:b/>
          <w:i/>
          <w:sz w:val="20"/>
        </w:rPr>
        <w:t>Base Indenture</w:t>
      </w:r>
      <w:r>
        <w:rPr>
          <w:rFonts w:ascii="Times New Roman" w:hAnsi="Times New Roman"/>
          <w:sz w:val="20"/>
        </w:rPr>
        <w:t>”), dated as of June 3, 2013, between the Company and the Trustee, as amended by the Supplemental Indenture, dated as of September 17, 2026, between the Company and the Trustee (the “</w:t>
      </w:r>
      <w:r>
        <w:rPr>
          <w:rFonts w:ascii="Times New Roman" w:hAnsi="Times New Roman"/>
          <w:b/>
          <w:i/>
          <w:sz w:val="20"/>
        </w:rPr>
        <w:t>Supplemental Indenture</w:t>
      </w:r>
      <w:r>
        <w:rPr>
          <w:rFonts w:ascii="Times New Roman" w:hAnsi="Times New Roman"/>
          <w:sz w:val="20"/>
        </w:rPr>
        <w:t>” and, together with the Base Indenture, the “</w:t>
      </w:r>
      <w:r>
        <w:rPr>
          <w:rFonts w:ascii="Times New Roman" w:hAnsi="Times New Roman"/>
          <w:b/>
          <w:i/>
          <w:sz w:val="20"/>
        </w:rPr>
        <w:t>Indenture</w:t>
      </w:r>
      <w:r>
        <w:rPr>
          <w:rFonts w:ascii="Times New Roman" w:hAnsi="Times New Roman"/>
          <w:sz w:val="20"/>
        </w:rPr>
        <w:t xml:space="preserve">”). The terms of the 2036 Notes include those stated in the Indenture and those made part of the Indenture by reference to the TIA. The 2036 Notes are subject to all such terms, and Holders are referred to the Indenture and the TIA for a statement of such terms. To the extent any provision of this 2036 Note conflicts with the express provisions of the Indenture, the provisions of the Indenture will govern and be controlling, and to the extent any provision of the Base Indenture conflicts with the express provisions of the Supplemental Indenture, the provisions of the Supplemental Indenture will govern and be controlling. The Company will be entitled to issue Additional 2036 Notes pursuant to Section 2.3 of the Supplemental Indenture. </w:t>
      </w:r>
    </w:p>
    <w:p>
      <w:pPr>
        <w:pStyle w:val="TextBody"/>
        <w:bidi w:val="0"/>
        <w:spacing w:before="240" w:after="0"/>
        <w:jc w:val="left"/>
        <w:rPr>
          <w:rFonts w:ascii="Times New Roman" w:hAnsi="Times New Roman"/>
          <w:sz w:val="20"/>
        </w:rPr>
      </w:pPr>
      <w:r>
        <w:rPr>
          <w:rFonts w:ascii="Times New Roman" w:hAnsi="Times New Roman"/>
          <w:sz w:val="20"/>
        </w:rPr>
        <w:t>5. </w:t>
      </w:r>
      <w:r>
        <w:rPr>
          <w:rFonts w:ascii="Times New Roman" w:hAnsi="Times New Roman"/>
          <w:i/>
          <w:sz w:val="20"/>
        </w:rPr>
        <w:t>OPTIONAL REDEMPTION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At any time prior to July 1, 2036 (the “</w:t>
      </w:r>
      <w:r>
        <w:rPr>
          <w:rFonts w:ascii="Times New Roman" w:hAnsi="Times New Roman"/>
          <w:i/>
          <w:sz w:val="20"/>
        </w:rPr>
        <w:t>Par Call Date</w:t>
      </w:r>
      <w:r>
        <w:rPr>
          <w:rFonts w:ascii="Times New Roman" w:hAnsi="Times New Roman"/>
          <w:sz w:val="20"/>
        </w:rPr>
        <w:t xml:space="preserve">”), the Company will have the right, at its option, to redeem the 2036 Notes, in whole or in part, at any time and from time to time, at a redemption price (expressed as a percentage of principal amount and rounded to three decimal places) equal to the greater of: </w:t>
      </w:r>
    </w:p>
    <w:p>
      <w:pPr>
        <w:pStyle w:val="TextBody"/>
        <w:bidi w:val="0"/>
        <w:spacing w:before="240" w:after="0"/>
        <w:jc w:val="left"/>
        <w:rPr>
          <w:rFonts w:ascii="Times New Roman" w:hAnsi="Times New Roman"/>
          <w:sz w:val="20"/>
        </w:rPr>
      </w:pPr>
      <w:r>
        <w:rPr>
          <w:rFonts w:ascii="Times New Roman" w:hAnsi="Times New Roman"/>
          <w:sz w:val="20"/>
        </w:rPr>
        <w:t xml:space="preserve">(I) (i) the sum of the present values of the remaining scheduled payments of principal and interest thereon discounted to the redemption date (assuming the 2036 Notes matured on the Par Call Date) on a semi-annual basis (assuming a 360-day year consisting of twelve 30-day months) at the Treasury Rate plus 15 basis points less (ii) interest accrued to the date of redemption, and </w:t>
      </w:r>
    </w:p>
    <w:p>
      <w:pPr>
        <w:pStyle w:val="TextBody"/>
        <w:bidi w:val="0"/>
        <w:spacing w:before="240" w:after="0"/>
        <w:jc w:val="left"/>
        <w:rPr>
          <w:rFonts w:ascii="Times New Roman" w:hAnsi="Times New Roman"/>
          <w:sz w:val="20"/>
        </w:rPr>
      </w:pPr>
      <w:r>
        <w:rPr>
          <w:rFonts w:ascii="Times New Roman" w:hAnsi="Times New Roman"/>
          <w:sz w:val="20"/>
        </w:rPr>
        <w:t xml:space="preserve">(II) 100% of the principal amount of the 2036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Par Call Date, the Company will have the right, at its option, to redeem the 2036 Notes, in whole or in part, at any time and from time to time, at a redemption price equal to 100% of the principal amount of the 2036 Notes being redeemed plus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The Company’s actions and determinations in determining the redemption price shall be conclusive and binding for all purposes, absent manifest error. The Trustee shall not be obligated to calculate or verify any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will be mailed or electronically delivered (or otherwise transmitted in accordance with the depositary’s procedures) at least 10 days but not more than 60 days before the redemption date to each holder of 2036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partial redemption, selection of the 2036 Notes for redemption will be made pro rata, by lot or by such other method as the Trustee in its sole discretion deems appropriate and fair. No 2036 Notes of a principal amount of $2,000 or less will be redeemed in part. If any note is to be redeemed in part only, the notice of redemption that relates to such 2036 Note will state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portion of the principal amount of the 2036 Note to be redeemed. A new 2036 Note in a principal amount equal to the unredeemed portion of the 2036 Note will be issued in the name of the holder of the 2036 Note upon surrender for cancellation of the original 2036 Note. For so long as the 2036 Notes are held by DTC (or another Depositary), the redemption of the 2036 Notes shall be done in accordance with the policies and procedures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Unless the Company defaults in payment of the redemption price, on and after the redemption date, interest will cease to accrue on the 2036 Notes or portions thereof called for redemption. </w:t>
      </w:r>
    </w:p>
    <w:p>
      <w:pPr>
        <w:pStyle w:val="TextBody"/>
        <w:bidi w:val="0"/>
        <w:spacing w:before="240" w:after="0"/>
        <w:jc w:val="left"/>
        <w:rPr>
          <w:rFonts w:ascii="Times New Roman" w:hAnsi="Times New Roman"/>
          <w:sz w:val="20"/>
        </w:rPr>
      </w:pPr>
      <w:r>
        <w:rPr>
          <w:rFonts w:ascii="Times New Roman" w:hAnsi="Times New Roman"/>
          <w:sz w:val="20"/>
        </w:rPr>
        <w:t>6. </w:t>
      </w:r>
      <w:r>
        <w:rPr>
          <w:rFonts w:ascii="Times New Roman" w:hAnsi="Times New Roman"/>
          <w:i/>
          <w:sz w:val="20"/>
        </w:rPr>
        <w:t>MANDATORY REDEMPTION.</w:t>
      </w:r>
      <w:r>
        <w:rPr>
          <w:rFonts w:ascii="Times New Roman" w:hAnsi="Times New Roman"/>
          <w:sz w:val="20"/>
        </w:rPr>
        <w:t xml:space="preserve"> The Company is not required to make any mandatory redemption or sinking fund payments with respect to the 2036 Notes. </w:t>
      </w:r>
    </w:p>
    <w:p>
      <w:pPr>
        <w:pStyle w:val="TextBody"/>
        <w:bidi w:val="0"/>
        <w:spacing w:before="240" w:after="0"/>
        <w:jc w:val="left"/>
        <w:rPr>
          <w:rFonts w:ascii="Times New Roman" w:hAnsi="Times New Roman"/>
          <w:sz w:val="20"/>
        </w:rPr>
      </w:pPr>
      <w:r>
        <w:rPr>
          <w:rFonts w:ascii="Times New Roman" w:hAnsi="Times New Roman"/>
          <w:sz w:val="20"/>
        </w:rPr>
        <w:t>7. </w:t>
      </w:r>
      <w:r>
        <w:rPr>
          <w:rFonts w:ascii="Times New Roman" w:hAnsi="Times New Roman"/>
          <w:i/>
          <w:sz w:val="20"/>
        </w:rPr>
        <w:t>OFFER TO PURCHASE UPON CHANGE OF CONTROL</w:t>
      </w:r>
      <w:r>
        <w:rPr>
          <w:rFonts w:ascii="Times New Roman" w:hAnsi="Times New Roman"/>
          <w:sz w:val="20"/>
        </w:rPr>
        <w:t>. If a Change of Control Triggering Event occurs with respect to the 2036 Notes, unless the Company has exercised its option to redeem the 2036 Notes in full pursuant to Section 3.1 of the Supplemental Indenture or has defeased the 2036 Notes or satisfied and discharged the 2036 Notes, the Company shall be required to make an offer (a “</w:t>
      </w:r>
      <w:r>
        <w:rPr>
          <w:rFonts w:ascii="Times New Roman" w:hAnsi="Times New Roman"/>
          <w:b/>
          <w:i/>
          <w:sz w:val="20"/>
        </w:rPr>
        <w:t>Change of Control Offer</w:t>
      </w:r>
      <w:r>
        <w:rPr>
          <w:rFonts w:ascii="Times New Roman" w:hAnsi="Times New Roman"/>
          <w:sz w:val="20"/>
        </w:rPr>
        <w:t xml:space="preserve">”) to each Holder of the 2036 Notes to repurchase all or any part (equal to $2,000 and in integral multiples of $1,000 in excess thereof; provided that the unrepurchased portion of a 2036 Note must be in a minimum principal amount of $2,000) of that Holder’s 2036 Notes pursuant to the terms set forth in the Indenture. In a Change of Control Offer, the Company shall be required to offer payment in cash equal to 101% of the aggregate principal amount of the 2036 Notes repurchased, plus accrued and unpaid interest, if any, on the 2036 Notes repurchased to the date of repurchase. </w:t>
      </w:r>
    </w:p>
    <w:p>
      <w:pPr>
        <w:pStyle w:val="TextBody"/>
        <w:bidi w:val="0"/>
        <w:spacing w:before="240" w:after="0"/>
        <w:jc w:val="left"/>
        <w:rPr>
          <w:rFonts w:ascii="Times New Roman" w:hAnsi="Times New Roman"/>
          <w:sz w:val="20"/>
        </w:rPr>
      </w:pPr>
      <w:r>
        <w:rPr>
          <w:rFonts w:ascii="Times New Roman" w:hAnsi="Times New Roman"/>
          <w:sz w:val="20"/>
        </w:rPr>
        <w:t>8. </w:t>
      </w:r>
      <w:r>
        <w:rPr>
          <w:rFonts w:ascii="Times New Roman" w:hAnsi="Times New Roman"/>
          <w:i/>
          <w:sz w:val="20"/>
        </w:rPr>
        <w:t>DENOMINATIONS, TRANSFER, EXCHANGE</w:t>
      </w:r>
      <w:r>
        <w:rPr>
          <w:rFonts w:ascii="Times New Roman" w:hAnsi="Times New Roman"/>
          <w:sz w:val="20"/>
        </w:rPr>
        <w:t xml:space="preserve">. The 2036 Notes are in registered form without coupons in denominations of $2,000 and integral multiples of $1,000 in excess thereof. 2036 Notes may be transferred or exchanged as provided in the Indenture. The Registrar and the Trustee may require a Holder, among other things, to furnish appropriate endorsements and transfer documents and the Company or the Trustee may require a Holder to pay any taxes and fees required by law or permitted by the Indenture. The Company need not exchange or transfer any 2036 Note or portion of a 2036 Note selected for redemption, except for the unredeemed portion of any 2036 Note being redeemed in part. Also, the Company need not exchange or register the transfer of any 2036 Notes for a period of 15 days before the day of any selection of 2036 Notes being redeemed or during the period between a record date and the corresponding Interest Payment Date. </w:t>
      </w:r>
    </w:p>
    <w:p>
      <w:pPr>
        <w:pStyle w:val="TextBody"/>
        <w:bidi w:val="0"/>
        <w:spacing w:before="240" w:after="0"/>
        <w:jc w:val="left"/>
        <w:rPr>
          <w:rFonts w:ascii="Times New Roman" w:hAnsi="Times New Roman"/>
          <w:sz w:val="20"/>
        </w:rPr>
      </w:pPr>
      <w:r>
        <w:rPr>
          <w:rFonts w:ascii="Times New Roman" w:hAnsi="Times New Roman"/>
          <w:sz w:val="20"/>
        </w:rPr>
        <w:t>9. </w:t>
      </w:r>
      <w:r>
        <w:rPr>
          <w:rFonts w:ascii="Times New Roman" w:hAnsi="Times New Roman"/>
          <w:i/>
          <w:sz w:val="20"/>
        </w:rPr>
        <w:t>PERSONS DEEMED OWNERS</w:t>
      </w:r>
      <w:r>
        <w:rPr>
          <w:rFonts w:ascii="Times New Roman" w:hAnsi="Times New Roman"/>
          <w:sz w:val="20"/>
        </w:rPr>
        <w:t xml:space="preserve">. Subject to the record date provisions hereof, the registered Holder of a 2036 Note may be treated as its owner for all purposes. </w:t>
      </w:r>
    </w:p>
    <w:p>
      <w:pPr>
        <w:pStyle w:val="TextBody"/>
        <w:bidi w:val="0"/>
        <w:spacing w:before="240" w:after="0"/>
        <w:jc w:val="left"/>
        <w:rPr>
          <w:rFonts w:ascii="Times New Roman" w:hAnsi="Times New Roman"/>
          <w:sz w:val="20"/>
        </w:rPr>
      </w:pPr>
      <w:r>
        <w:rPr>
          <w:rFonts w:ascii="Times New Roman" w:hAnsi="Times New Roman"/>
          <w:sz w:val="20"/>
        </w:rPr>
        <w:t>10. </w:t>
      </w:r>
      <w:r>
        <w:rPr>
          <w:rFonts w:ascii="Times New Roman" w:hAnsi="Times New Roman"/>
          <w:i/>
          <w:sz w:val="20"/>
        </w:rPr>
        <w:t>AMENDMENT, SUPPLEMENT AND WAIVER</w:t>
      </w:r>
      <w:r>
        <w:rPr>
          <w:rFonts w:ascii="Times New Roman" w:hAnsi="Times New Roman"/>
          <w:sz w:val="20"/>
        </w:rPr>
        <w:t xml:space="preserve">. Subject to certain exceptions, the Indenture or the 2036 Notes may be amended or supplemented with the consent of the Holders of at least a majority in principal amount of the 2036 Notes then outstanding, including, without limitation, consents obtained in connection with a tender offer or exchange offer for the 2036 Notes, and any existing default or compliance with any provision of the Indenture or the 2036 Notes, may be waived with the consent of the Holders of a majority in principal amount of the then outstanding 2036 Notes, including, without limitation, consents obtained in connection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tender offer or exchange offer for the 2036 Notes. Without the consent of any Holder of a 2036 Note, the Indenture or the 2036 Notes may be amended or supplemented (i) to cure any ambiguity, defect or inconsistency; (ii) to provide for a supplemental indenture as set forth in Article V of the Base Indenture; (iii) to provide for uncertificated Securities in addition to or in place of certificated Securities; (iv) to make any change that does not adversely affect the rights of any Holder; (v) to provide for the issuance of and establish the form and terms and conditions of the Securities of any Series as permitted by the Indenture; (vi) to evidence and provide for the acceptance of appointment under the Indenture by a successor Trustee and to add to or change any of the provisions of the Indenture as shall be necessary to provide for or facilitate the administration of the trusts under the Indenture by more than one Trustee; or (vii) to comply with the requirements of the SEC in order to effect or maintain the qualification of the Indenture under the TIA. </w:t>
      </w:r>
    </w:p>
    <w:p>
      <w:pPr>
        <w:pStyle w:val="TextBody"/>
        <w:bidi w:val="0"/>
        <w:spacing w:before="240" w:after="0"/>
        <w:jc w:val="left"/>
        <w:rPr>
          <w:rFonts w:ascii="Times New Roman" w:hAnsi="Times New Roman"/>
          <w:sz w:val="20"/>
        </w:rPr>
      </w:pPr>
      <w:r>
        <w:rPr>
          <w:rFonts w:ascii="Times New Roman" w:hAnsi="Times New Roman"/>
          <w:sz w:val="20"/>
        </w:rPr>
        <w:t>11. </w:t>
      </w:r>
      <w:r>
        <w:rPr>
          <w:rFonts w:ascii="Times New Roman" w:hAnsi="Times New Roman"/>
          <w:i/>
          <w:sz w:val="20"/>
        </w:rPr>
        <w:t>DEFAULTS AND REMEDIES</w:t>
      </w:r>
      <w:r>
        <w:rPr>
          <w:rFonts w:ascii="Times New Roman" w:hAnsi="Times New Roman"/>
          <w:sz w:val="20"/>
        </w:rPr>
        <w:t xml:space="preserve">. If an Event of Default with respect to the 2036 Notes shall occur and be continuing, the principal of, and any accrued and unpaid interest on, the outstanding 2036 Notes may be declared due and payable in the manner and with the effect provided in the Indenture. </w:t>
      </w:r>
    </w:p>
    <w:p>
      <w:pPr>
        <w:pStyle w:val="TextBody"/>
        <w:bidi w:val="0"/>
        <w:spacing w:before="240" w:after="0"/>
        <w:jc w:val="left"/>
        <w:rPr>
          <w:rFonts w:ascii="Times New Roman" w:hAnsi="Times New Roman"/>
          <w:sz w:val="20"/>
        </w:rPr>
      </w:pPr>
      <w:r>
        <w:rPr>
          <w:rFonts w:ascii="Times New Roman" w:hAnsi="Times New Roman"/>
          <w:sz w:val="20"/>
        </w:rPr>
        <w:t>12. </w:t>
      </w:r>
      <w:r>
        <w:rPr>
          <w:rFonts w:ascii="Times New Roman" w:hAnsi="Times New Roman"/>
          <w:i/>
          <w:sz w:val="20"/>
        </w:rPr>
        <w:t>TRUSTEE DEALINGS WITH COMPANY</w:t>
      </w:r>
      <w:r>
        <w:rPr>
          <w:rFonts w:ascii="Times New Roman" w:hAnsi="Times New Roman"/>
          <w:sz w:val="20"/>
        </w:rPr>
        <w:t xml:space="preserve">. The Trustee, in its individual or any other capacity, may become the owner or pledgee of the 2036 Notes and may otherwise deal with the Company or an Affiliate of the Company with the same rights it would have if it were not Trustee. </w:t>
      </w:r>
    </w:p>
    <w:p>
      <w:pPr>
        <w:pStyle w:val="TextBody"/>
        <w:bidi w:val="0"/>
        <w:spacing w:before="240" w:after="0"/>
        <w:jc w:val="left"/>
        <w:rPr>
          <w:rFonts w:ascii="Times New Roman" w:hAnsi="Times New Roman"/>
          <w:sz w:val="20"/>
        </w:rPr>
      </w:pPr>
      <w:r>
        <w:rPr>
          <w:rFonts w:ascii="Times New Roman" w:hAnsi="Times New Roman"/>
          <w:sz w:val="20"/>
        </w:rPr>
        <w:t>13. </w:t>
      </w:r>
      <w:r>
        <w:rPr>
          <w:rFonts w:ascii="Times New Roman" w:hAnsi="Times New Roman"/>
          <w:i/>
          <w:sz w:val="20"/>
        </w:rPr>
        <w:t>NO RECOURSE AGAINST OTHERS</w:t>
      </w:r>
      <w:r>
        <w:rPr>
          <w:rFonts w:ascii="Times New Roman" w:hAnsi="Times New Roman"/>
          <w:sz w:val="20"/>
        </w:rPr>
        <w:t xml:space="preserve">. A director, officer, employee or stockholder, as such, of the Company will not have any liability for any obligations of the Company under the 2036 Notes or the Indenture or for any claim based on, in respect of, or by reason of, such obligations or their creation. Each Holder by accepting a 2036 Note waives and releases all such liability. The waiver and release are part of the consideration for the issue of the 2036 Notes. </w:t>
      </w:r>
    </w:p>
    <w:p>
      <w:pPr>
        <w:pStyle w:val="TextBody"/>
        <w:bidi w:val="0"/>
        <w:spacing w:before="240" w:after="0"/>
        <w:jc w:val="left"/>
        <w:rPr>
          <w:rFonts w:ascii="Times New Roman" w:hAnsi="Times New Roman"/>
          <w:sz w:val="20"/>
        </w:rPr>
      </w:pPr>
      <w:r>
        <w:rPr>
          <w:rFonts w:ascii="Times New Roman" w:hAnsi="Times New Roman"/>
          <w:sz w:val="20"/>
        </w:rPr>
        <w:t>14. </w:t>
      </w:r>
      <w:r>
        <w:rPr>
          <w:rFonts w:ascii="Times New Roman" w:hAnsi="Times New Roman"/>
          <w:i/>
          <w:sz w:val="20"/>
        </w:rPr>
        <w:t>AUTHENTICATION</w:t>
      </w:r>
      <w:r>
        <w:rPr>
          <w:rFonts w:ascii="Times New Roman" w:hAnsi="Times New Roman"/>
          <w:sz w:val="20"/>
        </w:rPr>
        <w:t xml:space="preserve">. This 2036 Note will not be valid until authenticated by the manual or electronic signature of the Trustee or an authenticating agent. </w:t>
      </w:r>
    </w:p>
    <w:p>
      <w:pPr>
        <w:pStyle w:val="TextBody"/>
        <w:bidi w:val="0"/>
        <w:spacing w:before="240" w:after="0"/>
        <w:jc w:val="left"/>
        <w:rPr>
          <w:rFonts w:ascii="Times New Roman" w:hAnsi="Times New Roman"/>
          <w:sz w:val="20"/>
        </w:rPr>
      </w:pPr>
      <w:r>
        <w:rPr>
          <w:rFonts w:ascii="Times New Roman" w:hAnsi="Times New Roman"/>
          <w:sz w:val="20"/>
        </w:rPr>
        <w:t>15. </w:t>
      </w:r>
      <w:r>
        <w:rPr>
          <w:rFonts w:ascii="Times New Roman" w:hAnsi="Times New Roman"/>
          <w:i/>
          <w:sz w:val="20"/>
        </w:rPr>
        <w:t>ABBREVIATIONS</w:t>
      </w:r>
      <w:r>
        <w:rPr>
          <w:rFonts w:ascii="Times New Roman" w:hAnsi="Times New Roman"/>
          <w:sz w:val="20"/>
        </w:rPr>
        <w:t xml:space="preserve">. Customary abbreviations may be used in the name of a Holder or an assignee, such as: TEN COM (= tenants in common), TEN ENT (= tenants by the entireties), JT TEN (= joint tenants with right of survivorship and not as tenants in common), CUST (= Custodian), and U/G/M/A (= Uniform Gifts to Minors Act). </w:t>
      </w:r>
    </w:p>
    <w:p>
      <w:pPr>
        <w:pStyle w:val="TextBody"/>
        <w:bidi w:val="0"/>
        <w:spacing w:before="240" w:after="0"/>
        <w:jc w:val="left"/>
        <w:rPr>
          <w:rFonts w:ascii="Times New Roman" w:hAnsi="Times New Roman"/>
          <w:sz w:val="20"/>
        </w:rPr>
      </w:pPr>
      <w:r>
        <w:rPr>
          <w:rFonts w:ascii="Times New Roman" w:hAnsi="Times New Roman"/>
          <w:sz w:val="20"/>
        </w:rPr>
        <w:t>16. </w:t>
      </w:r>
      <w:r>
        <w:rPr>
          <w:rFonts w:ascii="Times New Roman" w:hAnsi="Times New Roman"/>
          <w:i/>
          <w:sz w:val="20"/>
        </w:rPr>
        <w:t>CUSIP NUMBERS</w:t>
      </w:r>
      <w:r>
        <w:rPr>
          <w:rFonts w:ascii="Times New Roman" w:hAnsi="Times New Roman"/>
          <w:sz w:val="20"/>
        </w:rPr>
        <w:t xml:space="preserve">. The Company has caused CUSIP numbers to be printed on the 2036 Notes and the Trustee shall use CUSIP numbers in notices of redemption as a convenience to Holders. No representation is made as to the correctness of such numbers either as printed on the 2036 Notes or as contained in any notice of redemption and reliance may be placed only on the other elements of identification printed on the 2036 Notes, and any such redemption shall not be affected by any defect in or omission of such numbers. The Company will furnish to any Holder upon written request and without charge a copy of the Base Indenture and the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Requests may be made to: Analog Devices, Inc., One Analog Way, Wilmington, Massachusetts 01887, Attention: Chief Legal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ASSIGNMENT FORM </w:t>
      </w:r>
    </w:p>
    <w:p>
      <w:pPr>
        <w:pStyle w:val="TextBody"/>
        <w:bidi w:val="0"/>
        <w:spacing w:before="240" w:after="0"/>
        <w:jc w:val="left"/>
        <w:rPr>
          <w:rFonts w:ascii="Times New Roman" w:hAnsi="Times New Roman"/>
          <w:sz w:val="20"/>
        </w:rPr>
      </w:pPr>
      <w:r>
        <w:rPr>
          <w:rFonts w:ascii="Times New Roman" w:hAnsi="Times New Roman"/>
          <w:sz w:val="20"/>
        </w:rPr>
        <w:t xml:space="preserve">To assign this Note, fill in the form below: </w:t>
      </w:r>
    </w:p>
    <w:p>
      <w:pPr>
        <w:pStyle w:val="TextBody"/>
        <w:bidi w:val="0"/>
        <w:spacing w:before="240" w:after="0"/>
        <w:jc w:val="left"/>
        <w:rPr>
          <w:rFonts w:ascii="Times New Roman" w:hAnsi="Times New Roman"/>
          <w:sz w:val="20"/>
        </w:rPr>
      </w:pPr>
      <w:r>
        <w:rPr>
          <w:rFonts w:ascii="Times New Roman" w:hAnsi="Times New Roman"/>
          <w:sz w:val="20"/>
        </w:rPr>
        <w:t xml:space="preserve">(I) or (we) assign and transfer this Note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20"/>
              <w:jc w:val="center"/>
              <w:rPr>
                <w:rFonts w:ascii="Times New Roman" w:hAnsi="Times New Roman"/>
                <w:sz w:val="20"/>
              </w:rPr>
            </w:pPr>
            <w:r>
              <w:rPr>
                <w:rFonts w:ascii="Times New Roman" w:hAnsi="Times New Roman"/>
                <w:sz w:val="20"/>
              </w:rPr>
              <w:t>(Insert assignee’s legal name)</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20"/>
              <w:jc w:val="center"/>
              <w:rPr>
                <w:rFonts w:ascii="Times New Roman" w:hAnsi="Times New Roman"/>
                <w:sz w:val="20"/>
              </w:rPr>
            </w:pPr>
            <w:r>
              <w:rPr>
                <w:rFonts w:ascii="Times New Roman" w:hAnsi="Times New Roman"/>
                <w:sz w:val="20"/>
              </w:rPr>
              <w:t>(Insert assignee’s soc. sec. or tax I.D. no.)</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20"/>
              <w:jc w:val="center"/>
              <w:rPr>
                <w:rFonts w:ascii="Times New Roman" w:hAnsi="Times New Roman"/>
                <w:sz w:val="20"/>
              </w:rPr>
            </w:pPr>
            <w:r>
              <w:rPr>
                <w:rFonts w:ascii="Times New Roman" w:hAnsi="Times New Roman"/>
                <w:sz w:val="20"/>
              </w:rPr>
              <w:t>(Print or type assignee’s name, address and zip code)</w:t>
            </w:r>
          </w:p>
        </w:tc>
      </w:tr>
    </w:tbl>
    <w:p>
      <w:pPr>
        <w:pStyle w:val="TextBody"/>
        <w:bidi w:val="0"/>
        <w:spacing w:before="240" w:after="0"/>
        <w:jc w:val="left"/>
        <w:rPr>
          <w:rFonts w:ascii="Times New Roman" w:hAnsi="Times New Roman"/>
          <w:sz w:val="20"/>
        </w:rPr>
      </w:pPr>
      <w:r>
        <w:rPr>
          <w:rFonts w:ascii="Times New Roman" w:hAnsi="Times New Roman"/>
          <w:sz w:val="20"/>
        </w:rPr>
        <w:t xml:space="preserve">and irrevocably appoint _____________________________________________ to transfer this Note on the books of the Company. The agent may substitute another to act for him </w:t>
      </w:r>
    </w:p>
    <w:p>
      <w:pPr>
        <w:pStyle w:val="TextBody"/>
        <w:bidi w:val="0"/>
        <w:spacing w:before="240" w:after="0"/>
        <w:jc w:val="left"/>
        <w:rPr>
          <w:rFonts w:ascii="Times New Roman" w:hAnsi="Times New Roman"/>
          <w:sz w:val="20"/>
        </w:rPr>
      </w:pPr>
      <w:r>
        <w:rPr>
          <w:rFonts w:ascii="Times New Roman" w:hAnsi="Times New Roman"/>
          <w:sz w:val="20"/>
        </w:rPr>
        <w:t xml:space="preserve">Date: _______________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Your Signature:</w:t>
              <w:br/>
              <w:t>______________________________</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(sign exactly as your name appears on the face of this Note)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Tax Identification No:</w:t>
              <w:br/>
              <w:t>_________________________</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Signature Guarantee:</w:t>
            </w:r>
          </w:p>
          <w:p>
            <w:pPr>
              <w:pStyle w:val="TableContents"/>
              <w:bidi w:val="0"/>
              <w:spacing w:before="0" w:after="0"/>
              <w:jc w:val="left"/>
              <w:rPr/>
            </w:pPr>
            <w:r>
              <w:rPr/>
              <w:t> </w:t>
            </w:r>
          </w:p>
          <w:p>
            <w:pPr>
              <w:pStyle w:val="TableContents"/>
              <w:bidi w:val="0"/>
              <w:spacing w:before="0" w:after="20"/>
              <w:jc w:val="left"/>
              <w:rPr>
                <w:u w:val="single"/>
              </w:rPr>
            </w:pPr>
            <w:r>
              <w:rPr>
                <w:u w:val="single"/>
              </w:rPr>
              <w:t>             </w:t>
            </w:r>
          </w:p>
        </w:tc>
      </w:tr>
    </w:tbl>
    <w:p>
      <w:pPr>
        <w:pStyle w:val="TextBody"/>
        <w:bidi w:val="0"/>
        <w:spacing w:before="240" w:after="0"/>
        <w:jc w:val="left"/>
        <w:rPr>
          <w:rFonts w:ascii="Times New Roman" w:hAnsi="Times New Roman"/>
          <w:sz w:val="20"/>
        </w:rPr>
      </w:pPr>
      <w:r>
        <w:rPr>
          <w:rFonts w:ascii="Times New Roman" w:hAnsi="Times New Roman"/>
          <w:sz w:val="20"/>
        </w:rPr>
        <w:t>Signatures must be guaranteed by an “eligible guarantor institution” meeting the requirements of the Registrar, which requirements include membership or participation in the Security Transfer Agent Medallion Program (“</w:t>
      </w:r>
      <w:r>
        <w:rPr>
          <w:rFonts w:ascii="Times New Roman" w:hAnsi="Times New Roman"/>
          <w:b/>
          <w:i/>
          <w:sz w:val="20"/>
        </w:rPr>
        <w:t>STAMP</w:t>
      </w:r>
      <w:r>
        <w:rPr>
          <w:rFonts w:ascii="Times New Roman" w:hAnsi="Times New Roman"/>
          <w:sz w:val="20"/>
        </w:rPr>
        <w:t xml:space="preserve">”) or such other “signature guarantee program” as may be determined by the Registrar in addition to, or in substitution for, STAMP, all in accordance with the Securities Exchange Act of 1934,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OPTION OF HOLDER TO ELECT PURCHASE </w:t>
      </w:r>
    </w:p>
    <w:p>
      <w:pPr>
        <w:pStyle w:val="TextBody"/>
        <w:bidi w:val="0"/>
        <w:spacing w:before="240" w:after="0"/>
        <w:jc w:val="left"/>
        <w:rPr>
          <w:rFonts w:ascii="Times New Roman" w:hAnsi="Times New Roman"/>
          <w:sz w:val="20"/>
        </w:rPr>
      </w:pPr>
      <w:r>
        <w:rPr>
          <w:rFonts w:ascii="Times New Roman" w:hAnsi="Times New Roman"/>
          <w:sz w:val="20"/>
        </w:rPr>
        <w:t xml:space="preserve">If you want to elect to have this 2036 Note purchased by the Company pursuant to Section 4.1 of the Supplemental Indenture, check the box below: </w:t>
      </w:r>
    </w:p>
    <w:p>
      <w:pPr>
        <w:pStyle w:val="TextBody"/>
        <w:bidi w:val="0"/>
        <w:spacing w:before="240" w:after="0"/>
        <w:jc w:val="left"/>
        <w:rPr/>
      </w:pPr>
      <w:r>
        <w:rPr/>
        <w:t xml:space="preserve">☐ </w:t>
      </w:r>
      <w:r>
        <w:rPr>
          <w:rFonts w:ascii="Times New Roman" w:hAnsi="Times New Roman"/>
          <w:sz w:val="20"/>
        </w:rPr>
        <w:t xml:space="preserve">Section 4.1 </w:t>
      </w:r>
    </w:p>
    <w:p>
      <w:pPr>
        <w:pStyle w:val="TextBody"/>
        <w:bidi w:val="0"/>
        <w:spacing w:before="240" w:after="0"/>
        <w:jc w:val="left"/>
        <w:rPr>
          <w:rFonts w:ascii="Times New Roman" w:hAnsi="Times New Roman"/>
          <w:sz w:val="20"/>
        </w:rPr>
      </w:pPr>
      <w:r>
        <w:rPr>
          <w:rFonts w:ascii="Times New Roman" w:hAnsi="Times New Roman"/>
          <w:sz w:val="20"/>
        </w:rPr>
        <w:t xml:space="preserve">If you want to elect to have only part of this 2036 Note purchased by the Company pursuant to Section 4.1 of the Supplemental Indenture, state the amount you elect to have purchased ($2,000 or integral multiples of $1,000 in excess thereof; provided that the unrepurchased portion of this 2036 Note must be in a minimum principal amount of $2,000): </w:t>
      </w:r>
    </w:p>
    <w:p>
      <w:pPr>
        <w:pStyle w:val="TextBody"/>
        <w:bidi w:val="0"/>
        <w:spacing w:before="240" w:after="0"/>
        <w:jc w:val="left"/>
        <w:rPr>
          <w:rFonts w:ascii="Times New Roman" w:hAnsi="Times New Roman"/>
          <w:sz w:val="20"/>
        </w:rPr>
      </w:pPr>
      <w:r>
        <w:rPr>
          <w:rFonts w:ascii="Times New Roman" w:hAnsi="Times New Roman"/>
          <w:sz w:val="20"/>
        </w:rPr>
        <w:t xml:space="preserve">$________________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Date: _______________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Your Signature:</w:t>
              <w:br/>
              <w:t>______________________________</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(sign exactly as your name appears on the face of this Note)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Tax Identification No:</w:t>
              <w:br/>
              <w:t>_________________________</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Signature Guarantee:</w:t>
            </w:r>
          </w:p>
          <w:p>
            <w:pPr>
              <w:pStyle w:val="TableContents"/>
              <w:bidi w:val="0"/>
              <w:spacing w:before="0" w:after="0"/>
              <w:jc w:val="left"/>
              <w:rPr/>
            </w:pPr>
            <w:r>
              <w:rPr/>
              <w:t> </w:t>
            </w:r>
          </w:p>
          <w:p>
            <w:pPr>
              <w:pStyle w:val="TableContents"/>
              <w:bidi w:val="0"/>
              <w:spacing w:before="0" w:after="20"/>
              <w:jc w:val="left"/>
              <w:rPr>
                <w:u w:val="single"/>
              </w:rPr>
            </w:pPr>
            <w:r>
              <w:rPr>
                <w:u w:val="single"/>
              </w:rPr>
              <w:t>             </w:t>
            </w:r>
          </w:p>
        </w:tc>
      </w:tr>
    </w:tbl>
    <w:p>
      <w:pPr>
        <w:pStyle w:val="TextBody"/>
        <w:bidi w:val="0"/>
        <w:spacing w:before="240" w:after="0"/>
        <w:jc w:val="left"/>
        <w:rPr>
          <w:rFonts w:ascii="Times New Roman" w:hAnsi="Times New Roman"/>
          <w:sz w:val="20"/>
        </w:rPr>
      </w:pPr>
      <w:r>
        <w:rPr>
          <w:rFonts w:ascii="Times New Roman" w:hAnsi="Times New Roman"/>
          <w:sz w:val="20"/>
        </w:rPr>
        <w:t>Signatures must be guaranteed by an “eligible guarantor institution” meeting the requirements of the Registrar, which requirements include membership or participation in the Security Transfer Agent Medallion Program (“</w:t>
      </w:r>
      <w:r>
        <w:rPr>
          <w:rFonts w:ascii="Times New Roman" w:hAnsi="Times New Roman"/>
          <w:b/>
          <w:i/>
          <w:sz w:val="20"/>
        </w:rPr>
        <w:t>STAMP</w:t>
      </w:r>
      <w:r>
        <w:rPr>
          <w:rFonts w:ascii="Times New Roman" w:hAnsi="Times New Roman"/>
          <w:sz w:val="20"/>
        </w:rPr>
        <w:t xml:space="preserve">”) or such other “signature guarantee program” as may be determined by the Registrar in addition to, or in substitution for, STAMP, all in accordance with the Securities Exchange Act of 1934,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D-9 </w:t>
      </w:r>
    </w:p>
    <w:p>
      <w:pPr>
        <w:pStyle w:val="TextBody"/>
        <w:bidi w:val="0"/>
        <w:spacing w:before="0" w:after="0"/>
        <w:jc w:val="right"/>
        <w:rPr>
          <w:rFonts w:ascii="Times New Roman" w:hAnsi="Times New Roman"/>
          <w:b/>
          <w:sz w:val="20"/>
        </w:rPr>
      </w:pPr>
      <w:bookmarkStart w:id="6" w:name="d175690dex51.htm"/>
      <w:bookmarkStart w:id="7" w:name="ksd175690dex51"/>
      <w:bookmarkEnd w:id="6"/>
      <w:bookmarkEnd w:id="7"/>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58"/>
        <w:gridCol w:w="108"/>
        <w:gridCol w:w="3450"/>
        <w:gridCol w:w="122"/>
        <w:gridCol w:w="2967"/>
      </w:tblGrid>
      <w:tr>
        <w:trPr/>
        <w:tc>
          <w:tcPr>
            <w:tcW w:w="3558"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45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967" w:type="dxa"/>
            <w:tcBorders/>
            <w:vAlign w:val="center"/>
          </w:tcPr>
          <w:p>
            <w:pPr>
              <w:pStyle w:val="TableContents"/>
              <w:bidi w:val="0"/>
              <w:spacing w:before="0" w:after="283"/>
              <w:jc w:val="left"/>
              <w:rPr>
                <w:sz w:val="4"/>
                <w:szCs w:val="4"/>
              </w:rPr>
            </w:pPr>
            <w:r>
              <w:rPr>
                <w:sz w:val="4"/>
                <w:szCs w:val="4"/>
              </w:rPr>
            </w:r>
          </w:p>
        </w:tc>
      </w:tr>
      <w:tr>
        <w:trPr/>
        <w:tc>
          <w:tcPr>
            <w:tcW w:w="3558" w:type="dxa"/>
            <w:tcBorders/>
          </w:tcPr>
          <w:p>
            <w:pPr>
              <w:pStyle w:val="TableContents"/>
              <w:bidi w:val="0"/>
              <w:spacing w:before="0" w:after="20"/>
              <w:jc w:val="left"/>
              <w:rPr/>
            </w:pPr>
            <w:r>
              <w:rPr/>
              <w:drawing>
                <wp:inline distT="0" distB="0" distL="0" distR="0">
                  <wp:extent cx="1162050" cy="304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1162050" cy="304800"/>
                          </a:xfrm>
                          <a:prstGeom prst="rect">
                            <a:avLst/>
                          </a:prstGeom>
                        </pic:spPr>
                      </pic:pic>
                    </a:graphicData>
                  </a:graphic>
                </wp:inline>
              </w:drawing>
            </w:r>
            <w:r>
              <w:rPr/>
              <w:t xml:space="preserve"> </w:t>
            </w:r>
          </w:p>
        </w:tc>
        <w:tc>
          <w:tcPr>
            <w:tcW w:w="108" w:type="dxa"/>
            <w:tcBorders/>
            <w:vAlign w:val="bottom"/>
          </w:tcPr>
          <w:p>
            <w:pPr>
              <w:pStyle w:val="TableContents"/>
              <w:bidi w:val="0"/>
              <w:spacing w:before="0" w:after="283"/>
              <w:jc w:val="left"/>
              <w:rPr/>
            </w:pPr>
            <w:r>
              <w:rPr/>
              <w:t> </w:t>
            </w:r>
          </w:p>
        </w:tc>
        <w:tc>
          <w:tcPr>
            <w:tcW w:w="3450" w:type="dxa"/>
            <w:tcBorders/>
          </w:tcPr>
          <w:p>
            <w:pPr>
              <w:pStyle w:val="TableContents"/>
              <w:bidi w:val="0"/>
              <w:spacing w:before="0" w:after="0"/>
              <w:jc w:val="left"/>
              <w:rPr>
                <w:rFonts w:ascii="Times New Roman" w:hAnsi="Times New Roman"/>
                <w:sz w:val="20"/>
              </w:rPr>
            </w:pPr>
            <w:r>
              <w:rPr>
                <w:rFonts w:ascii="Times New Roman" w:hAnsi="Times New Roman"/>
                <w:sz w:val="20"/>
              </w:rPr>
              <w:t>SIDLEY AUSTIN LLP</w:t>
            </w:r>
          </w:p>
          <w:p>
            <w:pPr>
              <w:pStyle w:val="TableContents"/>
              <w:bidi w:val="0"/>
              <w:spacing w:before="0" w:after="0"/>
              <w:jc w:val="left"/>
              <w:rPr>
                <w:rFonts w:ascii="Times New Roman" w:hAnsi="Times New Roman"/>
                <w:sz w:val="20"/>
              </w:rPr>
            </w:pPr>
            <w:r>
              <w:rPr>
                <w:rFonts w:ascii="Times New Roman" w:hAnsi="Times New Roman"/>
                <w:sz w:val="20"/>
              </w:rPr>
              <w:t>60 STATE STREET, 36TH FLOOR</w:t>
            </w:r>
          </w:p>
          <w:p>
            <w:pPr>
              <w:pStyle w:val="TableContents"/>
              <w:bidi w:val="0"/>
              <w:spacing w:before="0" w:after="0"/>
              <w:jc w:val="left"/>
              <w:rPr>
                <w:rFonts w:ascii="Times New Roman" w:hAnsi="Times New Roman"/>
                <w:sz w:val="20"/>
              </w:rPr>
            </w:pPr>
            <w:r>
              <w:rPr>
                <w:rFonts w:ascii="Times New Roman" w:hAnsi="Times New Roman"/>
                <w:sz w:val="20"/>
              </w:rPr>
              <w:t>BOSTON, MA 02109</w:t>
            </w:r>
          </w:p>
          <w:p>
            <w:pPr>
              <w:pStyle w:val="TableContents"/>
              <w:bidi w:val="0"/>
              <w:spacing w:before="0" w:after="0"/>
              <w:jc w:val="left"/>
              <w:rPr>
                <w:rFonts w:ascii="Times New Roman" w:hAnsi="Times New Roman"/>
                <w:sz w:val="20"/>
              </w:rPr>
            </w:pPr>
            <w:r>
              <w:rPr>
                <w:rFonts w:ascii="Times New Roman" w:hAnsi="Times New Roman"/>
                <w:sz w:val="20"/>
              </w:rPr>
              <w:t>PHONE: +1 617 223 0300</w:t>
            </w:r>
          </w:p>
          <w:p>
            <w:pPr>
              <w:pStyle w:val="TableContents"/>
              <w:bidi w:val="0"/>
              <w:spacing w:before="0" w:after="0"/>
              <w:jc w:val="left"/>
              <w:rPr>
                <w:rFonts w:ascii="Times New Roman" w:hAnsi="Times New Roman"/>
                <w:sz w:val="20"/>
              </w:rPr>
            </w:pPr>
            <w:r>
              <w:rPr>
                <w:rFonts w:ascii="Times New Roman" w:hAnsi="Times New Roman"/>
                <w:sz w:val="20"/>
              </w:rPr>
              <w:t>FAX: +1 617 223 0301</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AMERICA  ASIA PACIFIC  EUROPE</w:t>
            </w:r>
          </w:p>
        </w:tc>
        <w:tc>
          <w:tcPr>
            <w:tcW w:w="122" w:type="dxa"/>
            <w:tcBorders/>
            <w:vAlign w:val="bottom"/>
          </w:tcPr>
          <w:p>
            <w:pPr>
              <w:pStyle w:val="TableContents"/>
              <w:bidi w:val="0"/>
              <w:spacing w:before="0" w:after="283"/>
              <w:jc w:val="left"/>
              <w:rPr/>
            </w:pPr>
            <w:r>
              <w:rPr/>
              <w:t>  </w:t>
            </w:r>
          </w:p>
        </w:tc>
        <w:tc>
          <w:tcPr>
            <w:tcW w:w="2967"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right"/>
        <w:rPr>
          <w:rFonts w:ascii="Times New Roman" w:hAnsi="Times New Roman"/>
          <w:sz w:val="20"/>
        </w:rPr>
      </w:pPr>
      <w:r>
        <w:rPr>
          <w:rFonts w:ascii="Times New Roman" w:hAnsi="Times New Roman"/>
          <w:sz w:val="20"/>
        </w:rPr>
        <w:t xml:space="preserve">September 17, 2026 </w:t>
      </w:r>
    </w:p>
    <w:p>
      <w:pPr>
        <w:pStyle w:val="TextBody"/>
        <w:bidi w:val="0"/>
        <w:spacing w:before="240" w:after="0"/>
        <w:jc w:val="left"/>
        <w:rPr>
          <w:rFonts w:ascii="Times New Roman" w:hAnsi="Times New Roman"/>
          <w:sz w:val="20"/>
        </w:rPr>
      </w:pPr>
      <w:r>
        <w:rPr>
          <w:rFonts w:ascii="Times New Roman" w:hAnsi="Times New Roman"/>
          <w:sz w:val="20"/>
        </w:rPr>
        <w:t xml:space="preserve">Analog Devices, Inc. </w:t>
      </w:r>
    </w:p>
    <w:p>
      <w:pPr>
        <w:pStyle w:val="TextBody"/>
        <w:bidi w:val="0"/>
        <w:spacing w:before="0" w:after="0"/>
        <w:jc w:val="left"/>
        <w:rPr>
          <w:rFonts w:ascii="Times New Roman" w:hAnsi="Times New Roman"/>
          <w:sz w:val="20"/>
        </w:rPr>
      </w:pPr>
      <w:r>
        <w:rPr>
          <w:rFonts w:ascii="Times New Roman" w:hAnsi="Times New Roman"/>
          <w:sz w:val="20"/>
        </w:rPr>
        <w:t xml:space="preserve">One Analog Way </w:t>
      </w:r>
    </w:p>
    <w:p>
      <w:pPr>
        <w:pStyle w:val="TextBody"/>
        <w:bidi w:val="0"/>
        <w:spacing w:before="0" w:after="0"/>
        <w:jc w:val="left"/>
        <w:rPr>
          <w:rFonts w:ascii="Times New Roman" w:hAnsi="Times New Roman"/>
          <w:sz w:val="20"/>
        </w:rPr>
      </w:pPr>
      <w:r>
        <w:rPr>
          <w:rFonts w:ascii="Times New Roman" w:hAnsi="Times New Roman"/>
          <w:sz w:val="20"/>
        </w:rPr>
        <w:t xml:space="preserve">Wilmington, Massachusetts 01887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Re:</w:t>
            </w:r>
          </w:p>
        </w:tc>
        <w:tc>
          <w:tcPr>
            <w:tcW w:w="8880"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 xml:space="preserve">Registration Statement on Form S-3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refer to the Registration Statement on Form S-3, File No. 333-281670 (the “</w:t>
      </w:r>
      <w:r>
        <w:rPr>
          <w:rFonts w:ascii="Times New Roman" w:hAnsi="Times New Roman"/>
          <w:sz w:val="20"/>
          <w:u w:val="single"/>
        </w:rPr>
        <w:t>Registration Statement</w:t>
      </w:r>
      <w:r>
        <w:rPr>
          <w:rFonts w:ascii="Times New Roman" w:hAnsi="Times New Roman"/>
          <w:sz w:val="20"/>
        </w:rPr>
        <w:t>”), filed by Analog Devices, Inc., a Massachusetts corporation (the “</w:t>
      </w:r>
      <w:r>
        <w:rPr>
          <w:rFonts w:ascii="Times New Roman" w:hAnsi="Times New Roman"/>
          <w:sz w:val="20"/>
          <w:u w:val="single"/>
        </w:rPr>
        <w:t>Company</w:t>
      </w:r>
      <w:r>
        <w:rPr>
          <w:rFonts w:ascii="Times New Roman" w:hAnsi="Times New Roman"/>
          <w:sz w:val="20"/>
        </w:rPr>
        <w:t>”), with the Securities and Exchange Commission under the Securities Act of 1933, as amended (the “</w:t>
      </w:r>
      <w:r>
        <w:rPr>
          <w:rFonts w:ascii="Times New Roman" w:hAnsi="Times New Roman"/>
          <w:sz w:val="20"/>
          <w:u w:val="single"/>
        </w:rPr>
        <w:t>Securities Act</w:t>
      </w:r>
      <w:r>
        <w:rPr>
          <w:rFonts w:ascii="Times New Roman" w:hAnsi="Times New Roman"/>
          <w:sz w:val="20"/>
        </w:rPr>
        <w:t>”), which Registration Statement became effective upon filing pursuant to Rule 462(e) under the Securities Act. Pursuant to the Registration Statement, the Company is issuing (i) $500,000,000 aggregate principal amount of the Company’s 5.100% Senior Notes due 2029 (the “</w:t>
      </w:r>
      <w:r>
        <w:rPr>
          <w:rFonts w:ascii="Times New Roman" w:hAnsi="Times New Roman"/>
          <w:sz w:val="20"/>
          <w:u w:val="single"/>
        </w:rPr>
        <w:t>2029 Notes</w:t>
      </w:r>
      <w:r>
        <w:rPr>
          <w:rFonts w:ascii="Times New Roman" w:hAnsi="Times New Roman"/>
          <w:sz w:val="20"/>
        </w:rPr>
        <w:t>”), (ii) $500,000,000 aggregate principal amount of the Company’s 5.350% Senior Notes due 2031 (the “</w:t>
      </w:r>
      <w:r>
        <w:rPr>
          <w:rFonts w:ascii="Times New Roman" w:hAnsi="Times New Roman"/>
          <w:sz w:val="20"/>
          <w:u w:val="single"/>
        </w:rPr>
        <w:t>2031 Notes</w:t>
      </w:r>
      <w:r>
        <w:rPr>
          <w:rFonts w:ascii="Times New Roman" w:hAnsi="Times New Roman"/>
          <w:sz w:val="20"/>
        </w:rPr>
        <w:t>”), (iii) $1,000,000,000 aggregate principal amount of the Company’s 5.600% Senior Notes due 2033 (the “</w:t>
      </w:r>
      <w:r>
        <w:rPr>
          <w:rFonts w:ascii="Times New Roman" w:hAnsi="Times New Roman"/>
          <w:sz w:val="20"/>
          <w:u w:val="single"/>
        </w:rPr>
        <w:t>2033 Notes</w:t>
      </w:r>
      <w:r>
        <w:rPr>
          <w:rFonts w:ascii="Times New Roman" w:hAnsi="Times New Roman"/>
          <w:sz w:val="20"/>
        </w:rPr>
        <w:t>”) and (iv) $1,000,000,000 aggregate principal amount of the Company’s 5.750% Senior Notes due 2036 (the “</w:t>
      </w:r>
      <w:r>
        <w:rPr>
          <w:rFonts w:ascii="Times New Roman" w:hAnsi="Times New Roman"/>
          <w:sz w:val="20"/>
          <w:u w:val="single"/>
        </w:rPr>
        <w:t>2036 Notes</w:t>
      </w:r>
      <w:r>
        <w:rPr>
          <w:rFonts w:ascii="Times New Roman" w:hAnsi="Times New Roman"/>
          <w:sz w:val="20"/>
        </w:rPr>
        <w:t>” and, together with the 2029 Notes, the 2031 Notes and the 2033 Notes, the “</w:t>
      </w:r>
      <w:r>
        <w:rPr>
          <w:rFonts w:ascii="Times New Roman" w:hAnsi="Times New Roman"/>
          <w:sz w:val="20"/>
          <w:u w:val="single"/>
        </w:rPr>
        <w:t>Securities</w:t>
      </w:r>
      <w:r>
        <w:rPr>
          <w:rFonts w:ascii="Times New Roman" w:hAnsi="Times New Roman"/>
          <w:sz w:val="20"/>
        </w:rPr>
        <w:t>”). The Securities are being issued under an Indenture, dated as of June 3, 2013 (the “</w:t>
      </w:r>
      <w:r>
        <w:rPr>
          <w:rFonts w:ascii="Times New Roman" w:hAnsi="Times New Roman"/>
          <w:sz w:val="20"/>
          <w:u w:val="single"/>
        </w:rPr>
        <w:t>Base Indenture</w:t>
      </w:r>
      <w:r>
        <w:rPr>
          <w:rFonts w:ascii="Times New Roman" w:hAnsi="Times New Roman"/>
          <w:sz w:val="20"/>
        </w:rPr>
        <w:t>”), as amended and supplemented, including by a Supplemental Indenture, dated as of September 17, 2026 (the “</w:t>
      </w:r>
      <w:r>
        <w:rPr>
          <w:rFonts w:ascii="Times New Roman" w:hAnsi="Times New Roman"/>
          <w:sz w:val="20"/>
          <w:u w:val="single"/>
        </w:rPr>
        <w:t>Supplemental Indenture</w:t>
      </w:r>
      <w:r>
        <w:rPr>
          <w:rFonts w:ascii="Times New Roman" w:hAnsi="Times New Roman"/>
          <w:sz w:val="20"/>
        </w:rPr>
        <w:t>;” the Base Indenture, as amended and supplemented, including by the Supplemental Indenture, is hereinafter called the “</w:t>
      </w:r>
      <w:r>
        <w:rPr>
          <w:rFonts w:ascii="Times New Roman" w:hAnsi="Times New Roman"/>
          <w:sz w:val="20"/>
          <w:u w:val="single"/>
        </w:rPr>
        <w:t>Indenture</w:t>
      </w:r>
      <w:r>
        <w:rPr>
          <w:rFonts w:ascii="Times New Roman" w:hAnsi="Times New Roman"/>
          <w:sz w:val="20"/>
        </w:rPr>
        <w:t>”), each between the Company and The Bank of New York Mellon Trust Company, N.A., as trustee (the “</w:t>
      </w:r>
      <w:r>
        <w:rPr>
          <w:rFonts w:ascii="Times New Roman" w:hAnsi="Times New Roman"/>
          <w:sz w:val="20"/>
          <w:u w:val="single"/>
        </w:rPr>
        <w:t>Trustee</w:t>
      </w:r>
      <w:r>
        <w:rPr>
          <w:rFonts w:ascii="Times New Roman" w:hAnsi="Times New Roman"/>
          <w:sz w:val="20"/>
        </w:rPr>
        <w:t>”). The Securities are to be sold by the Company pursuant to an underwriting agreement dated September 15, 2026 (the “</w:t>
      </w:r>
      <w:r>
        <w:rPr>
          <w:rFonts w:ascii="Times New Roman" w:hAnsi="Times New Roman"/>
          <w:sz w:val="20"/>
          <w:u w:val="single"/>
        </w:rPr>
        <w:t>Underwriting Agreement</w:t>
      </w:r>
      <w:r>
        <w:rPr>
          <w:rFonts w:ascii="Times New Roman" w:hAnsi="Times New Roman"/>
          <w:sz w:val="20"/>
        </w:rPr>
        <w:t xml:space="preserve">”), by and among the Company and the representative of the Underwriters named therein.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is being delivered in accordance with the requirements of Item 601(b)(5) of Regulation S-K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have examined the Registration Statement, the Indenture, the Underwriting Agreement, the Securities in global form, the resolutions adopted by the board of directors of the Company and the Audit Committee thereof, the written designation regarding pricing executed by an officer of the Company duly authorized pursuant to such resolutions, and a certificate executed by the Secretary of the Company, each relating to the Registration Statement, the Indenture, the Underwriting Agreement and the issuance of the Securities by the Company. We have also examined originals, or copies of originals certified to our satisfaction, of such agreements, documents, certificates and statements of the Company and other corporate documents and instruments, and have examined such questions of law, as we have considered relevant and necessary as a basis for this opinion letter. We have assumed the authenticity of all documents submitted to us as originals, the genuineness of all signatures, the legal capacity of all persons and the conformity with the original documents of any copies thereof submitted to us for examination. As to facts relevant to the opinions expressed herein, we have relied without independent investigation or verification upon, and assumed the accuracy and completeness of, certificates, letters and oral and written statements and representations of public officials and officers and other representatives of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Analog Devices, Inc. </w:t>
      </w:r>
    </w:p>
    <w:p>
      <w:pPr>
        <w:pStyle w:val="TextBody"/>
        <w:bidi w:val="0"/>
        <w:spacing w:before="0" w:after="0"/>
        <w:jc w:val="left"/>
        <w:rPr>
          <w:rFonts w:ascii="Times New Roman" w:hAnsi="Times New Roman"/>
          <w:sz w:val="20"/>
        </w:rPr>
      </w:pPr>
      <w:r>
        <w:rPr>
          <w:rFonts w:ascii="Times New Roman" w:hAnsi="Times New Roman"/>
          <w:sz w:val="20"/>
        </w:rPr>
        <w:t xml:space="preserve">September 17,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240" w:after="0"/>
        <w:jc w:val="left"/>
        <w:rPr>
          <w:rFonts w:ascii="Times New Roman" w:hAnsi="Times New Roman"/>
          <w:sz w:val="20"/>
        </w:rPr>
      </w:pPr>
      <w:r>
        <w:rPr>
          <w:rFonts w:ascii="Times New Roman" w:hAnsi="Times New Roman"/>
          <w:sz w:val="20"/>
        </w:rPr>
        <w:t xml:space="preserve">Based on and subject to the foregoing and the other limitations, qualifications and assumptions set forth herein, we are of the opinion that the Securities will constitute valid and binding obligations of the Company when the Securities are duly executed by duly authorized officers of the Company and duly authenticated by the Trustee, all in accordance with the provisions of the Indenture, and delivered to the purchasers thereof against payment of the agreed consideration therefor in accordance with the 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Our opinion is subject to bankruptcy, insolvency, reorganization, moratorium, fraudulent conveyance, fraudulent transfer and other similar laws relating to or affecting creditors’ rights generally and to general equitable principles (regardless of whether considered in a proceeding in equity or at law), including concepts of commercial reasonableness, good faith and fair dealing and the possible unavailability of specific performance or injunctive relief. Our opinion is also subject to (i) provisions of law which may require that a judgment for money damages rendered by a court in the United States of America be expressed only in United States dollars, (ii) requirements that a claim with respect to any obligations that are denominated or payable other than in United States dollars (or a judgment denominated or payable other than in United States dollars in respect of such claim) be converted into United States dollars at a rate of exchange prevailing on a date determined pursuant to applicable law and (iii) governmental authority to limit, delay or prohibit the making of payments outside of the United States of America or in a foreign currency.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is limited to the Massachusetts Business Corporation Act of the State of Massachusetts and the laws of the State of New York (excluding the securities laws of the State of New York). We express no opinion as to the laws, rules or regulations of any other jurisdiction, including, without limitation, the federal laws of the United States of America or any state securities or blue sky laws. </w:t>
      </w:r>
    </w:p>
    <w:p>
      <w:pPr>
        <w:pStyle w:val="TextBody"/>
        <w:bidi w:val="0"/>
        <w:spacing w:before="240" w:after="0"/>
        <w:jc w:val="left"/>
        <w:rPr>
          <w:rFonts w:ascii="Times New Roman" w:hAnsi="Times New Roman"/>
          <w:sz w:val="20"/>
        </w:rPr>
      </w:pPr>
      <w:r>
        <w:rPr>
          <w:rFonts w:ascii="Times New Roman" w:hAnsi="Times New Roman"/>
          <w:sz w:val="20"/>
        </w:rPr>
        <w:t>We hereby consent to the filing of this opinion letter as an Exhibit to the Current Report on Form 8-K to be filed by the Company and incorporated by reference in the Registration Statement and to all references to our Firm included in or made a part of the Registration Statement. In giving such consent, we do not thereby admit that we are in the category of persons whose consent is required under Section 7 of the Securities Act</w:t>
      </w:r>
      <w:r>
        <w:rPr>
          <w:rFonts w:ascii="Times New Roman" w:hAnsi="Times New Roman"/>
          <w:b/>
          <w:sz w:val="20"/>
        </w:rPr>
        <w:t>.</w:t>
      </w:r>
      <w:r>
        <w:rPr>
          <w:rFonts w:ascii="Times New Roman" w:hAnsi="Times New Roman"/>
          <w:sz w:val="20"/>
        </w:rPr>
        <w:t xml:space="preser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Sidley Austin LLP</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6281/000119312513245264/d548763dex41.htm" TargetMode="External"/><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98</Pages>
  <Words>41666</Words>
  <Characters>213305</Characters>
  <CharactersWithSpaces>255598</CharactersWithSpaces>
  <Paragraphs>1919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dc:title>
</cp:coreProperties>
</file>