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0951.xml.htm"/>
      <w:bookmarkStart w:id="1" w:name="kswkform4_17871709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8"/>
        <w:gridCol w:w="897"/>
        <w:gridCol w:w="771"/>
        <w:gridCol w:w="596"/>
        <w:gridCol w:w="331"/>
        <w:gridCol w:w="1175"/>
        <w:gridCol w:w="407"/>
        <w:gridCol w:w="825"/>
        <w:gridCol w:w="1409"/>
        <w:gridCol w:w="938"/>
        <w:gridCol w:w="10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2,877.792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390.28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134,660.083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  <w:tr>
        <w:trPr/>
        <w:tc>
          <w:tcPr>
            <w:tcW w:w="18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2026 Grantor Retained Annuity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represents shares withheld to satisfy tax withholding obligations in connection with the vesting of 5,952 Restricted Stock Units on August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Vincent Roche 2026 Grantor Retained Annuity Trust dated January 11,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3558</Characters>
  <CharactersWithSpaces>4132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